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5E2E5" w14:textId="197AF3BD" w:rsidR="00991810" w:rsidRPr="00472C4D" w:rsidRDefault="008B2239" w:rsidP="008B355C">
      <w:pPr>
        <w:spacing w:after="0" w:line="240" w:lineRule="auto"/>
        <w:jc w:val="center"/>
        <w:rPr>
          <w:rFonts w:ascii="Calibri" w:hAnsi="Calibri" w:cs="Calibri"/>
        </w:rPr>
      </w:pPr>
      <w:r>
        <w:rPr>
          <w:rFonts w:ascii="Calibri" w:hAnsi="Calibri" w:cs="Calibri"/>
          <w:noProof/>
          <w:lang w:eastAsia="sl-SI"/>
        </w:rPr>
        <w:drawing>
          <wp:inline distT="0" distB="0" distL="0" distR="0" wp14:anchorId="1CE55156" wp14:editId="4F85E0ED">
            <wp:extent cx="2821333" cy="368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OP_S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1002" cy="372405"/>
                    </a:xfrm>
                    <a:prstGeom prst="rect">
                      <a:avLst/>
                    </a:prstGeom>
                  </pic:spPr>
                </pic:pic>
              </a:graphicData>
            </a:graphic>
          </wp:inline>
        </w:drawing>
      </w:r>
    </w:p>
    <w:p w14:paraId="0EDE2EC8" w14:textId="77777777" w:rsidR="00991810" w:rsidRPr="00472C4D" w:rsidRDefault="00991810" w:rsidP="008B355C">
      <w:pPr>
        <w:spacing w:after="0" w:line="240" w:lineRule="auto"/>
        <w:jc w:val="center"/>
        <w:rPr>
          <w:rFonts w:ascii="Calibri" w:hAnsi="Calibri" w:cs="Calibri"/>
        </w:rPr>
      </w:pPr>
    </w:p>
    <w:p w14:paraId="7CB55BFC" w14:textId="77777777" w:rsidR="00991810" w:rsidRPr="00472C4D" w:rsidRDefault="00991810" w:rsidP="008B355C">
      <w:pPr>
        <w:spacing w:after="0" w:line="240" w:lineRule="auto"/>
        <w:jc w:val="center"/>
        <w:rPr>
          <w:rFonts w:ascii="Calibri" w:hAnsi="Calibri" w:cs="Calibri"/>
        </w:rPr>
      </w:pPr>
    </w:p>
    <w:p w14:paraId="5496CEA1" w14:textId="77777777" w:rsidR="00991810" w:rsidRPr="00472C4D" w:rsidRDefault="00991810" w:rsidP="008B355C">
      <w:pPr>
        <w:spacing w:after="0" w:line="240" w:lineRule="auto"/>
        <w:jc w:val="center"/>
        <w:rPr>
          <w:rFonts w:ascii="Calibri" w:hAnsi="Calibri" w:cs="Calibri"/>
        </w:rPr>
      </w:pPr>
    </w:p>
    <w:p w14:paraId="3881C889" w14:textId="77777777" w:rsidR="008B355C" w:rsidRPr="00472C4D" w:rsidRDefault="008B355C" w:rsidP="008B355C">
      <w:pPr>
        <w:spacing w:after="0" w:line="240" w:lineRule="auto"/>
        <w:jc w:val="center"/>
        <w:rPr>
          <w:rFonts w:ascii="Calibri" w:hAnsi="Calibri" w:cs="Calibri"/>
        </w:rPr>
      </w:pPr>
    </w:p>
    <w:p w14:paraId="65F705A3" w14:textId="77777777" w:rsidR="008B355C" w:rsidRPr="00472C4D" w:rsidRDefault="008B355C" w:rsidP="008B355C">
      <w:pPr>
        <w:spacing w:after="0" w:line="240" w:lineRule="auto"/>
        <w:jc w:val="center"/>
        <w:rPr>
          <w:rFonts w:ascii="Calibri" w:hAnsi="Calibri" w:cs="Calibri"/>
        </w:rPr>
      </w:pPr>
    </w:p>
    <w:p w14:paraId="50A01E33" w14:textId="77777777" w:rsidR="008B355C" w:rsidRPr="00472C4D" w:rsidRDefault="008B355C" w:rsidP="008B355C">
      <w:pPr>
        <w:spacing w:after="0" w:line="240" w:lineRule="auto"/>
        <w:jc w:val="center"/>
        <w:rPr>
          <w:rFonts w:ascii="Calibri" w:hAnsi="Calibri" w:cs="Calibri"/>
        </w:rPr>
      </w:pPr>
    </w:p>
    <w:p w14:paraId="29B35828" w14:textId="77777777" w:rsidR="008B355C" w:rsidRPr="00472C4D" w:rsidRDefault="008B355C" w:rsidP="008B355C">
      <w:pPr>
        <w:spacing w:after="0" w:line="240" w:lineRule="auto"/>
        <w:jc w:val="center"/>
        <w:rPr>
          <w:rFonts w:ascii="Calibri" w:hAnsi="Calibri" w:cs="Calibri"/>
        </w:rPr>
      </w:pPr>
    </w:p>
    <w:p w14:paraId="6049B0E6" w14:textId="77777777" w:rsidR="008B355C" w:rsidRPr="00472C4D" w:rsidRDefault="008B355C" w:rsidP="008B355C">
      <w:pPr>
        <w:spacing w:after="0" w:line="240" w:lineRule="auto"/>
        <w:jc w:val="center"/>
        <w:rPr>
          <w:rFonts w:ascii="Calibri" w:hAnsi="Calibri" w:cs="Calibri"/>
        </w:rPr>
      </w:pPr>
    </w:p>
    <w:p w14:paraId="06145481" w14:textId="77777777" w:rsidR="008B355C" w:rsidRPr="00472C4D" w:rsidRDefault="008B355C" w:rsidP="008B355C">
      <w:pPr>
        <w:spacing w:after="0" w:line="240" w:lineRule="auto"/>
        <w:jc w:val="center"/>
        <w:rPr>
          <w:rFonts w:ascii="Calibri" w:hAnsi="Calibri" w:cs="Calibri"/>
        </w:rPr>
      </w:pPr>
    </w:p>
    <w:p w14:paraId="54FA9062" w14:textId="77777777" w:rsidR="008B355C" w:rsidRPr="00472C4D" w:rsidRDefault="008B355C" w:rsidP="008B355C">
      <w:pPr>
        <w:spacing w:after="0" w:line="240" w:lineRule="auto"/>
        <w:jc w:val="center"/>
        <w:rPr>
          <w:rFonts w:ascii="Calibri" w:hAnsi="Calibri" w:cs="Calibri"/>
        </w:rPr>
      </w:pPr>
    </w:p>
    <w:p w14:paraId="2B81F04C" w14:textId="77777777" w:rsidR="008B355C" w:rsidRPr="00472C4D" w:rsidRDefault="008B355C" w:rsidP="008B355C">
      <w:pPr>
        <w:spacing w:after="0" w:line="240" w:lineRule="auto"/>
        <w:jc w:val="center"/>
        <w:rPr>
          <w:rFonts w:ascii="Calibri" w:hAnsi="Calibri" w:cs="Calibri"/>
        </w:rPr>
      </w:pPr>
    </w:p>
    <w:p w14:paraId="32EC4E48" w14:textId="77777777" w:rsidR="00991810" w:rsidRPr="00472C4D" w:rsidRDefault="00991810" w:rsidP="008B355C">
      <w:pPr>
        <w:spacing w:after="0" w:line="240" w:lineRule="auto"/>
        <w:jc w:val="center"/>
        <w:rPr>
          <w:rFonts w:ascii="Calibri" w:hAnsi="Calibri" w:cs="Calibri"/>
        </w:rPr>
      </w:pPr>
    </w:p>
    <w:p w14:paraId="2E83DC40" w14:textId="77777777" w:rsidR="00991810" w:rsidRPr="00472C4D" w:rsidRDefault="00991810" w:rsidP="008B355C">
      <w:pPr>
        <w:spacing w:after="0" w:line="240" w:lineRule="auto"/>
        <w:jc w:val="center"/>
        <w:rPr>
          <w:rFonts w:ascii="Calibri" w:hAnsi="Calibri" w:cs="Calibri"/>
        </w:rPr>
      </w:pPr>
    </w:p>
    <w:p w14:paraId="13A550A7" w14:textId="77777777" w:rsidR="00991810" w:rsidRPr="00472C4D" w:rsidRDefault="00991810" w:rsidP="008B355C">
      <w:pPr>
        <w:spacing w:after="0" w:line="240" w:lineRule="auto"/>
        <w:jc w:val="center"/>
        <w:rPr>
          <w:rFonts w:ascii="Calibri" w:hAnsi="Calibri" w:cs="Calibri"/>
        </w:rPr>
      </w:pPr>
    </w:p>
    <w:p w14:paraId="4813E27F" w14:textId="2A6281D1" w:rsidR="00991810" w:rsidRPr="00472C4D" w:rsidRDefault="00991810" w:rsidP="008B355C">
      <w:pPr>
        <w:spacing w:after="0" w:line="240" w:lineRule="auto"/>
        <w:jc w:val="center"/>
        <w:rPr>
          <w:rFonts w:ascii="Calibri" w:hAnsi="Calibri" w:cs="Calibri"/>
        </w:rPr>
      </w:pPr>
    </w:p>
    <w:p w14:paraId="201B09BE" w14:textId="77777777" w:rsidR="00B511B3" w:rsidRPr="00472C4D" w:rsidRDefault="00B511B3" w:rsidP="008B355C">
      <w:pPr>
        <w:spacing w:after="0" w:line="240" w:lineRule="auto"/>
        <w:jc w:val="center"/>
        <w:rPr>
          <w:rFonts w:ascii="Calibri" w:hAnsi="Calibri" w:cs="Calibri"/>
        </w:rPr>
      </w:pPr>
    </w:p>
    <w:p w14:paraId="3DE4F515" w14:textId="77777777" w:rsidR="00991810" w:rsidRPr="00472C4D" w:rsidRDefault="00991810" w:rsidP="008B355C">
      <w:pPr>
        <w:spacing w:after="0" w:line="240" w:lineRule="auto"/>
        <w:jc w:val="center"/>
        <w:rPr>
          <w:rFonts w:ascii="Calibri" w:hAnsi="Calibri" w:cs="Calibri"/>
        </w:rPr>
      </w:pPr>
    </w:p>
    <w:p w14:paraId="139B0365" w14:textId="77777777" w:rsidR="00991810" w:rsidRPr="00472C4D" w:rsidRDefault="00991810" w:rsidP="008B355C">
      <w:pPr>
        <w:spacing w:after="0" w:line="240" w:lineRule="auto"/>
        <w:jc w:val="center"/>
        <w:rPr>
          <w:rFonts w:ascii="Calibri" w:hAnsi="Calibri" w:cs="Calibri"/>
        </w:rPr>
      </w:pPr>
    </w:p>
    <w:p w14:paraId="3CDDE839" w14:textId="77777777" w:rsidR="00991810" w:rsidRPr="00472C4D" w:rsidRDefault="00991810" w:rsidP="008B355C">
      <w:pPr>
        <w:spacing w:after="0" w:line="240" w:lineRule="auto"/>
        <w:jc w:val="center"/>
        <w:rPr>
          <w:rFonts w:ascii="Calibri" w:hAnsi="Calibri" w:cs="Calibri"/>
          <w:b/>
          <w:bCs/>
        </w:rPr>
      </w:pPr>
    </w:p>
    <w:p w14:paraId="2822A4D5" w14:textId="28DD1571" w:rsidR="00991810" w:rsidRPr="00472C4D" w:rsidRDefault="00991810" w:rsidP="008B355C">
      <w:pPr>
        <w:spacing w:after="0" w:line="240" w:lineRule="auto"/>
        <w:jc w:val="center"/>
        <w:rPr>
          <w:rFonts w:ascii="Calibri" w:hAnsi="Calibri" w:cs="Calibri"/>
          <w:b/>
          <w:bCs/>
          <w:sz w:val="36"/>
          <w:szCs w:val="36"/>
        </w:rPr>
      </w:pPr>
      <w:r w:rsidRPr="00472C4D">
        <w:rPr>
          <w:rFonts w:ascii="Calibri" w:hAnsi="Calibri" w:cs="Calibri"/>
          <w:b/>
          <w:bCs/>
          <w:sz w:val="36"/>
          <w:szCs w:val="36"/>
        </w:rPr>
        <w:t>Četrto poročilo o izvajanju Operativnega programa ukrepov zmanjšanja emisij toplogrednih plinov do leta 2020</w:t>
      </w:r>
    </w:p>
    <w:p w14:paraId="541A35DA" w14:textId="77777777" w:rsidR="00991810" w:rsidRPr="00472C4D" w:rsidRDefault="00991810" w:rsidP="008B355C">
      <w:pPr>
        <w:spacing w:after="0" w:line="240" w:lineRule="auto"/>
        <w:jc w:val="both"/>
        <w:rPr>
          <w:rFonts w:ascii="Calibri" w:hAnsi="Calibri" w:cs="Calibri"/>
        </w:rPr>
      </w:pPr>
    </w:p>
    <w:p w14:paraId="2957B574" w14:textId="77777777" w:rsidR="00991810" w:rsidRDefault="00991810" w:rsidP="008B355C">
      <w:pPr>
        <w:spacing w:after="0" w:line="240" w:lineRule="auto"/>
        <w:jc w:val="both"/>
        <w:rPr>
          <w:rFonts w:ascii="Calibri" w:hAnsi="Calibri" w:cs="Calibri"/>
        </w:rPr>
      </w:pPr>
    </w:p>
    <w:p w14:paraId="3FB67A3A" w14:textId="77777777" w:rsidR="009A5405" w:rsidRPr="00472C4D" w:rsidRDefault="009A5405" w:rsidP="008B355C">
      <w:pPr>
        <w:spacing w:after="0" w:line="240" w:lineRule="auto"/>
        <w:jc w:val="both"/>
        <w:rPr>
          <w:rFonts w:ascii="Calibri" w:hAnsi="Calibri" w:cs="Calibri"/>
        </w:rPr>
      </w:pPr>
    </w:p>
    <w:p w14:paraId="24D8D9FD" w14:textId="77777777" w:rsidR="00991810" w:rsidRPr="00472C4D" w:rsidRDefault="00991810" w:rsidP="008B355C">
      <w:pPr>
        <w:spacing w:after="0" w:line="240" w:lineRule="auto"/>
        <w:jc w:val="both"/>
        <w:rPr>
          <w:rFonts w:ascii="Calibri" w:hAnsi="Calibri" w:cs="Calibri"/>
        </w:rPr>
      </w:pPr>
    </w:p>
    <w:p w14:paraId="2E2F9741" w14:textId="77777777" w:rsidR="00991810" w:rsidRPr="00472C4D" w:rsidRDefault="00991810" w:rsidP="008B355C">
      <w:pPr>
        <w:spacing w:after="0" w:line="240" w:lineRule="auto"/>
        <w:jc w:val="both"/>
        <w:rPr>
          <w:rFonts w:ascii="Calibri" w:hAnsi="Calibri" w:cs="Calibri"/>
        </w:rPr>
      </w:pPr>
    </w:p>
    <w:p w14:paraId="72CA5201" w14:textId="77777777" w:rsidR="00991810" w:rsidRPr="00472C4D" w:rsidRDefault="00991810" w:rsidP="008B355C">
      <w:pPr>
        <w:spacing w:after="0" w:line="240" w:lineRule="auto"/>
        <w:jc w:val="both"/>
        <w:rPr>
          <w:rFonts w:ascii="Calibri" w:hAnsi="Calibri" w:cs="Calibri"/>
        </w:rPr>
      </w:pPr>
    </w:p>
    <w:p w14:paraId="56B8F5CF" w14:textId="77777777" w:rsidR="00991810" w:rsidRPr="00472C4D" w:rsidRDefault="00991810" w:rsidP="008B355C">
      <w:pPr>
        <w:spacing w:after="0" w:line="240" w:lineRule="auto"/>
        <w:jc w:val="both"/>
        <w:rPr>
          <w:rFonts w:ascii="Calibri" w:hAnsi="Calibri" w:cs="Calibri"/>
        </w:rPr>
      </w:pPr>
    </w:p>
    <w:p w14:paraId="10BAF35F" w14:textId="77777777" w:rsidR="00991810" w:rsidRPr="00472C4D" w:rsidRDefault="00991810" w:rsidP="008B355C">
      <w:pPr>
        <w:spacing w:after="0" w:line="240" w:lineRule="auto"/>
        <w:jc w:val="both"/>
        <w:rPr>
          <w:rFonts w:ascii="Calibri" w:hAnsi="Calibri" w:cs="Calibri"/>
        </w:rPr>
      </w:pPr>
    </w:p>
    <w:p w14:paraId="6F174FF0" w14:textId="77777777" w:rsidR="008B355C" w:rsidRPr="00472C4D" w:rsidRDefault="008B355C" w:rsidP="008B355C">
      <w:pPr>
        <w:spacing w:after="0" w:line="240" w:lineRule="auto"/>
        <w:jc w:val="both"/>
        <w:rPr>
          <w:rFonts w:ascii="Calibri" w:hAnsi="Calibri" w:cs="Calibri"/>
        </w:rPr>
      </w:pPr>
    </w:p>
    <w:p w14:paraId="1C024030" w14:textId="77777777" w:rsidR="008B355C" w:rsidRPr="00472C4D" w:rsidRDefault="008B355C" w:rsidP="008B355C">
      <w:pPr>
        <w:spacing w:after="0" w:line="240" w:lineRule="auto"/>
        <w:jc w:val="both"/>
        <w:rPr>
          <w:rFonts w:ascii="Calibri" w:hAnsi="Calibri" w:cs="Calibri"/>
        </w:rPr>
      </w:pPr>
    </w:p>
    <w:p w14:paraId="1D652A03" w14:textId="77777777" w:rsidR="008B355C" w:rsidRPr="00472C4D" w:rsidRDefault="008B355C" w:rsidP="008B355C">
      <w:pPr>
        <w:spacing w:after="0" w:line="240" w:lineRule="auto"/>
        <w:jc w:val="both"/>
        <w:rPr>
          <w:rFonts w:ascii="Calibri" w:hAnsi="Calibri" w:cs="Calibri"/>
        </w:rPr>
      </w:pPr>
    </w:p>
    <w:p w14:paraId="4D096DE3" w14:textId="77777777" w:rsidR="008B355C" w:rsidRPr="00472C4D" w:rsidRDefault="008B355C" w:rsidP="008B355C">
      <w:pPr>
        <w:spacing w:after="0" w:line="240" w:lineRule="auto"/>
        <w:jc w:val="both"/>
        <w:rPr>
          <w:rFonts w:ascii="Calibri" w:hAnsi="Calibri" w:cs="Calibri"/>
        </w:rPr>
      </w:pPr>
    </w:p>
    <w:p w14:paraId="7DC96B29" w14:textId="77777777" w:rsidR="008B355C" w:rsidRPr="00472C4D" w:rsidRDefault="008B355C" w:rsidP="008B355C">
      <w:pPr>
        <w:spacing w:after="0" w:line="240" w:lineRule="auto"/>
        <w:jc w:val="both"/>
        <w:rPr>
          <w:rFonts w:ascii="Calibri" w:hAnsi="Calibri" w:cs="Calibri"/>
        </w:rPr>
      </w:pPr>
    </w:p>
    <w:p w14:paraId="332111F6" w14:textId="77777777" w:rsidR="008B355C" w:rsidRPr="00472C4D" w:rsidRDefault="008B355C" w:rsidP="008B355C">
      <w:pPr>
        <w:spacing w:after="0" w:line="240" w:lineRule="auto"/>
        <w:jc w:val="both"/>
        <w:rPr>
          <w:rFonts w:ascii="Calibri" w:hAnsi="Calibri" w:cs="Calibri"/>
        </w:rPr>
      </w:pPr>
    </w:p>
    <w:p w14:paraId="16BACCD5" w14:textId="77777777" w:rsidR="00991810" w:rsidRPr="00472C4D" w:rsidRDefault="00991810" w:rsidP="008B355C">
      <w:pPr>
        <w:spacing w:after="0" w:line="240" w:lineRule="auto"/>
        <w:jc w:val="both"/>
        <w:rPr>
          <w:rFonts w:ascii="Calibri" w:hAnsi="Calibri" w:cs="Calibri"/>
        </w:rPr>
      </w:pPr>
    </w:p>
    <w:p w14:paraId="1750BF47" w14:textId="77777777" w:rsidR="00991810" w:rsidRPr="00472C4D" w:rsidRDefault="00991810" w:rsidP="008B355C">
      <w:pPr>
        <w:spacing w:after="0" w:line="240" w:lineRule="auto"/>
        <w:jc w:val="both"/>
        <w:rPr>
          <w:rFonts w:ascii="Calibri" w:hAnsi="Calibri" w:cs="Calibri"/>
        </w:rPr>
      </w:pPr>
    </w:p>
    <w:p w14:paraId="0FC6CD9A" w14:textId="77777777" w:rsidR="00991810" w:rsidRPr="00472C4D" w:rsidRDefault="00991810" w:rsidP="008B355C">
      <w:pPr>
        <w:spacing w:after="0" w:line="240" w:lineRule="auto"/>
        <w:jc w:val="both"/>
        <w:rPr>
          <w:rFonts w:ascii="Calibri" w:hAnsi="Calibri" w:cs="Calibri"/>
        </w:rPr>
      </w:pPr>
    </w:p>
    <w:p w14:paraId="58CA595F" w14:textId="77777777" w:rsidR="00991810" w:rsidRPr="00472C4D" w:rsidRDefault="00991810" w:rsidP="008B355C">
      <w:pPr>
        <w:spacing w:after="0" w:line="240" w:lineRule="auto"/>
        <w:jc w:val="both"/>
        <w:rPr>
          <w:rFonts w:ascii="Calibri" w:hAnsi="Calibri" w:cs="Calibri"/>
        </w:rPr>
      </w:pPr>
    </w:p>
    <w:p w14:paraId="65D375D7" w14:textId="77777777" w:rsidR="00991810" w:rsidRPr="00472C4D" w:rsidRDefault="00991810" w:rsidP="008B355C">
      <w:pPr>
        <w:spacing w:after="0" w:line="240" w:lineRule="auto"/>
        <w:jc w:val="both"/>
        <w:rPr>
          <w:rFonts w:ascii="Calibri" w:hAnsi="Calibri" w:cs="Calibri"/>
        </w:rPr>
      </w:pPr>
    </w:p>
    <w:p w14:paraId="7C5C9B42" w14:textId="77777777" w:rsidR="00991810" w:rsidRPr="00472C4D" w:rsidRDefault="00991810" w:rsidP="008B355C">
      <w:pPr>
        <w:spacing w:after="0" w:line="240" w:lineRule="auto"/>
        <w:jc w:val="both"/>
        <w:rPr>
          <w:rFonts w:ascii="Calibri" w:hAnsi="Calibri" w:cs="Calibri"/>
        </w:rPr>
      </w:pPr>
    </w:p>
    <w:p w14:paraId="07BD313C" w14:textId="77777777" w:rsidR="008B355C" w:rsidRPr="00472C4D" w:rsidRDefault="008B355C" w:rsidP="008B355C">
      <w:pPr>
        <w:spacing w:after="0" w:line="240" w:lineRule="auto"/>
        <w:jc w:val="both"/>
        <w:rPr>
          <w:rFonts w:ascii="Calibri" w:hAnsi="Calibri" w:cs="Calibri"/>
        </w:rPr>
      </w:pPr>
    </w:p>
    <w:p w14:paraId="001680D3" w14:textId="77777777" w:rsidR="008B355C" w:rsidRPr="00472C4D" w:rsidRDefault="008B355C" w:rsidP="008B355C">
      <w:pPr>
        <w:spacing w:after="0" w:line="240" w:lineRule="auto"/>
        <w:jc w:val="both"/>
        <w:rPr>
          <w:rFonts w:ascii="Calibri" w:hAnsi="Calibri" w:cs="Calibri"/>
        </w:rPr>
      </w:pPr>
    </w:p>
    <w:p w14:paraId="7A58D0B4" w14:textId="77777777" w:rsidR="00991810" w:rsidRPr="00472C4D" w:rsidRDefault="00991810" w:rsidP="008B355C">
      <w:pPr>
        <w:spacing w:after="0" w:line="240" w:lineRule="auto"/>
        <w:jc w:val="both"/>
        <w:rPr>
          <w:rFonts w:ascii="Calibri" w:hAnsi="Calibri" w:cs="Calibri"/>
        </w:rPr>
      </w:pPr>
    </w:p>
    <w:p w14:paraId="3C4B701F" w14:textId="77777777" w:rsidR="00991810" w:rsidRPr="00472C4D" w:rsidRDefault="00991810" w:rsidP="008B355C">
      <w:pPr>
        <w:spacing w:after="0" w:line="240" w:lineRule="auto"/>
        <w:jc w:val="both"/>
        <w:rPr>
          <w:rFonts w:ascii="Calibri" w:hAnsi="Calibri" w:cs="Calibri"/>
        </w:rPr>
      </w:pPr>
    </w:p>
    <w:p w14:paraId="35191793" w14:textId="031900C2" w:rsidR="00991810" w:rsidRPr="00472C4D" w:rsidRDefault="00561EA0" w:rsidP="008B355C">
      <w:pPr>
        <w:spacing w:after="0" w:line="240" w:lineRule="auto"/>
        <w:jc w:val="center"/>
        <w:rPr>
          <w:rFonts w:ascii="Calibri" w:hAnsi="Calibri" w:cs="Calibri"/>
        </w:rPr>
      </w:pPr>
      <w:r>
        <w:rPr>
          <w:rFonts w:ascii="Calibri" w:hAnsi="Calibri" w:cs="Calibri"/>
        </w:rPr>
        <w:t>Julij</w:t>
      </w:r>
      <w:r w:rsidR="00991810" w:rsidRPr="00472C4D">
        <w:rPr>
          <w:rFonts w:ascii="Calibri" w:hAnsi="Calibri" w:cs="Calibri"/>
        </w:rPr>
        <w:t xml:space="preserve"> 2020</w:t>
      </w:r>
    </w:p>
    <w:p w14:paraId="1EAA32BA" w14:textId="75A0F409" w:rsidR="008B355C" w:rsidRPr="00472C4D" w:rsidRDefault="008B355C" w:rsidP="008B355C">
      <w:pPr>
        <w:spacing w:after="0" w:line="240" w:lineRule="auto"/>
        <w:jc w:val="center"/>
        <w:rPr>
          <w:rFonts w:ascii="Calibri" w:hAnsi="Calibri" w:cs="Calibri"/>
        </w:rPr>
      </w:pPr>
    </w:p>
    <w:p w14:paraId="3ABEFD79" w14:textId="4C0EDCB4" w:rsidR="00411309" w:rsidRPr="00472C4D" w:rsidRDefault="00411309" w:rsidP="008B355C">
      <w:pPr>
        <w:spacing w:after="0" w:line="240" w:lineRule="auto"/>
        <w:jc w:val="center"/>
        <w:rPr>
          <w:rFonts w:ascii="Calibri" w:hAnsi="Calibri" w:cs="Calibri"/>
        </w:rPr>
      </w:pPr>
    </w:p>
    <w:p w14:paraId="7135C5BF" w14:textId="29AB56F5" w:rsidR="00411309" w:rsidRPr="00472C4D" w:rsidRDefault="00411309" w:rsidP="00411309">
      <w:pPr>
        <w:spacing w:after="0" w:line="240" w:lineRule="auto"/>
        <w:rPr>
          <w:rFonts w:ascii="Calibri" w:hAnsi="Calibri" w:cs="Calibri"/>
          <w:b/>
          <w:bCs/>
          <w:sz w:val="26"/>
          <w:szCs w:val="26"/>
        </w:rPr>
      </w:pPr>
      <w:r w:rsidRPr="00472C4D">
        <w:rPr>
          <w:rFonts w:ascii="Calibri" w:hAnsi="Calibri" w:cs="Calibri"/>
          <w:b/>
          <w:bCs/>
          <w:sz w:val="26"/>
          <w:szCs w:val="26"/>
        </w:rPr>
        <w:lastRenderedPageBreak/>
        <w:t>Kazalo</w:t>
      </w:r>
    </w:p>
    <w:p w14:paraId="2D33C28E" w14:textId="78ECA2A2" w:rsidR="00411309" w:rsidRDefault="00411309" w:rsidP="00411309">
      <w:pPr>
        <w:spacing w:after="0" w:line="240" w:lineRule="auto"/>
        <w:rPr>
          <w:rFonts w:ascii="Calibri" w:hAnsi="Calibri" w:cs="Calibri"/>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7800"/>
        <w:gridCol w:w="563"/>
      </w:tblGrid>
      <w:tr w:rsidR="0072064A" w:rsidRPr="009A6772" w14:paraId="0F3ABDD0" w14:textId="77777777" w:rsidTr="00DF2F16">
        <w:tc>
          <w:tcPr>
            <w:tcW w:w="846" w:type="dxa"/>
          </w:tcPr>
          <w:p w14:paraId="4386600F" w14:textId="7EB4C5C9" w:rsidR="0072064A" w:rsidRPr="009A6772" w:rsidRDefault="0072064A" w:rsidP="006262D4">
            <w:pPr>
              <w:spacing w:before="60"/>
              <w:jc w:val="right"/>
              <w:rPr>
                <w:rFonts w:cstheme="minorHAnsi"/>
                <w:b/>
              </w:rPr>
            </w:pPr>
            <w:r w:rsidRPr="009A6772">
              <w:rPr>
                <w:rFonts w:cstheme="minorHAnsi"/>
                <w:b/>
              </w:rPr>
              <w:t>1</w:t>
            </w:r>
          </w:p>
        </w:tc>
        <w:tc>
          <w:tcPr>
            <w:tcW w:w="7800" w:type="dxa"/>
          </w:tcPr>
          <w:p w14:paraId="151FE8F5" w14:textId="7CBD6683" w:rsidR="0072064A" w:rsidRPr="009A6772" w:rsidRDefault="00246FA5" w:rsidP="008E4195">
            <w:pPr>
              <w:spacing w:before="60"/>
              <w:rPr>
                <w:rFonts w:cstheme="minorHAnsi"/>
              </w:rPr>
            </w:pPr>
            <w:r w:rsidRPr="009A6772">
              <w:rPr>
                <w:rFonts w:cstheme="minorHAnsi"/>
                <w:b/>
              </w:rPr>
              <w:t>K</w:t>
            </w:r>
            <w:r w:rsidR="0072064A" w:rsidRPr="009A6772">
              <w:rPr>
                <w:rFonts w:cstheme="minorHAnsi"/>
                <w:b/>
              </w:rPr>
              <w:t>ljučne ugotovitve</w:t>
            </w:r>
            <w:r w:rsidR="009F3981" w:rsidRPr="009A6772">
              <w:rPr>
                <w:rFonts w:cstheme="minorHAnsi"/>
              </w:rPr>
              <w:t>.....................................................</w:t>
            </w:r>
            <w:r w:rsidR="00AF76B4" w:rsidRPr="009A6772">
              <w:rPr>
                <w:rFonts w:cstheme="minorHAnsi"/>
              </w:rPr>
              <w:t>.....................</w:t>
            </w:r>
            <w:r w:rsidR="007127C5" w:rsidRPr="009A6772">
              <w:rPr>
                <w:rFonts w:cstheme="minorHAnsi"/>
              </w:rPr>
              <w:t>....................</w:t>
            </w:r>
            <w:r w:rsidR="009A6772">
              <w:rPr>
                <w:rFonts w:cstheme="minorHAnsi"/>
              </w:rPr>
              <w:t>...........</w:t>
            </w:r>
          </w:p>
        </w:tc>
        <w:tc>
          <w:tcPr>
            <w:tcW w:w="563" w:type="dxa"/>
          </w:tcPr>
          <w:p w14:paraId="0438B9C0" w14:textId="67039691" w:rsidR="0072064A" w:rsidRPr="009A6772" w:rsidRDefault="007127C5" w:rsidP="000904FE">
            <w:pPr>
              <w:spacing w:before="60"/>
              <w:jc w:val="both"/>
              <w:rPr>
                <w:rFonts w:cstheme="minorHAnsi"/>
                <w:b/>
                <w:bCs/>
              </w:rPr>
            </w:pPr>
            <w:r w:rsidRPr="009A6772">
              <w:rPr>
                <w:rFonts w:cstheme="minorHAnsi"/>
                <w:b/>
                <w:bCs/>
              </w:rPr>
              <w:t>4</w:t>
            </w:r>
          </w:p>
        </w:tc>
      </w:tr>
      <w:tr w:rsidR="0072064A" w:rsidRPr="009A6772" w14:paraId="6244DECC" w14:textId="77777777" w:rsidTr="00DF2F16">
        <w:tc>
          <w:tcPr>
            <w:tcW w:w="846" w:type="dxa"/>
          </w:tcPr>
          <w:p w14:paraId="5B909DD7" w14:textId="7814A5F4" w:rsidR="0072064A" w:rsidRPr="009A6772" w:rsidRDefault="0072064A" w:rsidP="006262D4">
            <w:pPr>
              <w:spacing w:before="60"/>
              <w:jc w:val="right"/>
              <w:rPr>
                <w:rFonts w:cstheme="minorHAnsi"/>
                <w:b/>
              </w:rPr>
            </w:pPr>
            <w:r w:rsidRPr="009A6772">
              <w:rPr>
                <w:rFonts w:cstheme="minorHAnsi"/>
                <w:b/>
              </w:rPr>
              <w:t>2</w:t>
            </w:r>
          </w:p>
        </w:tc>
        <w:tc>
          <w:tcPr>
            <w:tcW w:w="7800" w:type="dxa"/>
          </w:tcPr>
          <w:p w14:paraId="560433AB" w14:textId="09129A4B" w:rsidR="0072064A" w:rsidRPr="009A6772" w:rsidRDefault="0072064A" w:rsidP="008E4195">
            <w:pPr>
              <w:spacing w:before="60"/>
              <w:rPr>
                <w:rFonts w:cstheme="minorHAnsi"/>
              </w:rPr>
            </w:pPr>
            <w:r w:rsidRPr="009A6772">
              <w:rPr>
                <w:rFonts w:cstheme="minorHAnsi"/>
                <w:b/>
              </w:rPr>
              <w:t>Ocena doseganja ciljev</w:t>
            </w:r>
            <w:r w:rsidR="009F3981" w:rsidRPr="009A6772">
              <w:rPr>
                <w:rFonts w:cstheme="minorHAnsi"/>
              </w:rPr>
              <w:t>...............................................................</w:t>
            </w:r>
            <w:r w:rsidR="0010715D" w:rsidRPr="009A6772">
              <w:rPr>
                <w:rFonts w:cstheme="minorHAnsi"/>
              </w:rPr>
              <w:t>.</w:t>
            </w:r>
            <w:r w:rsidR="009F3981" w:rsidRPr="009A6772">
              <w:rPr>
                <w:rFonts w:cstheme="minorHAnsi"/>
              </w:rPr>
              <w:t>..</w:t>
            </w:r>
            <w:r w:rsidR="00AF76B4" w:rsidRPr="009A6772">
              <w:rPr>
                <w:rFonts w:cstheme="minorHAnsi"/>
              </w:rPr>
              <w:t>.....................</w:t>
            </w:r>
            <w:r w:rsidR="009A6772">
              <w:rPr>
                <w:rFonts w:cstheme="minorHAnsi"/>
              </w:rPr>
              <w:t>...........</w:t>
            </w:r>
          </w:p>
        </w:tc>
        <w:tc>
          <w:tcPr>
            <w:tcW w:w="563" w:type="dxa"/>
          </w:tcPr>
          <w:p w14:paraId="7A3F1CE8" w14:textId="0FB41AE9" w:rsidR="0072064A" w:rsidRPr="009A6772" w:rsidRDefault="007127C5" w:rsidP="000904FE">
            <w:pPr>
              <w:spacing w:before="60"/>
              <w:jc w:val="both"/>
              <w:rPr>
                <w:rFonts w:cstheme="minorHAnsi"/>
                <w:b/>
                <w:bCs/>
              </w:rPr>
            </w:pPr>
            <w:r w:rsidRPr="009A6772">
              <w:rPr>
                <w:rFonts w:cstheme="minorHAnsi"/>
                <w:b/>
                <w:bCs/>
              </w:rPr>
              <w:t>6</w:t>
            </w:r>
          </w:p>
        </w:tc>
      </w:tr>
      <w:tr w:rsidR="0072064A" w:rsidRPr="009A6772" w14:paraId="6BE44D0D" w14:textId="77777777" w:rsidTr="00DF2F16">
        <w:tc>
          <w:tcPr>
            <w:tcW w:w="846" w:type="dxa"/>
          </w:tcPr>
          <w:p w14:paraId="07243551" w14:textId="4B84E646" w:rsidR="0072064A" w:rsidRPr="009A6772" w:rsidRDefault="0072064A" w:rsidP="006262D4">
            <w:pPr>
              <w:spacing w:before="60"/>
              <w:jc w:val="right"/>
              <w:rPr>
                <w:rFonts w:cstheme="minorHAnsi"/>
              </w:rPr>
            </w:pPr>
            <w:r w:rsidRPr="009A6772">
              <w:rPr>
                <w:rFonts w:cstheme="minorHAnsi"/>
              </w:rPr>
              <w:t>2.1</w:t>
            </w:r>
          </w:p>
        </w:tc>
        <w:tc>
          <w:tcPr>
            <w:tcW w:w="7800" w:type="dxa"/>
          </w:tcPr>
          <w:p w14:paraId="131E2BE9" w14:textId="4FC63A6F" w:rsidR="0072064A" w:rsidRPr="009A6772" w:rsidRDefault="0072064A" w:rsidP="000904FE">
            <w:pPr>
              <w:spacing w:before="60"/>
              <w:rPr>
                <w:rFonts w:cstheme="minorHAnsi"/>
              </w:rPr>
            </w:pPr>
            <w:r w:rsidRPr="009A6772">
              <w:rPr>
                <w:rFonts w:cstheme="minorHAnsi"/>
              </w:rPr>
              <w:t>Doseganje ciljev po Odločbi 406/2009/ES</w:t>
            </w:r>
            <w:r w:rsidR="009F3981" w:rsidRPr="009A6772">
              <w:rPr>
                <w:rFonts w:cstheme="minorHAnsi"/>
              </w:rPr>
              <w:t>..........................................................</w:t>
            </w:r>
            <w:r w:rsidR="00AF76B4" w:rsidRPr="009A6772">
              <w:rPr>
                <w:rFonts w:cstheme="minorHAnsi"/>
              </w:rPr>
              <w:t>............</w:t>
            </w:r>
          </w:p>
        </w:tc>
        <w:tc>
          <w:tcPr>
            <w:tcW w:w="563" w:type="dxa"/>
          </w:tcPr>
          <w:p w14:paraId="07874810" w14:textId="0B791525" w:rsidR="0072064A" w:rsidRPr="009A6772" w:rsidRDefault="007127C5" w:rsidP="000904FE">
            <w:pPr>
              <w:spacing w:before="60"/>
              <w:jc w:val="both"/>
              <w:rPr>
                <w:rFonts w:cstheme="minorHAnsi"/>
              </w:rPr>
            </w:pPr>
            <w:r w:rsidRPr="009A6772">
              <w:rPr>
                <w:rFonts w:cstheme="minorHAnsi"/>
              </w:rPr>
              <w:t>6</w:t>
            </w:r>
          </w:p>
        </w:tc>
      </w:tr>
      <w:tr w:rsidR="0072064A" w:rsidRPr="009A6772" w14:paraId="491CE0EF" w14:textId="77777777" w:rsidTr="00DF2F16">
        <w:tc>
          <w:tcPr>
            <w:tcW w:w="846" w:type="dxa"/>
          </w:tcPr>
          <w:p w14:paraId="306CD140" w14:textId="27623C6C" w:rsidR="0072064A" w:rsidRPr="009A6772" w:rsidRDefault="0072064A" w:rsidP="006262D4">
            <w:pPr>
              <w:spacing w:before="60"/>
              <w:jc w:val="right"/>
              <w:rPr>
                <w:rFonts w:cstheme="minorHAnsi"/>
              </w:rPr>
            </w:pPr>
            <w:r w:rsidRPr="009A6772">
              <w:rPr>
                <w:rFonts w:cstheme="minorHAnsi"/>
              </w:rPr>
              <w:t>2.2</w:t>
            </w:r>
          </w:p>
        </w:tc>
        <w:tc>
          <w:tcPr>
            <w:tcW w:w="7800" w:type="dxa"/>
          </w:tcPr>
          <w:p w14:paraId="59A462E2" w14:textId="15D36845" w:rsidR="0072064A" w:rsidRPr="009A6772" w:rsidRDefault="0072064A" w:rsidP="000904FE">
            <w:pPr>
              <w:spacing w:before="60"/>
              <w:rPr>
                <w:rFonts w:cstheme="minorHAnsi"/>
              </w:rPr>
            </w:pPr>
            <w:r w:rsidRPr="009A6772">
              <w:rPr>
                <w:rFonts w:cstheme="minorHAnsi"/>
              </w:rPr>
              <w:t>Doseganje sektorskih ciljev omejevanja emisij toplogrednih plinov iz OP TGP 2020</w:t>
            </w:r>
            <w:r w:rsidR="009F3981" w:rsidRPr="009A6772">
              <w:rPr>
                <w:rFonts w:cstheme="minorHAnsi"/>
              </w:rPr>
              <w:t>.....................................................................................................................</w:t>
            </w:r>
            <w:r w:rsidR="00AF76B4" w:rsidRPr="009A6772">
              <w:rPr>
                <w:rFonts w:cstheme="minorHAnsi"/>
              </w:rPr>
              <w:t>...........</w:t>
            </w:r>
          </w:p>
        </w:tc>
        <w:tc>
          <w:tcPr>
            <w:tcW w:w="563" w:type="dxa"/>
          </w:tcPr>
          <w:p w14:paraId="127261C1" w14:textId="2B1C2870" w:rsidR="007127C5" w:rsidRPr="009A6772" w:rsidRDefault="007127C5" w:rsidP="00CB502F">
            <w:pPr>
              <w:spacing w:before="360"/>
              <w:jc w:val="both"/>
              <w:rPr>
                <w:rFonts w:cstheme="minorHAnsi"/>
              </w:rPr>
            </w:pPr>
            <w:r w:rsidRPr="009A6772">
              <w:rPr>
                <w:rFonts w:cstheme="minorHAnsi"/>
              </w:rPr>
              <w:t>7</w:t>
            </w:r>
          </w:p>
        </w:tc>
      </w:tr>
      <w:tr w:rsidR="0072064A" w:rsidRPr="009A6772" w14:paraId="7478D23F" w14:textId="77777777" w:rsidTr="00DF2F16">
        <w:tc>
          <w:tcPr>
            <w:tcW w:w="846" w:type="dxa"/>
          </w:tcPr>
          <w:p w14:paraId="73EE1706" w14:textId="366FD82A" w:rsidR="0072064A" w:rsidRPr="009A6772" w:rsidRDefault="0072064A" w:rsidP="006262D4">
            <w:pPr>
              <w:spacing w:before="60"/>
              <w:jc w:val="right"/>
              <w:rPr>
                <w:rFonts w:cstheme="minorHAnsi"/>
              </w:rPr>
            </w:pPr>
            <w:r w:rsidRPr="009A6772">
              <w:rPr>
                <w:rFonts w:cstheme="minorHAnsi"/>
              </w:rPr>
              <w:t>2.2.1</w:t>
            </w:r>
          </w:p>
        </w:tc>
        <w:tc>
          <w:tcPr>
            <w:tcW w:w="7800" w:type="dxa"/>
          </w:tcPr>
          <w:p w14:paraId="0FF63818" w14:textId="2FAC4E8B" w:rsidR="0072064A" w:rsidRPr="009A6772" w:rsidRDefault="0072064A" w:rsidP="000904FE">
            <w:pPr>
              <w:spacing w:before="60"/>
              <w:rPr>
                <w:rFonts w:cstheme="minorHAnsi"/>
              </w:rPr>
            </w:pPr>
            <w:r w:rsidRPr="009A6772">
              <w:rPr>
                <w:rFonts w:cstheme="minorHAnsi"/>
              </w:rPr>
              <w:t>Promet</w:t>
            </w:r>
            <w:r w:rsidR="009F3981" w:rsidRPr="009A6772">
              <w:rPr>
                <w:rFonts w:cstheme="minorHAnsi"/>
              </w:rPr>
              <w:t>............................................................................................................................</w:t>
            </w:r>
          </w:p>
        </w:tc>
        <w:tc>
          <w:tcPr>
            <w:tcW w:w="563" w:type="dxa"/>
          </w:tcPr>
          <w:p w14:paraId="73D2AE62" w14:textId="724815B2" w:rsidR="0072064A" w:rsidRPr="009A6772" w:rsidRDefault="007127C5" w:rsidP="000904FE">
            <w:pPr>
              <w:spacing w:before="60"/>
              <w:jc w:val="both"/>
              <w:rPr>
                <w:rFonts w:cstheme="minorHAnsi"/>
              </w:rPr>
            </w:pPr>
            <w:r w:rsidRPr="009A6772">
              <w:rPr>
                <w:rFonts w:cstheme="minorHAnsi"/>
              </w:rPr>
              <w:t>8</w:t>
            </w:r>
          </w:p>
        </w:tc>
      </w:tr>
      <w:tr w:rsidR="0072064A" w:rsidRPr="009A6772" w14:paraId="7F2144DD" w14:textId="77777777" w:rsidTr="00DF2F16">
        <w:tc>
          <w:tcPr>
            <w:tcW w:w="846" w:type="dxa"/>
          </w:tcPr>
          <w:p w14:paraId="5A26A369" w14:textId="71395AF7" w:rsidR="0072064A" w:rsidRPr="009A6772" w:rsidRDefault="0072064A" w:rsidP="006262D4">
            <w:pPr>
              <w:spacing w:before="60"/>
              <w:jc w:val="right"/>
              <w:rPr>
                <w:rFonts w:cstheme="minorHAnsi"/>
              </w:rPr>
            </w:pPr>
            <w:r w:rsidRPr="009A6772">
              <w:rPr>
                <w:rFonts w:cstheme="minorHAnsi"/>
              </w:rPr>
              <w:t>2.2.2</w:t>
            </w:r>
          </w:p>
        </w:tc>
        <w:tc>
          <w:tcPr>
            <w:tcW w:w="7800" w:type="dxa"/>
          </w:tcPr>
          <w:p w14:paraId="1757DBF9" w14:textId="72238EC2" w:rsidR="0072064A" w:rsidRPr="009A6772" w:rsidRDefault="0072064A" w:rsidP="000904FE">
            <w:pPr>
              <w:spacing w:before="60"/>
              <w:rPr>
                <w:rFonts w:cstheme="minorHAnsi"/>
              </w:rPr>
            </w:pPr>
            <w:r w:rsidRPr="009A6772">
              <w:rPr>
                <w:rFonts w:cstheme="minorHAnsi"/>
              </w:rPr>
              <w:t>Kmetijstvo</w:t>
            </w:r>
            <w:r w:rsidR="009F3981" w:rsidRPr="009A6772">
              <w:rPr>
                <w:rFonts w:cstheme="minorHAnsi"/>
              </w:rPr>
              <w:t>.......................................................................................................................</w:t>
            </w:r>
          </w:p>
        </w:tc>
        <w:tc>
          <w:tcPr>
            <w:tcW w:w="563" w:type="dxa"/>
          </w:tcPr>
          <w:p w14:paraId="209E975B" w14:textId="527532AB" w:rsidR="0072064A" w:rsidRPr="009A6772" w:rsidRDefault="007127C5" w:rsidP="000904FE">
            <w:pPr>
              <w:spacing w:before="60"/>
              <w:jc w:val="both"/>
              <w:rPr>
                <w:rFonts w:cstheme="minorHAnsi"/>
              </w:rPr>
            </w:pPr>
            <w:r w:rsidRPr="009A6772">
              <w:rPr>
                <w:rFonts w:cstheme="minorHAnsi"/>
              </w:rPr>
              <w:t>8</w:t>
            </w:r>
          </w:p>
        </w:tc>
      </w:tr>
      <w:tr w:rsidR="0072064A" w:rsidRPr="009A6772" w14:paraId="4114EBE5" w14:textId="77777777" w:rsidTr="00DF2F16">
        <w:tc>
          <w:tcPr>
            <w:tcW w:w="846" w:type="dxa"/>
          </w:tcPr>
          <w:p w14:paraId="3A5BC513" w14:textId="2CEDF6A3" w:rsidR="0072064A" w:rsidRPr="009A6772" w:rsidRDefault="0072064A" w:rsidP="006262D4">
            <w:pPr>
              <w:spacing w:before="60"/>
              <w:jc w:val="right"/>
              <w:rPr>
                <w:rFonts w:cstheme="minorHAnsi"/>
              </w:rPr>
            </w:pPr>
            <w:r w:rsidRPr="009A6772">
              <w:rPr>
                <w:rFonts w:cstheme="minorHAnsi"/>
              </w:rPr>
              <w:t>2.2.3</w:t>
            </w:r>
          </w:p>
        </w:tc>
        <w:tc>
          <w:tcPr>
            <w:tcW w:w="7800" w:type="dxa"/>
          </w:tcPr>
          <w:p w14:paraId="6DA44E3B" w14:textId="05F902B0" w:rsidR="0072064A" w:rsidRPr="009A6772" w:rsidRDefault="0072064A" w:rsidP="000904FE">
            <w:pPr>
              <w:spacing w:before="60"/>
              <w:rPr>
                <w:rFonts w:cstheme="minorHAnsi"/>
              </w:rPr>
            </w:pPr>
            <w:r w:rsidRPr="009A6772">
              <w:rPr>
                <w:rFonts w:cstheme="minorHAnsi"/>
              </w:rPr>
              <w:t>Široka raba – stavbe</w:t>
            </w:r>
            <w:r w:rsidR="009F3981" w:rsidRPr="009A6772">
              <w:rPr>
                <w:rFonts w:cstheme="minorHAnsi"/>
              </w:rPr>
              <w:t>........................................................................................................</w:t>
            </w:r>
          </w:p>
        </w:tc>
        <w:tc>
          <w:tcPr>
            <w:tcW w:w="563" w:type="dxa"/>
          </w:tcPr>
          <w:p w14:paraId="535A0F97" w14:textId="75259E43" w:rsidR="0072064A" w:rsidRPr="009A6772" w:rsidRDefault="007127C5" w:rsidP="000904FE">
            <w:pPr>
              <w:spacing w:before="60"/>
              <w:jc w:val="both"/>
              <w:rPr>
                <w:rFonts w:cstheme="minorHAnsi"/>
              </w:rPr>
            </w:pPr>
            <w:r w:rsidRPr="009A6772">
              <w:rPr>
                <w:rFonts w:cstheme="minorHAnsi"/>
              </w:rPr>
              <w:t>9</w:t>
            </w:r>
          </w:p>
        </w:tc>
      </w:tr>
      <w:tr w:rsidR="0072064A" w:rsidRPr="009A6772" w14:paraId="1CC0003A" w14:textId="77777777" w:rsidTr="00DF2F16">
        <w:tc>
          <w:tcPr>
            <w:tcW w:w="846" w:type="dxa"/>
          </w:tcPr>
          <w:p w14:paraId="20670D24" w14:textId="11A12957" w:rsidR="0072064A" w:rsidRPr="009A6772" w:rsidRDefault="0072064A" w:rsidP="006262D4">
            <w:pPr>
              <w:spacing w:before="60"/>
              <w:jc w:val="right"/>
              <w:rPr>
                <w:rFonts w:cstheme="minorHAnsi"/>
              </w:rPr>
            </w:pPr>
            <w:r w:rsidRPr="009A6772">
              <w:rPr>
                <w:rFonts w:cstheme="minorHAnsi"/>
              </w:rPr>
              <w:t>2.2.4</w:t>
            </w:r>
          </w:p>
        </w:tc>
        <w:tc>
          <w:tcPr>
            <w:tcW w:w="7800" w:type="dxa"/>
          </w:tcPr>
          <w:p w14:paraId="2C6FEC61" w14:textId="1CF9CD0C" w:rsidR="0072064A" w:rsidRPr="009A6772" w:rsidRDefault="0072064A" w:rsidP="000904FE">
            <w:pPr>
              <w:spacing w:before="60"/>
              <w:rPr>
                <w:rFonts w:cstheme="minorHAnsi"/>
              </w:rPr>
            </w:pPr>
            <w:r w:rsidRPr="009A6772">
              <w:rPr>
                <w:rFonts w:cstheme="minorHAnsi"/>
              </w:rPr>
              <w:t>Industrija ne</w:t>
            </w:r>
            <w:r w:rsidR="00FD0193" w:rsidRPr="009A6772">
              <w:rPr>
                <w:rFonts w:cstheme="minorHAnsi"/>
              </w:rPr>
              <w:t>-</w:t>
            </w:r>
            <w:r w:rsidRPr="009A6772">
              <w:rPr>
                <w:rFonts w:cstheme="minorHAnsi"/>
              </w:rPr>
              <w:t>ETS</w:t>
            </w:r>
            <w:r w:rsidR="009F3981" w:rsidRPr="009A6772">
              <w:rPr>
                <w:rFonts w:cstheme="minorHAnsi"/>
              </w:rPr>
              <w:t>.............................................................................................................</w:t>
            </w:r>
          </w:p>
        </w:tc>
        <w:tc>
          <w:tcPr>
            <w:tcW w:w="563" w:type="dxa"/>
          </w:tcPr>
          <w:p w14:paraId="5CCC17F5" w14:textId="3F356FDE" w:rsidR="0072064A" w:rsidRPr="009A6772" w:rsidRDefault="007127C5" w:rsidP="000904FE">
            <w:pPr>
              <w:spacing w:before="60"/>
              <w:jc w:val="both"/>
              <w:rPr>
                <w:rFonts w:cstheme="minorHAnsi"/>
              </w:rPr>
            </w:pPr>
            <w:r w:rsidRPr="009A6772">
              <w:rPr>
                <w:rFonts w:cstheme="minorHAnsi"/>
              </w:rPr>
              <w:t>9</w:t>
            </w:r>
          </w:p>
        </w:tc>
      </w:tr>
      <w:tr w:rsidR="00EF7137" w:rsidRPr="009A6772" w14:paraId="04D407E7" w14:textId="77777777" w:rsidTr="00DF2F16">
        <w:tc>
          <w:tcPr>
            <w:tcW w:w="846" w:type="dxa"/>
          </w:tcPr>
          <w:p w14:paraId="7700E6A1" w14:textId="14EF72BE" w:rsidR="00EF7137" w:rsidRPr="009A6772" w:rsidRDefault="00BF46E6" w:rsidP="006341BA">
            <w:pPr>
              <w:spacing w:before="60"/>
              <w:jc w:val="right"/>
              <w:rPr>
                <w:rFonts w:cstheme="minorHAnsi"/>
              </w:rPr>
            </w:pPr>
            <w:r w:rsidRPr="009A6772">
              <w:rPr>
                <w:rFonts w:cstheme="minorHAnsi"/>
              </w:rPr>
              <w:t>2.2.5</w:t>
            </w:r>
          </w:p>
        </w:tc>
        <w:tc>
          <w:tcPr>
            <w:tcW w:w="7800" w:type="dxa"/>
          </w:tcPr>
          <w:p w14:paraId="789CAF36" w14:textId="77777777" w:rsidR="00EF7137" w:rsidRPr="009A6772" w:rsidRDefault="00EF7137" w:rsidP="006341BA">
            <w:pPr>
              <w:spacing w:before="60"/>
              <w:rPr>
                <w:rFonts w:cstheme="minorHAnsi"/>
              </w:rPr>
            </w:pPr>
            <w:r w:rsidRPr="009A6772">
              <w:rPr>
                <w:rFonts w:cstheme="minorHAnsi"/>
              </w:rPr>
              <w:t>Energetika ne-ETS...........................................................................................................</w:t>
            </w:r>
          </w:p>
        </w:tc>
        <w:tc>
          <w:tcPr>
            <w:tcW w:w="563" w:type="dxa"/>
          </w:tcPr>
          <w:p w14:paraId="2DFAAD38" w14:textId="0011777C" w:rsidR="00EF7137" w:rsidRPr="009A6772" w:rsidRDefault="007127C5" w:rsidP="006341BA">
            <w:pPr>
              <w:spacing w:before="60"/>
              <w:jc w:val="both"/>
              <w:rPr>
                <w:rFonts w:cstheme="minorHAnsi"/>
              </w:rPr>
            </w:pPr>
            <w:r w:rsidRPr="009A6772">
              <w:rPr>
                <w:rFonts w:cstheme="minorHAnsi"/>
              </w:rPr>
              <w:t>9</w:t>
            </w:r>
          </w:p>
        </w:tc>
      </w:tr>
      <w:tr w:rsidR="00EF7137" w:rsidRPr="009A6772" w14:paraId="356E87A9" w14:textId="77777777" w:rsidTr="00DF2F16">
        <w:tc>
          <w:tcPr>
            <w:tcW w:w="846" w:type="dxa"/>
          </w:tcPr>
          <w:p w14:paraId="36C47725" w14:textId="4B38066B" w:rsidR="00EF7137" w:rsidRPr="009A6772" w:rsidRDefault="00BF46E6" w:rsidP="006262D4">
            <w:pPr>
              <w:spacing w:before="60"/>
              <w:jc w:val="right"/>
              <w:rPr>
                <w:rFonts w:cstheme="minorHAnsi"/>
              </w:rPr>
            </w:pPr>
            <w:r w:rsidRPr="009A6772">
              <w:rPr>
                <w:rFonts w:cstheme="minorHAnsi"/>
              </w:rPr>
              <w:t>2.2.6</w:t>
            </w:r>
          </w:p>
        </w:tc>
        <w:tc>
          <w:tcPr>
            <w:tcW w:w="7800" w:type="dxa"/>
          </w:tcPr>
          <w:p w14:paraId="2A1B8A2E" w14:textId="083DB9A3" w:rsidR="00EF7137" w:rsidRPr="009A6772" w:rsidRDefault="00EF7137" w:rsidP="000904FE">
            <w:pPr>
              <w:spacing w:before="60"/>
              <w:rPr>
                <w:rFonts w:cstheme="minorHAnsi"/>
              </w:rPr>
            </w:pPr>
            <w:r w:rsidRPr="009A6772">
              <w:rPr>
                <w:rFonts w:cstheme="minorHAnsi"/>
              </w:rPr>
              <w:t>Odpadki...........................................................................................................................</w:t>
            </w:r>
          </w:p>
        </w:tc>
        <w:tc>
          <w:tcPr>
            <w:tcW w:w="563" w:type="dxa"/>
          </w:tcPr>
          <w:p w14:paraId="7D90C1FA" w14:textId="57940846" w:rsidR="00EF7137" w:rsidRPr="009A6772" w:rsidRDefault="007127C5" w:rsidP="000904FE">
            <w:pPr>
              <w:spacing w:before="60"/>
              <w:jc w:val="both"/>
              <w:rPr>
                <w:rFonts w:cstheme="minorHAnsi"/>
              </w:rPr>
            </w:pPr>
            <w:r w:rsidRPr="009A6772">
              <w:rPr>
                <w:rFonts w:cstheme="minorHAnsi"/>
              </w:rPr>
              <w:t>10</w:t>
            </w:r>
          </w:p>
        </w:tc>
      </w:tr>
      <w:tr w:rsidR="000F79D2" w:rsidRPr="009A6772" w14:paraId="009C62D6" w14:textId="77777777" w:rsidTr="00DF2F16">
        <w:tc>
          <w:tcPr>
            <w:tcW w:w="846" w:type="dxa"/>
          </w:tcPr>
          <w:p w14:paraId="4AC9BE9A" w14:textId="21E39797" w:rsidR="000F79D2" w:rsidRPr="009A6772" w:rsidRDefault="000F79D2" w:rsidP="006262D4">
            <w:pPr>
              <w:spacing w:before="60"/>
              <w:jc w:val="right"/>
              <w:rPr>
                <w:rFonts w:cstheme="minorHAnsi"/>
              </w:rPr>
            </w:pPr>
            <w:r w:rsidRPr="009A6772">
              <w:rPr>
                <w:rFonts w:cstheme="minorHAnsi"/>
              </w:rPr>
              <w:t>2.2.7</w:t>
            </w:r>
          </w:p>
        </w:tc>
        <w:tc>
          <w:tcPr>
            <w:tcW w:w="7800" w:type="dxa"/>
          </w:tcPr>
          <w:p w14:paraId="38A1F50F" w14:textId="29B5D589" w:rsidR="000F79D2" w:rsidRPr="009A6772" w:rsidRDefault="000F79D2" w:rsidP="000F79D2">
            <w:pPr>
              <w:spacing w:before="60"/>
              <w:jc w:val="both"/>
              <w:rPr>
                <w:rFonts w:cstheme="minorHAnsi"/>
              </w:rPr>
            </w:pPr>
            <w:r w:rsidRPr="009A6772">
              <w:rPr>
                <w:rFonts w:cstheme="minorHAnsi"/>
              </w:rPr>
              <w:t>LULUCF – raba zemljišč, sprememba rabe zemljišč in gozdarstvo………………………………</w:t>
            </w:r>
            <w:r w:rsidR="009A6772">
              <w:rPr>
                <w:rFonts w:cstheme="minorHAnsi"/>
              </w:rPr>
              <w:t>.</w:t>
            </w:r>
          </w:p>
        </w:tc>
        <w:tc>
          <w:tcPr>
            <w:tcW w:w="563" w:type="dxa"/>
          </w:tcPr>
          <w:p w14:paraId="3843157E" w14:textId="45F68842" w:rsidR="000F79D2" w:rsidRPr="009A6772" w:rsidRDefault="000F79D2" w:rsidP="000904FE">
            <w:pPr>
              <w:spacing w:before="60"/>
              <w:jc w:val="both"/>
              <w:rPr>
                <w:rFonts w:cstheme="minorHAnsi"/>
              </w:rPr>
            </w:pPr>
            <w:r w:rsidRPr="009A6772">
              <w:rPr>
                <w:rFonts w:cstheme="minorHAnsi"/>
              </w:rPr>
              <w:t>10</w:t>
            </w:r>
          </w:p>
        </w:tc>
      </w:tr>
      <w:tr w:rsidR="00EF7137" w:rsidRPr="009A6772" w14:paraId="33568EFE" w14:textId="77777777" w:rsidTr="00DF2F16">
        <w:tc>
          <w:tcPr>
            <w:tcW w:w="846" w:type="dxa"/>
          </w:tcPr>
          <w:p w14:paraId="2BCF0F07" w14:textId="20D7DCD2" w:rsidR="00EF7137" w:rsidRPr="009A6772" w:rsidRDefault="00EF7137" w:rsidP="006262D4">
            <w:pPr>
              <w:spacing w:before="60"/>
              <w:jc w:val="right"/>
              <w:rPr>
                <w:rFonts w:cstheme="minorHAnsi"/>
              </w:rPr>
            </w:pPr>
            <w:r w:rsidRPr="009A6772">
              <w:rPr>
                <w:rFonts w:cstheme="minorHAnsi"/>
              </w:rPr>
              <w:t>2.</w:t>
            </w:r>
            <w:r w:rsidR="000F79D2" w:rsidRPr="009A6772">
              <w:rPr>
                <w:rFonts w:cstheme="minorHAnsi"/>
              </w:rPr>
              <w:t>2.8</w:t>
            </w:r>
          </w:p>
        </w:tc>
        <w:tc>
          <w:tcPr>
            <w:tcW w:w="7800" w:type="dxa"/>
          </w:tcPr>
          <w:p w14:paraId="41805C01" w14:textId="7068EFA1" w:rsidR="00EF7137" w:rsidRPr="009A6772" w:rsidRDefault="00EF7137" w:rsidP="000904FE">
            <w:pPr>
              <w:spacing w:before="60"/>
              <w:rPr>
                <w:rFonts w:cstheme="minorHAnsi"/>
              </w:rPr>
            </w:pPr>
            <w:r w:rsidRPr="009A6772">
              <w:rPr>
                <w:rFonts w:cstheme="minorHAnsi"/>
              </w:rPr>
              <w:t>Prve ocene emisij TGP za leto 2019................................................................................</w:t>
            </w:r>
          </w:p>
        </w:tc>
        <w:tc>
          <w:tcPr>
            <w:tcW w:w="563" w:type="dxa"/>
          </w:tcPr>
          <w:p w14:paraId="745671BE" w14:textId="6DA9B6BA" w:rsidR="00EF7137" w:rsidRPr="009A6772" w:rsidRDefault="007127C5" w:rsidP="000904FE">
            <w:pPr>
              <w:spacing w:before="60"/>
              <w:jc w:val="both"/>
              <w:rPr>
                <w:rFonts w:cstheme="minorHAnsi"/>
              </w:rPr>
            </w:pPr>
            <w:r w:rsidRPr="009A6772">
              <w:rPr>
                <w:rFonts w:cstheme="minorHAnsi"/>
              </w:rPr>
              <w:t>10</w:t>
            </w:r>
          </w:p>
        </w:tc>
      </w:tr>
      <w:tr w:rsidR="00EF7137" w:rsidRPr="009A6772" w14:paraId="27492DE2" w14:textId="77777777" w:rsidTr="00DF2F16">
        <w:tc>
          <w:tcPr>
            <w:tcW w:w="846" w:type="dxa"/>
          </w:tcPr>
          <w:p w14:paraId="58F64802" w14:textId="05B2B406" w:rsidR="00EF7137" w:rsidRPr="009A6772" w:rsidRDefault="00EF7137" w:rsidP="006262D4">
            <w:pPr>
              <w:spacing w:before="60"/>
              <w:jc w:val="right"/>
              <w:rPr>
                <w:rFonts w:cstheme="minorHAnsi"/>
                <w:b/>
              </w:rPr>
            </w:pPr>
            <w:r w:rsidRPr="009A6772">
              <w:rPr>
                <w:rFonts w:cstheme="minorHAnsi"/>
                <w:b/>
              </w:rPr>
              <w:t>3</w:t>
            </w:r>
          </w:p>
        </w:tc>
        <w:tc>
          <w:tcPr>
            <w:tcW w:w="7800" w:type="dxa"/>
          </w:tcPr>
          <w:p w14:paraId="7B3561BE" w14:textId="2BFAC8AF" w:rsidR="00EF7137" w:rsidRPr="009A6772" w:rsidRDefault="00EF7137" w:rsidP="008E4195">
            <w:pPr>
              <w:spacing w:before="60"/>
              <w:rPr>
                <w:rFonts w:cstheme="minorHAnsi"/>
              </w:rPr>
            </w:pPr>
            <w:r w:rsidRPr="009A6772">
              <w:rPr>
                <w:rFonts w:cstheme="minorHAnsi"/>
                <w:b/>
              </w:rPr>
              <w:t>Analiza glavnih kazalcev izvajanja OP TGP 2020</w:t>
            </w:r>
            <w:r w:rsidRPr="009A6772">
              <w:rPr>
                <w:rFonts w:cstheme="minorHAnsi"/>
              </w:rPr>
              <w:t>……………………………………………</w:t>
            </w:r>
            <w:r w:rsidR="009A6772">
              <w:rPr>
                <w:rFonts w:cstheme="minorHAnsi"/>
              </w:rPr>
              <w:t>…………..</w:t>
            </w:r>
          </w:p>
        </w:tc>
        <w:tc>
          <w:tcPr>
            <w:tcW w:w="563" w:type="dxa"/>
          </w:tcPr>
          <w:p w14:paraId="49F3C13D" w14:textId="6D8AF584" w:rsidR="00EF7137" w:rsidRPr="009A6772" w:rsidRDefault="004F34AD" w:rsidP="000904FE">
            <w:pPr>
              <w:spacing w:before="60"/>
              <w:jc w:val="both"/>
              <w:rPr>
                <w:rFonts w:cstheme="minorHAnsi"/>
                <w:b/>
                <w:bCs/>
              </w:rPr>
            </w:pPr>
            <w:r w:rsidRPr="009A6772">
              <w:rPr>
                <w:rFonts w:cstheme="minorHAnsi"/>
                <w:b/>
                <w:bCs/>
              </w:rPr>
              <w:t>12</w:t>
            </w:r>
          </w:p>
        </w:tc>
      </w:tr>
      <w:tr w:rsidR="0040626E" w:rsidRPr="009A6772" w14:paraId="061F6234" w14:textId="77777777" w:rsidTr="00DF2F16">
        <w:tc>
          <w:tcPr>
            <w:tcW w:w="846" w:type="dxa"/>
          </w:tcPr>
          <w:p w14:paraId="5DEC14C9" w14:textId="6B2216D5" w:rsidR="0040626E" w:rsidRPr="009A6772" w:rsidRDefault="0040626E" w:rsidP="006262D4">
            <w:pPr>
              <w:spacing w:before="60"/>
              <w:jc w:val="right"/>
              <w:rPr>
                <w:rFonts w:cstheme="minorHAnsi"/>
              </w:rPr>
            </w:pPr>
            <w:r w:rsidRPr="009A6772">
              <w:rPr>
                <w:rFonts w:cstheme="minorHAnsi"/>
              </w:rPr>
              <w:t>3.1</w:t>
            </w:r>
          </w:p>
        </w:tc>
        <w:tc>
          <w:tcPr>
            <w:tcW w:w="7800" w:type="dxa"/>
          </w:tcPr>
          <w:p w14:paraId="44E639B6" w14:textId="5565263D" w:rsidR="0040626E" w:rsidRPr="009A6772" w:rsidRDefault="0040626E" w:rsidP="008E4195">
            <w:pPr>
              <w:spacing w:before="60"/>
              <w:rPr>
                <w:rFonts w:cstheme="minorHAnsi"/>
              </w:rPr>
            </w:pPr>
            <w:r w:rsidRPr="009A6772">
              <w:rPr>
                <w:rFonts w:cstheme="minorHAnsi"/>
              </w:rPr>
              <w:t>Promet............................................................................................................................</w:t>
            </w:r>
          </w:p>
        </w:tc>
        <w:tc>
          <w:tcPr>
            <w:tcW w:w="563" w:type="dxa"/>
          </w:tcPr>
          <w:p w14:paraId="4F40DB06" w14:textId="093EE2EC" w:rsidR="0040626E" w:rsidRPr="009A6772" w:rsidRDefault="004F34AD" w:rsidP="000904FE">
            <w:pPr>
              <w:spacing w:before="60"/>
              <w:jc w:val="both"/>
              <w:rPr>
                <w:rFonts w:cstheme="minorHAnsi"/>
              </w:rPr>
            </w:pPr>
            <w:r w:rsidRPr="009A6772">
              <w:rPr>
                <w:rFonts w:cstheme="minorHAnsi"/>
              </w:rPr>
              <w:t>12</w:t>
            </w:r>
          </w:p>
        </w:tc>
      </w:tr>
      <w:tr w:rsidR="0040626E" w:rsidRPr="009A6772" w14:paraId="53C44D63" w14:textId="77777777" w:rsidTr="00DF2F16">
        <w:tc>
          <w:tcPr>
            <w:tcW w:w="846" w:type="dxa"/>
          </w:tcPr>
          <w:p w14:paraId="70508AE7" w14:textId="15D2D4C1" w:rsidR="0040626E" w:rsidRPr="009A6772" w:rsidRDefault="0040626E" w:rsidP="006262D4">
            <w:pPr>
              <w:spacing w:before="60"/>
              <w:jc w:val="right"/>
              <w:rPr>
                <w:rFonts w:cstheme="minorHAnsi"/>
              </w:rPr>
            </w:pPr>
            <w:r w:rsidRPr="009A6772">
              <w:rPr>
                <w:rFonts w:cstheme="minorHAnsi"/>
              </w:rPr>
              <w:t>3.2</w:t>
            </w:r>
          </w:p>
        </w:tc>
        <w:tc>
          <w:tcPr>
            <w:tcW w:w="7800" w:type="dxa"/>
          </w:tcPr>
          <w:p w14:paraId="5CEDAC0A" w14:textId="2478E73D" w:rsidR="0040626E" w:rsidRPr="009A6772" w:rsidRDefault="0040626E" w:rsidP="008E4195">
            <w:pPr>
              <w:spacing w:before="60"/>
              <w:rPr>
                <w:rFonts w:cstheme="minorHAnsi"/>
              </w:rPr>
            </w:pPr>
            <w:r w:rsidRPr="009A6772">
              <w:rPr>
                <w:rFonts w:cstheme="minorHAnsi"/>
              </w:rPr>
              <w:t>Kmetijstvo.......................................................................................................................</w:t>
            </w:r>
          </w:p>
        </w:tc>
        <w:tc>
          <w:tcPr>
            <w:tcW w:w="563" w:type="dxa"/>
          </w:tcPr>
          <w:p w14:paraId="24EDD9AB" w14:textId="163CBE4F" w:rsidR="0040626E" w:rsidRPr="009A6772" w:rsidRDefault="000F79D2" w:rsidP="000904FE">
            <w:pPr>
              <w:spacing w:before="60"/>
              <w:jc w:val="both"/>
              <w:rPr>
                <w:rFonts w:cstheme="minorHAnsi"/>
              </w:rPr>
            </w:pPr>
            <w:r w:rsidRPr="009A6772">
              <w:rPr>
                <w:rFonts w:cstheme="minorHAnsi"/>
              </w:rPr>
              <w:t>12</w:t>
            </w:r>
          </w:p>
        </w:tc>
      </w:tr>
      <w:tr w:rsidR="0040626E" w:rsidRPr="009A6772" w14:paraId="5A49417B" w14:textId="77777777" w:rsidTr="00DF2F16">
        <w:tc>
          <w:tcPr>
            <w:tcW w:w="846" w:type="dxa"/>
          </w:tcPr>
          <w:p w14:paraId="27A8BB17" w14:textId="5438AED4" w:rsidR="0040626E" w:rsidRPr="009A6772" w:rsidRDefault="0040626E" w:rsidP="006262D4">
            <w:pPr>
              <w:spacing w:before="60"/>
              <w:jc w:val="right"/>
              <w:rPr>
                <w:rFonts w:cstheme="minorHAnsi"/>
              </w:rPr>
            </w:pPr>
            <w:r w:rsidRPr="009A6772">
              <w:rPr>
                <w:rFonts w:cstheme="minorHAnsi"/>
              </w:rPr>
              <w:t>3.3</w:t>
            </w:r>
          </w:p>
        </w:tc>
        <w:tc>
          <w:tcPr>
            <w:tcW w:w="7800" w:type="dxa"/>
          </w:tcPr>
          <w:p w14:paraId="0F1E2924" w14:textId="4D4BCEB3" w:rsidR="0040626E" w:rsidRPr="009A6772" w:rsidRDefault="0040626E" w:rsidP="008E4195">
            <w:pPr>
              <w:spacing w:before="60"/>
              <w:rPr>
                <w:rFonts w:cstheme="minorHAnsi"/>
              </w:rPr>
            </w:pPr>
            <w:r w:rsidRPr="009A6772">
              <w:rPr>
                <w:rFonts w:cstheme="minorHAnsi"/>
              </w:rPr>
              <w:t>Široka raba – stavbe........................................................................................................</w:t>
            </w:r>
          </w:p>
        </w:tc>
        <w:tc>
          <w:tcPr>
            <w:tcW w:w="563" w:type="dxa"/>
          </w:tcPr>
          <w:p w14:paraId="131CFE02" w14:textId="218D9026" w:rsidR="0040626E" w:rsidRPr="009A6772" w:rsidRDefault="004F34AD" w:rsidP="000904FE">
            <w:pPr>
              <w:spacing w:before="60"/>
              <w:jc w:val="both"/>
              <w:rPr>
                <w:rFonts w:cstheme="minorHAnsi"/>
              </w:rPr>
            </w:pPr>
            <w:r w:rsidRPr="009A6772">
              <w:rPr>
                <w:rFonts w:cstheme="minorHAnsi"/>
              </w:rPr>
              <w:t>13</w:t>
            </w:r>
          </w:p>
        </w:tc>
      </w:tr>
      <w:tr w:rsidR="0040626E" w:rsidRPr="009A6772" w14:paraId="0A840643" w14:textId="77777777" w:rsidTr="00DF2F16">
        <w:tc>
          <w:tcPr>
            <w:tcW w:w="846" w:type="dxa"/>
          </w:tcPr>
          <w:p w14:paraId="66E73078" w14:textId="1D97D621" w:rsidR="0040626E" w:rsidRPr="009A6772" w:rsidRDefault="0040626E" w:rsidP="006262D4">
            <w:pPr>
              <w:spacing w:before="60"/>
              <w:jc w:val="right"/>
              <w:rPr>
                <w:rFonts w:cstheme="minorHAnsi"/>
              </w:rPr>
            </w:pPr>
            <w:r w:rsidRPr="009A6772">
              <w:rPr>
                <w:rFonts w:cstheme="minorHAnsi"/>
              </w:rPr>
              <w:t>3.4</w:t>
            </w:r>
          </w:p>
        </w:tc>
        <w:tc>
          <w:tcPr>
            <w:tcW w:w="7800" w:type="dxa"/>
          </w:tcPr>
          <w:p w14:paraId="4E3B620E" w14:textId="70458410" w:rsidR="0040626E" w:rsidRPr="009A6772" w:rsidRDefault="0040626E" w:rsidP="008E4195">
            <w:pPr>
              <w:spacing w:before="60"/>
              <w:rPr>
                <w:rFonts w:cstheme="minorHAnsi"/>
              </w:rPr>
            </w:pPr>
            <w:r w:rsidRPr="009A6772">
              <w:rPr>
                <w:rFonts w:cstheme="minorHAnsi"/>
              </w:rPr>
              <w:t>Industrija ne-ETS.............................................................................................................</w:t>
            </w:r>
          </w:p>
        </w:tc>
        <w:tc>
          <w:tcPr>
            <w:tcW w:w="563" w:type="dxa"/>
          </w:tcPr>
          <w:p w14:paraId="572D9398" w14:textId="4A34CCBC" w:rsidR="0040626E" w:rsidRPr="009A6772" w:rsidRDefault="004F34AD" w:rsidP="000904FE">
            <w:pPr>
              <w:spacing w:before="60"/>
              <w:jc w:val="both"/>
              <w:rPr>
                <w:rFonts w:cstheme="minorHAnsi"/>
              </w:rPr>
            </w:pPr>
            <w:r w:rsidRPr="009A6772">
              <w:rPr>
                <w:rFonts w:cstheme="minorHAnsi"/>
              </w:rPr>
              <w:t>14</w:t>
            </w:r>
          </w:p>
        </w:tc>
      </w:tr>
      <w:tr w:rsidR="0040626E" w:rsidRPr="009A6772" w14:paraId="7AED39B9" w14:textId="77777777" w:rsidTr="00DF2F16">
        <w:tc>
          <w:tcPr>
            <w:tcW w:w="846" w:type="dxa"/>
          </w:tcPr>
          <w:p w14:paraId="738FD9EB" w14:textId="64FE8508" w:rsidR="0040626E" w:rsidRPr="009A6772" w:rsidRDefault="0040626E" w:rsidP="006262D4">
            <w:pPr>
              <w:spacing w:before="60"/>
              <w:jc w:val="right"/>
              <w:rPr>
                <w:rFonts w:cstheme="minorHAnsi"/>
              </w:rPr>
            </w:pPr>
            <w:r w:rsidRPr="009A6772">
              <w:rPr>
                <w:rFonts w:cstheme="minorHAnsi"/>
              </w:rPr>
              <w:t>3.5</w:t>
            </w:r>
          </w:p>
        </w:tc>
        <w:tc>
          <w:tcPr>
            <w:tcW w:w="7800" w:type="dxa"/>
          </w:tcPr>
          <w:p w14:paraId="70A7F232" w14:textId="11FC0578" w:rsidR="0040626E" w:rsidRPr="009A6772" w:rsidRDefault="0040626E" w:rsidP="008E4195">
            <w:pPr>
              <w:spacing w:before="60"/>
              <w:rPr>
                <w:rFonts w:cstheme="minorHAnsi"/>
              </w:rPr>
            </w:pPr>
            <w:r w:rsidRPr="009A6772">
              <w:rPr>
                <w:rFonts w:cstheme="minorHAnsi"/>
              </w:rPr>
              <w:t>Odpadki...........................................................................................................................</w:t>
            </w:r>
          </w:p>
        </w:tc>
        <w:tc>
          <w:tcPr>
            <w:tcW w:w="563" w:type="dxa"/>
          </w:tcPr>
          <w:p w14:paraId="760362AB" w14:textId="0F875C87" w:rsidR="0040626E" w:rsidRPr="009A6772" w:rsidRDefault="004F3E92" w:rsidP="000904FE">
            <w:pPr>
              <w:spacing w:before="60"/>
              <w:jc w:val="both"/>
              <w:rPr>
                <w:rFonts w:cstheme="minorHAnsi"/>
              </w:rPr>
            </w:pPr>
            <w:r>
              <w:rPr>
                <w:rFonts w:cstheme="minorHAnsi"/>
              </w:rPr>
              <w:t>15</w:t>
            </w:r>
          </w:p>
        </w:tc>
      </w:tr>
      <w:tr w:rsidR="0040626E" w:rsidRPr="009A6772" w14:paraId="584919ED" w14:textId="77777777" w:rsidTr="00DF2F16">
        <w:tc>
          <w:tcPr>
            <w:tcW w:w="846" w:type="dxa"/>
          </w:tcPr>
          <w:p w14:paraId="0597C4B2" w14:textId="71D0EF25" w:rsidR="0040626E" w:rsidRPr="009A6772" w:rsidRDefault="00D36CEC" w:rsidP="006262D4">
            <w:pPr>
              <w:spacing w:before="60"/>
              <w:jc w:val="right"/>
              <w:rPr>
                <w:rFonts w:cstheme="minorHAnsi"/>
              </w:rPr>
            </w:pPr>
            <w:r w:rsidRPr="009A6772">
              <w:rPr>
                <w:rFonts w:cstheme="minorHAnsi"/>
              </w:rPr>
              <w:t>3.6</w:t>
            </w:r>
          </w:p>
        </w:tc>
        <w:tc>
          <w:tcPr>
            <w:tcW w:w="7800" w:type="dxa"/>
          </w:tcPr>
          <w:p w14:paraId="2A6181C9" w14:textId="42E8FEBB" w:rsidR="0040626E" w:rsidRPr="009A6772" w:rsidRDefault="00D36CEC" w:rsidP="008E4195">
            <w:pPr>
              <w:spacing w:before="60"/>
              <w:rPr>
                <w:rFonts w:cstheme="minorHAnsi"/>
              </w:rPr>
            </w:pPr>
            <w:r w:rsidRPr="009A6772">
              <w:rPr>
                <w:rFonts w:cstheme="minorHAnsi"/>
              </w:rPr>
              <w:t>Zelena gospodarska rast</w:t>
            </w:r>
            <w:r w:rsidR="007127C5" w:rsidRPr="009A6772">
              <w:rPr>
                <w:rFonts w:cstheme="minorHAnsi"/>
              </w:rPr>
              <w:t>.................................................................................................</w:t>
            </w:r>
          </w:p>
        </w:tc>
        <w:tc>
          <w:tcPr>
            <w:tcW w:w="563" w:type="dxa"/>
          </w:tcPr>
          <w:p w14:paraId="79BCBA6E" w14:textId="2DE1B3B9" w:rsidR="0040626E" w:rsidRPr="009A6772" w:rsidRDefault="004F34AD" w:rsidP="000904FE">
            <w:pPr>
              <w:spacing w:before="60"/>
              <w:jc w:val="both"/>
              <w:rPr>
                <w:rFonts w:cstheme="minorHAnsi"/>
              </w:rPr>
            </w:pPr>
            <w:r w:rsidRPr="009A6772">
              <w:rPr>
                <w:rFonts w:cstheme="minorHAnsi"/>
              </w:rPr>
              <w:t>15</w:t>
            </w:r>
          </w:p>
        </w:tc>
      </w:tr>
      <w:tr w:rsidR="0040626E" w:rsidRPr="009A6772" w14:paraId="5CC4D0F6" w14:textId="77777777" w:rsidTr="00DF2F16">
        <w:tc>
          <w:tcPr>
            <w:tcW w:w="846" w:type="dxa"/>
          </w:tcPr>
          <w:p w14:paraId="387F00A4" w14:textId="3D545202" w:rsidR="0040626E" w:rsidRPr="009A6772" w:rsidRDefault="003825D3" w:rsidP="006262D4">
            <w:pPr>
              <w:spacing w:before="60"/>
              <w:jc w:val="right"/>
              <w:rPr>
                <w:rFonts w:cstheme="minorHAnsi"/>
                <w:b/>
              </w:rPr>
            </w:pPr>
            <w:r w:rsidRPr="009A6772">
              <w:rPr>
                <w:rFonts w:cstheme="minorHAnsi"/>
                <w:b/>
              </w:rPr>
              <w:t>4</w:t>
            </w:r>
          </w:p>
        </w:tc>
        <w:tc>
          <w:tcPr>
            <w:tcW w:w="7800" w:type="dxa"/>
          </w:tcPr>
          <w:p w14:paraId="7B48561C" w14:textId="4EF1B5DE" w:rsidR="0040626E" w:rsidRPr="009A6772" w:rsidRDefault="0040626E" w:rsidP="008E4195">
            <w:pPr>
              <w:spacing w:before="60"/>
              <w:rPr>
                <w:rFonts w:cstheme="minorHAnsi"/>
              </w:rPr>
            </w:pPr>
            <w:r w:rsidRPr="009A6772">
              <w:rPr>
                <w:rFonts w:cstheme="minorHAnsi"/>
                <w:b/>
              </w:rPr>
              <w:t>Pregled ukrepanja in priporočila po sektorjih</w:t>
            </w:r>
            <w:r w:rsidRPr="009A6772">
              <w:rPr>
                <w:rFonts w:cstheme="minorHAnsi"/>
              </w:rPr>
              <w:t>...................................................</w:t>
            </w:r>
            <w:r w:rsidR="009A6772">
              <w:rPr>
                <w:rFonts w:cstheme="minorHAnsi"/>
              </w:rPr>
              <w:t>............</w:t>
            </w:r>
          </w:p>
        </w:tc>
        <w:tc>
          <w:tcPr>
            <w:tcW w:w="563" w:type="dxa"/>
          </w:tcPr>
          <w:p w14:paraId="211C7BC4" w14:textId="46B89C38" w:rsidR="0040626E" w:rsidRPr="009A6772" w:rsidRDefault="004F34AD" w:rsidP="000904FE">
            <w:pPr>
              <w:spacing w:before="60"/>
              <w:jc w:val="both"/>
              <w:rPr>
                <w:rFonts w:cstheme="minorHAnsi"/>
                <w:b/>
              </w:rPr>
            </w:pPr>
            <w:r w:rsidRPr="009A6772">
              <w:rPr>
                <w:rFonts w:cstheme="minorHAnsi"/>
                <w:b/>
              </w:rPr>
              <w:t>16</w:t>
            </w:r>
          </w:p>
        </w:tc>
      </w:tr>
      <w:tr w:rsidR="0040626E" w:rsidRPr="009A6772" w14:paraId="16AD09DD" w14:textId="77777777" w:rsidTr="00DF2F16">
        <w:tc>
          <w:tcPr>
            <w:tcW w:w="846" w:type="dxa"/>
          </w:tcPr>
          <w:p w14:paraId="0DDAC2FD" w14:textId="76323487" w:rsidR="0040626E" w:rsidRPr="009A6772" w:rsidRDefault="003825D3" w:rsidP="006262D4">
            <w:pPr>
              <w:spacing w:before="60"/>
              <w:jc w:val="right"/>
              <w:rPr>
                <w:rFonts w:cstheme="minorHAnsi"/>
              </w:rPr>
            </w:pPr>
            <w:r w:rsidRPr="009A6772">
              <w:rPr>
                <w:rFonts w:cstheme="minorHAnsi"/>
              </w:rPr>
              <w:t>4</w:t>
            </w:r>
            <w:r w:rsidR="0040626E" w:rsidRPr="009A6772">
              <w:rPr>
                <w:rFonts w:cstheme="minorHAnsi"/>
              </w:rPr>
              <w:t>.1</w:t>
            </w:r>
          </w:p>
        </w:tc>
        <w:tc>
          <w:tcPr>
            <w:tcW w:w="7800" w:type="dxa"/>
          </w:tcPr>
          <w:p w14:paraId="1C7726F9" w14:textId="634077F2" w:rsidR="0040626E" w:rsidRPr="009A6772" w:rsidRDefault="0040626E" w:rsidP="000904FE">
            <w:pPr>
              <w:spacing w:before="60"/>
              <w:rPr>
                <w:rFonts w:cstheme="minorHAnsi"/>
              </w:rPr>
            </w:pPr>
            <w:r w:rsidRPr="009A6772">
              <w:rPr>
                <w:rFonts w:cstheme="minorHAnsi"/>
              </w:rPr>
              <w:t>Zelena gospodarska rast.................................................................................................</w:t>
            </w:r>
          </w:p>
        </w:tc>
        <w:tc>
          <w:tcPr>
            <w:tcW w:w="563" w:type="dxa"/>
          </w:tcPr>
          <w:p w14:paraId="221EE7BD" w14:textId="334DF9EB" w:rsidR="0040626E" w:rsidRPr="009A6772" w:rsidRDefault="004F34AD" w:rsidP="000904FE">
            <w:pPr>
              <w:spacing w:before="60"/>
              <w:jc w:val="both"/>
              <w:rPr>
                <w:rFonts w:cstheme="minorHAnsi"/>
              </w:rPr>
            </w:pPr>
            <w:r w:rsidRPr="009A6772">
              <w:rPr>
                <w:rFonts w:cstheme="minorHAnsi"/>
              </w:rPr>
              <w:t>16</w:t>
            </w:r>
          </w:p>
        </w:tc>
      </w:tr>
      <w:tr w:rsidR="0040626E" w:rsidRPr="009A6772" w14:paraId="38A966CB" w14:textId="77777777" w:rsidTr="00DF2F16">
        <w:tc>
          <w:tcPr>
            <w:tcW w:w="846" w:type="dxa"/>
          </w:tcPr>
          <w:p w14:paraId="68729283" w14:textId="0F29A0AB" w:rsidR="0040626E" w:rsidRPr="009A6772" w:rsidRDefault="003825D3" w:rsidP="006262D4">
            <w:pPr>
              <w:spacing w:before="60"/>
              <w:jc w:val="right"/>
              <w:rPr>
                <w:rFonts w:cstheme="minorHAnsi"/>
              </w:rPr>
            </w:pPr>
            <w:r w:rsidRPr="009A6772">
              <w:rPr>
                <w:rFonts w:cstheme="minorHAnsi"/>
              </w:rPr>
              <w:t>4</w:t>
            </w:r>
            <w:r w:rsidR="0040626E" w:rsidRPr="009A6772">
              <w:rPr>
                <w:rFonts w:cstheme="minorHAnsi"/>
              </w:rPr>
              <w:t>.2</w:t>
            </w:r>
          </w:p>
        </w:tc>
        <w:tc>
          <w:tcPr>
            <w:tcW w:w="7800" w:type="dxa"/>
          </w:tcPr>
          <w:p w14:paraId="0E6B8EA6" w14:textId="6AE16CCA" w:rsidR="0040626E" w:rsidRPr="009A6772" w:rsidRDefault="0040626E" w:rsidP="000904FE">
            <w:pPr>
              <w:spacing w:before="60"/>
              <w:rPr>
                <w:rFonts w:cstheme="minorHAnsi"/>
              </w:rPr>
            </w:pPr>
            <w:r w:rsidRPr="009A6772">
              <w:rPr>
                <w:rFonts w:cstheme="minorHAnsi"/>
              </w:rPr>
              <w:t>Promet............................................................................................................................</w:t>
            </w:r>
          </w:p>
        </w:tc>
        <w:tc>
          <w:tcPr>
            <w:tcW w:w="563" w:type="dxa"/>
          </w:tcPr>
          <w:p w14:paraId="4F4C2EBA" w14:textId="51798396" w:rsidR="0040626E" w:rsidRPr="009A6772" w:rsidRDefault="004F34AD" w:rsidP="000904FE">
            <w:pPr>
              <w:spacing w:before="60"/>
              <w:jc w:val="both"/>
              <w:rPr>
                <w:rFonts w:cstheme="minorHAnsi"/>
              </w:rPr>
            </w:pPr>
            <w:r w:rsidRPr="009A6772">
              <w:rPr>
                <w:rFonts w:cstheme="minorHAnsi"/>
              </w:rPr>
              <w:t>18</w:t>
            </w:r>
          </w:p>
        </w:tc>
      </w:tr>
      <w:tr w:rsidR="0040626E" w:rsidRPr="009A6772" w14:paraId="4E38CA29" w14:textId="77777777" w:rsidTr="00DF2F16">
        <w:tc>
          <w:tcPr>
            <w:tcW w:w="846" w:type="dxa"/>
          </w:tcPr>
          <w:p w14:paraId="5AAA9A70" w14:textId="2C21FB64" w:rsidR="0040626E" w:rsidRPr="009A6772" w:rsidRDefault="003825D3" w:rsidP="006262D4">
            <w:pPr>
              <w:spacing w:before="60"/>
              <w:jc w:val="right"/>
              <w:rPr>
                <w:rFonts w:cstheme="minorHAnsi"/>
              </w:rPr>
            </w:pPr>
            <w:r w:rsidRPr="009A6772">
              <w:rPr>
                <w:rFonts w:cstheme="minorHAnsi"/>
              </w:rPr>
              <w:t>4</w:t>
            </w:r>
            <w:r w:rsidR="0040626E" w:rsidRPr="009A6772">
              <w:rPr>
                <w:rFonts w:cstheme="minorHAnsi"/>
              </w:rPr>
              <w:t>.3</w:t>
            </w:r>
          </w:p>
        </w:tc>
        <w:tc>
          <w:tcPr>
            <w:tcW w:w="7800" w:type="dxa"/>
          </w:tcPr>
          <w:p w14:paraId="5DF3AA41" w14:textId="51848072" w:rsidR="0040626E" w:rsidRPr="009A6772" w:rsidRDefault="0040626E" w:rsidP="000904FE">
            <w:pPr>
              <w:spacing w:before="60"/>
              <w:rPr>
                <w:rFonts w:cstheme="minorHAnsi"/>
              </w:rPr>
            </w:pPr>
            <w:r w:rsidRPr="009A6772">
              <w:rPr>
                <w:rFonts w:cstheme="minorHAnsi"/>
              </w:rPr>
              <w:t>Kmetijstvo.......................................................................................................................</w:t>
            </w:r>
          </w:p>
        </w:tc>
        <w:tc>
          <w:tcPr>
            <w:tcW w:w="563" w:type="dxa"/>
          </w:tcPr>
          <w:p w14:paraId="67D76B35" w14:textId="3DB9FBD1" w:rsidR="0040626E" w:rsidRPr="009A6772" w:rsidRDefault="004F34AD" w:rsidP="000904FE">
            <w:pPr>
              <w:spacing w:before="60"/>
              <w:jc w:val="both"/>
              <w:rPr>
                <w:rFonts w:cstheme="minorHAnsi"/>
              </w:rPr>
            </w:pPr>
            <w:r w:rsidRPr="009A6772">
              <w:rPr>
                <w:rFonts w:cstheme="minorHAnsi"/>
              </w:rPr>
              <w:t>21</w:t>
            </w:r>
          </w:p>
        </w:tc>
      </w:tr>
      <w:tr w:rsidR="0040626E" w:rsidRPr="009A6772" w14:paraId="65E2051B" w14:textId="77777777" w:rsidTr="00DF2F16">
        <w:tc>
          <w:tcPr>
            <w:tcW w:w="846" w:type="dxa"/>
          </w:tcPr>
          <w:p w14:paraId="565D9BDC" w14:textId="17BD56A0" w:rsidR="0040626E" w:rsidRPr="009A6772" w:rsidRDefault="003825D3" w:rsidP="006262D4">
            <w:pPr>
              <w:spacing w:before="60"/>
              <w:jc w:val="right"/>
              <w:rPr>
                <w:rFonts w:cstheme="minorHAnsi"/>
              </w:rPr>
            </w:pPr>
            <w:r w:rsidRPr="009A6772">
              <w:rPr>
                <w:rFonts w:cstheme="minorHAnsi"/>
              </w:rPr>
              <w:t>4</w:t>
            </w:r>
            <w:r w:rsidR="0040626E" w:rsidRPr="009A6772">
              <w:rPr>
                <w:rFonts w:cstheme="minorHAnsi"/>
              </w:rPr>
              <w:t>.4</w:t>
            </w:r>
          </w:p>
        </w:tc>
        <w:tc>
          <w:tcPr>
            <w:tcW w:w="7800" w:type="dxa"/>
          </w:tcPr>
          <w:p w14:paraId="60312627" w14:textId="36EB782C" w:rsidR="0040626E" w:rsidRPr="009A6772" w:rsidRDefault="0040626E" w:rsidP="000904FE">
            <w:pPr>
              <w:spacing w:before="60"/>
              <w:rPr>
                <w:rFonts w:cstheme="minorHAnsi"/>
              </w:rPr>
            </w:pPr>
            <w:r w:rsidRPr="009A6772">
              <w:rPr>
                <w:rFonts w:cstheme="minorHAnsi"/>
              </w:rPr>
              <w:t>Široka raba – stavbe........................................................................................................</w:t>
            </w:r>
          </w:p>
        </w:tc>
        <w:tc>
          <w:tcPr>
            <w:tcW w:w="563" w:type="dxa"/>
          </w:tcPr>
          <w:p w14:paraId="5891A133" w14:textId="22FE511A" w:rsidR="0040626E" w:rsidRPr="009A6772" w:rsidRDefault="004F34AD" w:rsidP="000904FE">
            <w:pPr>
              <w:spacing w:before="60"/>
              <w:jc w:val="both"/>
              <w:rPr>
                <w:rFonts w:cstheme="minorHAnsi"/>
              </w:rPr>
            </w:pPr>
            <w:r w:rsidRPr="009A6772">
              <w:rPr>
                <w:rFonts w:cstheme="minorHAnsi"/>
              </w:rPr>
              <w:t>23</w:t>
            </w:r>
          </w:p>
        </w:tc>
      </w:tr>
      <w:tr w:rsidR="0040626E" w:rsidRPr="009A6772" w14:paraId="46AEE81A" w14:textId="77777777" w:rsidTr="00DF2F16">
        <w:tc>
          <w:tcPr>
            <w:tcW w:w="846" w:type="dxa"/>
          </w:tcPr>
          <w:p w14:paraId="237993B4" w14:textId="7ED849C9" w:rsidR="0040626E" w:rsidRPr="009A6772" w:rsidRDefault="003825D3" w:rsidP="006262D4">
            <w:pPr>
              <w:spacing w:before="60"/>
              <w:jc w:val="right"/>
              <w:rPr>
                <w:rFonts w:cstheme="minorHAnsi"/>
              </w:rPr>
            </w:pPr>
            <w:r w:rsidRPr="009A6772">
              <w:rPr>
                <w:rFonts w:cstheme="minorHAnsi"/>
              </w:rPr>
              <w:t>4</w:t>
            </w:r>
            <w:r w:rsidR="0040626E" w:rsidRPr="009A6772">
              <w:rPr>
                <w:rFonts w:cstheme="minorHAnsi"/>
              </w:rPr>
              <w:t>.5</w:t>
            </w:r>
          </w:p>
        </w:tc>
        <w:tc>
          <w:tcPr>
            <w:tcW w:w="7800" w:type="dxa"/>
          </w:tcPr>
          <w:p w14:paraId="0A24154B" w14:textId="260513F3" w:rsidR="0040626E" w:rsidRPr="009A6772" w:rsidRDefault="0040626E" w:rsidP="000904FE">
            <w:pPr>
              <w:spacing w:before="60"/>
              <w:rPr>
                <w:rFonts w:cstheme="minorHAnsi"/>
              </w:rPr>
            </w:pPr>
            <w:r w:rsidRPr="009A6772">
              <w:rPr>
                <w:rFonts w:cstheme="minorHAnsi"/>
              </w:rPr>
              <w:t>Industrija ne-ETS.............................................................................................................</w:t>
            </w:r>
          </w:p>
        </w:tc>
        <w:tc>
          <w:tcPr>
            <w:tcW w:w="563" w:type="dxa"/>
          </w:tcPr>
          <w:p w14:paraId="25519ADD" w14:textId="117A1390" w:rsidR="0040626E" w:rsidRPr="009A6772" w:rsidRDefault="004F34AD" w:rsidP="000904FE">
            <w:pPr>
              <w:spacing w:before="60"/>
              <w:jc w:val="both"/>
              <w:rPr>
                <w:rFonts w:cstheme="minorHAnsi"/>
              </w:rPr>
            </w:pPr>
            <w:r w:rsidRPr="009A6772">
              <w:rPr>
                <w:rFonts w:cstheme="minorHAnsi"/>
              </w:rPr>
              <w:t>26</w:t>
            </w:r>
          </w:p>
        </w:tc>
      </w:tr>
      <w:tr w:rsidR="00033E15" w:rsidRPr="009A6772" w14:paraId="726271EA" w14:textId="77777777" w:rsidTr="00DF2F16">
        <w:tc>
          <w:tcPr>
            <w:tcW w:w="846" w:type="dxa"/>
          </w:tcPr>
          <w:p w14:paraId="7F8AB703" w14:textId="1EB39D93" w:rsidR="00033E15" w:rsidRPr="009A6772" w:rsidRDefault="003825D3" w:rsidP="006262D4">
            <w:pPr>
              <w:spacing w:before="60"/>
              <w:jc w:val="right"/>
              <w:rPr>
                <w:rFonts w:cstheme="minorHAnsi"/>
              </w:rPr>
            </w:pPr>
            <w:r w:rsidRPr="009A6772">
              <w:rPr>
                <w:rFonts w:cstheme="minorHAnsi"/>
              </w:rPr>
              <w:t>4</w:t>
            </w:r>
            <w:r w:rsidR="00033E15" w:rsidRPr="009A6772">
              <w:rPr>
                <w:rFonts w:cstheme="minorHAnsi"/>
              </w:rPr>
              <w:t>.6</w:t>
            </w:r>
          </w:p>
        </w:tc>
        <w:tc>
          <w:tcPr>
            <w:tcW w:w="7800" w:type="dxa"/>
          </w:tcPr>
          <w:p w14:paraId="079BE3BB" w14:textId="5D73372C" w:rsidR="00033E15" w:rsidRPr="009A6772" w:rsidRDefault="00033E15" w:rsidP="000904FE">
            <w:pPr>
              <w:spacing w:before="60"/>
              <w:rPr>
                <w:rFonts w:cstheme="minorHAnsi"/>
              </w:rPr>
            </w:pPr>
            <w:r w:rsidRPr="009A6772">
              <w:rPr>
                <w:rFonts w:cstheme="minorHAnsi"/>
              </w:rPr>
              <w:t>Energetika ne-ETS...........................................................................................................</w:t>
            </w:r>
          </w:p>
        </w:tc>
        <w:tc>
          <w:tcPr>
            <w:tcW w:w="563" w:type="dxa"/>
          </w:tcPr>
          <w:p w14:paraId="027C374F" w14:textId="134D28DF" w:rsidR="00033E15" w:rsidRPr="009A6772" w:rsidRDefault="004F34AD" w:rsidP="000904FE">
            <w:pPr>
              <w:spacing w:before="60"/>
              <w:jc w:val="both"/>
              <w:rPr>
                <w:rFonts w:cstheme="minorHAnsi"/>
              </w:rPr>
            </w:pPr>
            <w:r w:rsidRPr="009A6772">
              <w:rPr>
                <w:rFonts w:cstheme="minorHAnsi"/>
              </w:rPr>
              <w:t>27</w:t>
            </w:r>
          </w:p>
        </w:tc>
      </w:tr>
      <w:tr w:rsidR="00033E15" w:rsidRPr="009A6772" w14:paraId="2A5E875A" w14:textId="77777777" w:rsidTr="00DF2F16">
        <w:tc>
          <w:tcPr>
            <w:tcW w:w="846" w:type="dxa"/>
            <w:shd w:val="clear" w:color="auto" w:fill="auto"/>
          </w:tcPr>
          <w:p w14:paraId="2259E95E" w14:textId="7A232034" w:rsidR="00033E15" w:rsidRPr="009A6772" w:rsidRDefault="003825D3" w:rsidP="006262D4">
            <w:pPr>
              <w:spacing w:before="60"/>
              <w:jc w:val="right"/>
              <w:rPr>
                <w:rFonts w:cstheme="minorHAnsi"/>
              </w:rPr>
            </w:pPr>
            <w:r w:rsidRPr="009A6772">
              <w:rPr>
                <w:rFonts w:cstheme="minorHAnsi"/>
              </w:rPr>
              <w:t>4</w:t>
            </w:r>
            <w:r w:rsidR="00033E15" w:rsidRPr="009A6772">
              <w:rPr>
                <w:rFonts w:cstheme="minorHAnsi"/>
              </w:rPr>
              <w:t>.7</w:t>
            </w:r>
          </w:p>
        </w:tc>
        <w:tc>
          <w:tcPr>
            <w:tcW w:w="7800" w:type="dxa"/>
            <w:shd w:val="clear" w:color="auto" w:fill="auto"/>
          </w:tcPr>
          <w:p w14:paraId="6E5A8147" w14:textId="114C67CB" w:rsidR="00033E15" w:rsidRPr="009A6772" w:rsidRDefault="00033E15" w:rsidP="000904FE">
            <w:pPr>
              <w:spacing w:before="60"/>
              <w:rPr>
                <w:rFonts w:cstheme="minorHAnsi"/>
              </w:rPr>
            </w:pPr>
            <w:r w:rsidRPr="009A6772">
              <w:rPr>
                <w:rFonts w:cstheme="minorHAnsi"/>
              </w:rPr>
              <w:t>Odpadki...........................................................................................................................</w:t>
            </w:r>
          </w:p>
        </w:tc>
        <w:tc>
          <w:tcPr>
            <w:tcW w:w="563" w:type="dxa"/>
          </w:tcPr>
          <w:p w14:paraId="211E8199" w14:textId="1225B746" w:rsidR="00033E15" w:rsidRPr="009A6772" w:rsidRDefault="004F34AD" w:rsidP="000904FE">
            <w:pPr>
              <w:spacing w:before="60"/>
              <w:jc w:val="both"/>
              <w:rPr>
                <w:rFonts w:cstheme="minorHAnsi"/>
              </w:rPr>
            </w:pPr>
            <w:r w:rsidRPr="009A6772">
              <w:rPr>
                <w:rFonts w:cstheme="minorHAnsi"/>
              </w:rPr>
              <w:t>28</w:t>
            </w:r>
          </w:p>
        </w:tc>
      </w:tr>
      <w:tr w:rsidR="00033E15" w:rsidRPr="009A6772" w14:paraId="5F9D5373" w14:textId="77777777" w:rsidTr="00DF2F16">
        <w:tc>
          <w:tcPr>
            <w:tcW w:w="846" w:type="dxa"/>
            <w:shd w:val="clear" w:color="auto" w:fill="auto"/>
          </w:tcPr>
          <w:p w14:paraId="34BF2988" w14:textId="3D58B96E" w:rsidR="00033E15" w:rsidRPr="009A6772" w:rsidRDefault="003825D3" w:rsidP="006262D4">
            <w:pPr>
              <w:spacing w:before="60"/>
              <w:jc w:val="right"/>
              <w:rPr>
                <w:rFonts w:cstheme="minorHAnsi"/>
              </w:rPr>
            </w:pPr>
            <w:r w:rsidRPr="009A6772">
              <w:rPr>
                <w:rFonts w:cstheme="minorHAnsi"/>
              </w:rPr>
              <w:t>4</w:t>
            </w:r>
            <w:r w:rsidR="00033E15" w:rsidRPr="009A6772">
              <w:rPr>
                <w:rFonts w:cstheme="minorHAnsi"/>
              </w:rPr>
              <w:t>.8</w:t>
            </w:r>
          </w:p>
        </w:tc>
        <w:tc>
          <w:tcPr>
            <w:tcW w:w="7800" w:type="dxa"/>
            <w:shd w:val="clear" w:color="auto" w:fill="auto"/>
          </w:tcPr>
          <w:p w14:paraId="24A908DF" w14:textId="1BE033EA" w:rsidR="00033E15" w:rsidRPr="009A6772" w:rsidRDefault="00D503E5" w:rsidP="00D503E5">
            <w:pPr>
              <w:spacing w:before="60"/>
              <w:rPr>
                <w:rFonts w:cstheme="minorHAnsi"/>
              </w:rPr>
            </w:pPr>
            <w:r>
              <w:rPr>
                <w:rFonts w:cstheme="minorHAnsi"/>
              </w:rPr>
              <w:t xml:space="preserve">LULUCF </w:t>
            </w:r>
            <w:r w:rsidRPr="009A6772">
              <w:rPr>
                <w:rFonts w:cstheme="minorHAnsi"/>
              </w:rPr>
              <w:t>– raba zemljišč, sprememba rabe zemljišč in gozdarstvo</w:t>
            </w:r>
            <w:r w:rsidR="00033E15" w:rsidRPr="009A6772">
              <w:rPr>
                <w:rFonts w:cstheme="minorHAnsi"/>
              </w:rPr>
              <w:t>……………………………….</w:t>
            </w:r>
          </w:p>
        </w:tc>
        <w:tc>
          <w:tcPr>
            <w:tcW w:w="563" w:type="dxa"/>
          </w:tcPr>
          <w:p w14:paraId="03C60AEA" w14:textId="4BF4BE1D" w:rsidR="00033E15" w:rsidRPr="009A6772" w:rsidRDefault="004F34AD" w:rsidP="000904FE">
            <w:pPr>
              <w:spacing w:before="60"/>
              <w:jc w:val="both"/>
              <w:rPr>
                <w:rFonts w:cstheme="minorHAnsi"/>
              </w:rPr>
            </w:pPr>
            <w:r w:rsidRPr="009A6772">
              <w:rPr>
                <w:rFonts w:cstheme="minorHAnsi"/>
              </w:rPr>
              <w:t>29</w:t>
            </w:r>
          </w:p>
        </w:tc>
      </w:tr>
      <w:tr w:rsidR="00033E15" w:rsidRPr="009A6772" w14:paraId="45BB8E55" w14:textId="77777777" w:rsidTr="00DF2F16">
        <w:tc>
          <w:tcPr>
            <w:tcW w:w="846" w:type="dxa"/>
          </w:tcPr>
          <w:p w14:paraId="06AFE46C" w14:textId="00D2561B" w:rsidR="00033E15" w:rsidRPr="009A6772" w:rsidRDefault="003825D3" w:rsidP="006262D4">
            <w:pPr>
              <w:spacing w:before="60"/>
              <w:jc w:val="right"/>
              <w:rPr>
                <w:rFonts w:cstheme="minorHAnsi"/>
              </w:rPr>
            </w:pPr>
            <w:r w:rsidRPr="009A6772">
              <w:rPr>
                <w:rFonts w:cstheme="minorHAnsi"/>
              </w:rPr>
              <w:t>4</w:t>
            </w:r>
            <w:r w:rsidR="00033E15" w:rsidRPr="009A6772">
              <w:rPr>
                <w:rFonts w:cstheme="minorHAnsi"/>
              </w:rPr>
              <w:t>.9</w:t>
            </w:r>
          </w:p>
        </w:tc>
        <w:tc>
          <w:tcPr>
            <w:tcW w:w="7800" w:type="dxa"/>
          </w:tcPr>
          <w:p w14:paraId="24DAB237" w14:textId="12BAEB46" w:rsidR="00033E15" w:rsidRPr="009A6772" w:rsidRDefault="00033E15" w:rsidP="000904FE">
            <w:pPr>
              <w:spacing w:before="60"/>
              <w:rPr>
                <w:rFonts w:cstheme="minorHAnsi"/>
              </w:rPr>
            </w:pPr>
            <w:r w:rsidRPr="009A6772">
              <w:rPr>
                <w:rFonts w:cstheme="minorHAnsi"/>
              </w:rPr>
              <w:t>Večsektorski ukrepi.........................................................................................................</w:t>
            </w:r>
          </w:p>
        </w:tc>
        <w:tc>
          <w:tcPr>
            <w:tcW w:w="563" w:type="dxa"/>
          </w:tcPr>
          <w:p w14:paraId="74F3BD8C" w14:textId="072E3588" w:rsidR="00033E15" w:rsidRPr="009A6772" w:rsidRDefault="004F34AD" w:rsidP="000904FE">
            <w:pPr>
              <w:spacing w:before="60"/>
              <w:jc w:val="both"/>
              <w:rPr>
                <w:rFonts w:cstheme="minorHAnsi"/>
              </w:rPr>
            </w:pPr>
            <w:r w:rsidRPr="009A6772">
              <w:rPr>
                <w:rFonts w:cstheme="minorHAnsi"/>
              </w:rPr>
              <w:t>30</w:t>
            </w:r>
          </w:p>
        </w:tc>
      </w:tr>
      <w:tr w:rsidR="00033E15" w:rsidRPr="009A6772" w14:paraId="2CCD2C39" w14:textId="77777777" w:rsidTr="00DF2F16">
        <w:tc>
          <w:tcPr>
            <w:tcW w:w="846" w:type="dxa"/>
          </w:tcPr>
          <w:p w14:paraId="4B746C1E" w14:textId="06A8F9FF" w:rsidR="00033E15" w:rsidRPr="009A6772" w:rsidRDefault="003825D3" w:rsidP="006262D4">
            <w:pPr>
              <w:spacing w:before="60"/>
              <w:jc w:val="right"/>
              <w:rPr>
                <w:rFonts w:cstheme="minorHAnsi"/>
              </w:rPr>
            </w:pPr>
            <w:r w:rsidRPr="009A6772">
              <w:rPr>
                <w:rFonts w:cstheme="minorHAnsi"/>
              </w:rPr>
              <w:t>4</w:t>
            </w:r>
            <w:r w:rsidR="00033E15" w:rsidRPr="009A6772">
              <w:rPr>
                <w:rFonts w:cstheme="minorHAnsi"/>
              </w:rPr>
              <w:t>.10</w:t>
            </w:r>
          </w:p>
        </w:tc>
        <w:tc>
          <w:tcPr>
            <w:tcW w:w="7800" w:type="dxa"/>
          </w:tcPr>
          <w:p w14:paraId="4C649782" w14:textId="6799CF84" w:rsidR="00033E15" w:rsidRPr="009A6772" w:rsidRDefault="00033E15" w:rsidP="000904FE">
            <w:pPr>
              <w:spacing w:before="60"/>
              <w:rPr>
                <w:rFonts w:cstheme="minorHAnsi"/>
              </w:rPr>
            </w:pPr>
            <w:r w:rsidRPr="009A6772">
              <w:rPr>
                <w:rFonts w:cstheme="minorHAnsi"/>
              </w:rPr>
              <w:t>Izobraževanje, usposabljanje, informiranje, ozaveščanje...............................................</w:t>
            </w:r>
          </w:p>
        </w:tc>
        <w:tc>
          <w:tcPr>
            <w:tcW w:w="563" w:type="dxa"/>
          </w:tcPr>
          <w:p w14:paraId="4A15438C" w14:textId="12C85177" w:rsidR="00033E15" w:rsidRPr="009A6772" w:rsidRDefault="004F34AD" w:rsidP="000904FE">
            <w:pPr>
              <w:spacing w:before="60"/>
              <w:jc w:val="both"/>
              <w:rPr>
                <w:rFonts w:cstheme="minorHAnsi"/>
              </w:rPr>
            </w:pPr>
            <w:r w:rsidRPr="009A6772">
              <w:rPr>
                <w:rFonts w:cstheme="minorHAnsi"/>
              </w:rPr>
              <w:t>31</w:t>
            </w:r>
          </w:p>
        </w:tc>
      </w:tr>
      <w:tr w:rsidR="00033E15" w:rsidRPr="009A6772" w14:paraId="015CA8B3" w14:textId="77777777" w:rsidTr="00DF2F16">
        <w:tc>
          <w:tcPr>
            <w:tcW w:w="846" w:type="dxa"/>
          </w:tcPr>
          <w:p w14:paraId="049BACC6" w14:textId="4CCE1D24" w:rsidR="00033E15" w:rsidRPr="009A6772" w:rsidRDefault="003825D3" w:rsidP="006262D4">
            <w:pPr>
              <w:spacing w:before="60"/>
              <w:jc w:val="right"/>
              <w:rPr>
                <w:rFonts w:cstheme="minorHAnsi"/>
                <w:b/>
              </w:rPr>
            </w:pPr>
            <w:r w:rsidRPr="009A6772">
              <w:rPr>
                <w:rFonts w:cstheme="minorHAnsi"/>
                <w:b/>
              </w:rPr>
              <w:t>5</w:t>
            </w:r>
          </w:p>
        </w:tc>
        <w:tc>
          <w:tcPr>
            <w:tcW w:w="7800" w:type="dxa"/>
          </w:tcPr>
          <w:p w14:paraId="633FCFA4" w14:textId="29DAECC0" w:rsidR="00033E15" w:rsidRPr="009A6772" w:rsidRDefault="00033E15" w:rsidP="008E4195">
            <w:pPr>
              <w:spacing w:before="60"/>
              <w:rPr>
                <w:rFonts w:cstheme="minorHAnsi"/>
              </w:rPr>
            </w:pPr>
            <w:r w:rsidRPr="009A6772">
              <w:rPr>
                <w:rFonts w:cstheme="minorHAnsi"/>
                <w:b/>
              </w:rPr>
              <w:t>Financiranje izvajanja ukrepov</w:t>
            </w:r>
            <w:r w:rsidRPr="009A6772">
              <w:rPr>
                <w:rFonts w:cstheme="minorHAnsi"/>
              </w:rPr>
              <w:t>...........................................................................</w:t>
            </w:r>
            <w:r w:rsidR="009A6772">
              <w:rPr>
                <w:rFonts w:cstheme="minorHAnsi"/>
              </w:rPr>
              <w:t>...........</w:t>
            </w:r>
          </w:p>
        </w:tc>
        <w:tc>
          <w:tcPr>
            <w:tcW w:w="563" w:type="dxa"/>
          </w:tcPr>
          <w:p w14:paraId="220DAAC2" w14:textId="29E9F868" w:rsidR="00033E15" w:rsidRPr="009A6772" w:rsidRDefault="004F34AD" w:rsidP="000904FE">
            <w:pPr>
              <w:spacing w:before="60"/>
              <w:jc w:val="both"/>
              <w:rPr>
                <w:rFonts w:cstheme="minorHAnsi"/>
                <w:b/>
              </w:rPr>
            </w:pPr>
            <w:r w:rsidRPr="009A6772">
              <w:rPr>
                <w:rFonts w:cstheme="minorHAnsi"/>
                <w:b/>
              </w:rPr>
              <w:t>33</w:t>
            </w:r>
          </w:p>
        </w:tc>
      </w:tr>
      <w:tr w:rsidR="00AC5D7C" w:rsidRPr="009A6772" w14:paraId="52290711" w14:textId="77777777" w:rsidTr="00DF2F16">
        <w:tc>
          <w:tcPr>
            <w:tcW w:w="846" w:type="dxa"/>
          </w:tcPr>
          <w:p w14:paraId="6CBD0832" w14:textId="3D08EDEB" w:rsidR="00AC5D7C" w:rsidRPr="009A6772" w:rsidRDefault="00AC5D7C" w:rsidP="006262D4">
            <w:pPr>
              <w:spacing w:before="60"/>
              <w:jc w:val="right"/>
              <w:rPr>
                <w:rFonts w:cstheme="minorHAnsi"/>
                <w:b/>
              </w:rPr>
            </w:pPr>
            <w:r w:rsidRPr="009A6772">
              <w:rPr>
                <w:rFonts w:cstheme="minorHAnsi"/>
                <w:b/>
              </w:rPr>
              <w:t>6</w:t>
            </w:r>
          </w:p>
        </w:tc>
        <w:tc>
          <w:tcPr>
            <w:tcW w:w="7800" w:type="dxa"/>
          </w:tcPr>
          <w:p w14:paraId="2AF05F40" w14:textId="4EB95931" w:rsidR="00AC5D7C" w:rsidRPr="009A6772" w:rsidRDefault="00AC5D7C" w:rsidP="00AC5D7C">
            <w:pPr>
              <w:spacing w:before="60"/>
              <w:rPr>
                <w:rFonts w:cstheme="minorHAnsi"/>
              </w:rPr>
            </w:pPr>
            <w:r w:rsidRPr="009A6772">
              <w:rPr>
                <w:rFonts w:cstheme="minorHAnsi"/>
                <w:b/>
                <w:bCs/>
              </w:rPr>
              <w:t>Zaključek</w:t>
            </w:r>
            <w:r w:rsidR="004F34AD" w:rsidRPr="009A6772">
              <w:rPr>
                <w:rFonts w:cstheme="minorHAnsi"/>
                <w:bCs/>
              </w:rPr>
              <w:t>…………………………………………………………………………………………………….....</w:t>
            </w:r>
            <w:r w:rsidR="009A6772">
              <w:rPr>
                <w:rFonts w:cstheme="minorHAnsi"/>
                <w:bCs/>
              </w:rPr>
              <w:t>............</w:t>
            </w:r>
          </w:p>
        </w:tc>
        <w:tc>
          <w:tcPr>
            <w:tcW w:w="563" w:type="dxa"/>
          </w:tcPr>
          <w:p w14:paraId="6282E21B" w14:textId="0FEB6DC6" w:rsidR="00AC5D7C" w:rsidRPr="009A6772" w:rsidRDefault="004F34AD" w:rsidP="000904FE">
            <w:pPr>
              <w:spacing w:before="60"/>
              <w:jc w:val="both"/>
              <w:rPr>
                <w:rFonts w:cstheme="minorHAnsi"/>
                <w:b/>
              </w:rPr>
            </w:pPr>
            <w:r w:rsidRPr="009A6772">
              <w:rPr>
                <w:rFonts w:cstheme="minorHAnsi"/>
                <w:b/>
              </w:rPr>
              <w:t>35</w:t>
            </w:r>
          </w:p>
        </w:tc>
      </w:tr>
    </w:tbl>
    <w:p w14:paraId="2928101F" w14:textId="00FF4511" w:rsidR="0072064A" w:rsidRPr="0010715D" w:rsidRDefault="0072064A" w:rsidP="000904FE">
      <w:pPr>
        <w:spacing w:before="60" w:after="0" w:line="240" w:lineRule="auto"/>
        <w:rPr>
          <w:rFonts w:ascii="Calibri" w:hAnsi="Calibri" w:cs="Calibri"/>
          <w:sz w:val="24"/>
          <w:szCs w:val="24"/>
        </w:rPr>
      </w:pPr>
    </w:p>
    <w:p w14:paraId="5C093B72" w14:textId="77777777" w:rsidR="0072064A" w:rsidRPr="00472C4D" w:rsidRDefault="0072064A" w:rsidP="00411309">
      <w:pPr>
        <w:spacing w:after="0" w:line="240" w:lineRule="auto"/>
        <w:rPr>
          <w:rFonts w:ascii="Calibri" w:hAnsi="Calibri" w:cs="Calibri"/>
        </w:rPr>
      </w:pPr>
    </w:p>
    <w:p w14:paraId="06BED6E8" w14:textId="624727D2" w:rsidR="00411309" w:rsidRPr="00472C4D" w:rsidRDefault="00411309" w:rsidP="00411309">
      <w:pPr>
        <w:spacing w:after="0" w:line="240" w:lineRule="auto"/>
        <w:rPr>
          <w:rFonts w:ascii="Calibri" w:hAnsi="Calibri" w:cs="Calibri"/>
        </w:rPr>
      </w:pPr>
    </w:p>
    <w:p w14:paraId="5A104321" w14:textId="29741108" w:rsidR="00A8742A" w:rsidRDefault="00A8742A" w:rsidP="00411309">
      <w:pPr>
        <w:spacing w:after="0" w:line="240" w:lineRule="auto"/>
        <w:rPr>
          <w:rFonts w:ascii="Calibri" w:hAnsi="Calibri" w:cs="Calibri"/>
        </w:rPr>
      </w:pPr>
    </w:p>
    <w:p w14:paraId="64BE358C" w14:textId="70192D4C" w:rsidR="00642299" w:rsidRDefault="00642299" w:rsidP="00411309">
      <w:pPr>
        <w:spacing w:after="0" w:line="240" w:lineRule="auto"/>
        <w:rPr>
          <w:rFonts w:ascii="Calibri" w:hAnsi="Calibri" w:cs="Calibri"/>
        </w:rPr>
      </w:pPr>
    </w:p>
    <w:p w14:paraId="10EBBCF7" w14:textId="3EBD090D" w:rsidR="00642299" w:rsidRDefault="00642299" w:rsidP="00411309">
      <w:pPr>
        <w:spacing w:after="0" w:line="240" w:lineRule="auto"/>
        <w:rPr>
          <w:rFonts w:ascii="Calibri" w:hAnsi="Calibri" w:cs="Calibri"/>
        </w:rPr>
      </w:pPr>
    </w:p>
    <w:p w14:paraId="27B770CE" w14:textId="77777777" w:rsidR="00DF2F16" w:rsidRDefault="00DF2F16" w:rsidP="00411309">
      <w:pPr>
        <w:spacing w:after="0" w:line="240" w:lineRule="auto"/>
        <w:rPr>
          <w:rFonts w:ascii="Calibri" w:hAnsi="Calibri" w:cs="Calibri"/>
        </w:rPr>
      </w:pPr>
    </w:p>
    <w:p w14:paraId="436F43E3" w14:textId="77777777" w:rsidR="00DF2F16" w:rsidRDefault="00DF2F16" w:rsidP="00411309">
      <w:pPr>
        <w:spacing w:after="0" w:line="240" w:lineRule="auto"/>
        <w:rPr>
          <w:rFonts w:ascii="Calibri" w:hAnsi="Calibri" w:cs="Calibri"/>
        </w:rPr>
      </w:pPr>
    </w:p>
    <w:p w14:paraId="75110FD6" w14:textId="2A9975F6" w:rsidR="00642299" w:rsidRDefault="00642299" w:rsidP="00411309">
      <w:pPr>
        <w:spacing w:after="0" w:line="240" w:lineRule="auto"/>
        <w:rPr>
          <w:rFonts w:ascii="Calibri" w:hAnsi="Calibri" w:cs="Calibri"/>
        </w:rPr>
      </w:pPr>
    </w:p>
    <w:p w14:paraId="650492AC" w14:textId="791948F1" w:rsidR="00411309" w:rsidRPr="00472C4D" w:rsidRDefault="00411309" w:rsidP="00411309">
      <w:pPr>
        <w:spacing w:after="0" w:line="240" w:lineRule="auto"/>
        <w:rPr>
          <w:rFonts w:ascii="Calibri" w:hAnsi="Calibri" w:cs="Calibri"/>
          <w:b/>
          <w:bCs/>
          <w:sz w:val="24"/>
          <w:szCs w:val="24"/>
        </w:rPr>
      </w:pPr>
      <w:r w:rsidRPr="00472C4D">
        <w:rPr>
          <w:rFonts w:ascii="Calibri" w:hAnsi="Calibri" w:cs="Calibri"/>
          <w:b/>
          <w:bCs/>
          <w:sz w:val="24"/>
          <w:szCs w:val="24"/>
        </w:rPr>
        <w:lastRenderedPageBreak/>
        <w:t>Kazalo slik</w:t>
      </w:r>
    </w:p>
    <w:p w14:paraId="7FD85CA0" w14:textId="457B8551" w:rsidR="00411309" w:rsidRDefault="00411309" w:rsidP="00411309">
      <w:pPr>
        <w:spacing w:after="0" w:line="240" w:lineRule="auto"/>
        <w:rPr>
          <w:rFonts w:ascii="Calibri" w:hAnsi="Calibri" w:cs="Calibri"/>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19"/>
        <w:gridCol w:w="444"/>
      </w:tblGrid>
      <w:tr w:rsidR="004700C6" w14:paraId="2D8A3CEB" w14:textId="77777777" w:rsidTr="00DF2F16">
        <w:tc>
          <w:tcPr>
            <w:tcW w:w="846" w:type="dxa"/>
          </w:tcPr>
          <w:p w14:paraId="32D1A823" w14:textId="7CAB7D38" w:rsidR="004700C6" w:rsidRDefault="004700C6" w:rsidP="000904FE">
            <w:pPr>
              <w:spacing w:before="60"/>
              <w:rPr>
                <w:rFonts w:ascii="Calibri" w:hAnsi="Calibri" w:cs="Calibri"/>
              </w:rPr>
            </w:pPr>
            <w:r w:rsidRPr="0072064A">
              <w:rPr>
                <w:rFonts w:ascii="Calibri" w:hAnsi="Calibri" w:cs="Calibri"/>
                <w:sz w:val="20"/>
                <w:szCs w:val="20"/>
              </w:rPr>
              <w:t>Slika 1</w:t>
            </w:r>
          </w:p>
        </w:tc>
        <w:tc>
          <w:tcPr>
            <w:tcW w:w="7919" w:type="dxa"/>
          </w:tcPr>
          <w:p w14:paraId="302C08E1" w14:textId="1717A63B" w:rsidR="004700C6" w:rsidRDefault="008D5AFF" w:rsidP="00DC55E6">
            <w:pPr>
              <w:jc w:val="both"/>
              <w:rPr>
                <w:rFonts w:ascii="Calibri" w:hAnsi="Calibri" w:cs="Calibri"/>
              </w:rPr>
            </w:pPr>
            <w:r w:rsidRPr="008D5AFF">
              <w:rPr>
                <w:bCs/>
                <w:sz w:val="20"/>
                <w:szCs w:val="20"/>
              </w:rPr>
              <w:t>Gibanje emisij ne</w:t>
            </w:r>
            <w:r>
              <w:rPr>
                <w:bCs/>
                <w:sz w:val="20"/>
                <w:szCs w:val="20"/>
              </w:rPr>
              <w:t>-</w:t>
            </w:r>
            <w:r w:rsidRPr="008D5AFF">
              <w:rPr>
                <w:bCs/>
                <w:sz w:val="20"/>
                <w:szCs w:val="20"/>
              </w:rPr>
              <w:t xml:space="preserve">ETS v obdobju 2005−2018 v primerjavi s ciljnimi emisijami v obdobju 2013−2020. Prikazan je indeks rasti, preračunan glede na emisije v letu 2005 </w:t>
            </w:r>
            <w:r w:rsidR="00DC55E6">
              <w:rPr>
                <w:bCs/>
                <w:sz w:val="20"/>
                <w:szCs w:val="20"/>
              </w:rPr>
              <w:t>……………………</w:t>
            </w:r>
            <w:r w:rsidR="004700C6">
              <w:rPr>
                <w:rFonts w:ascii="Calibri" w:hAnsi="Calibri" w:cs="Calibri"/>
                <w:sz w:val="20"/>
                <w:szCs w:val="20"/>
              </w:rPr>
              <w:t>....</w:t>
            </w:r>
            <w:r w:rsidR="00522A6C">
              <w:rPr>
                <w:rFonts w:ascii="Calibri" w:hAnsi="Calibri" w:cs="Calibri"/>
                <w:sz w:val="20"/>
                <w:szCs w:val="20"/>
              </w:rPr>
              <w:t>...</w:t>
            </w:r>
          </w:p>
        </w:tc>
        <w:tc>
          <w:tcPr>
            <w:tcW w:w="444" w:type="dxa"/>
          </w:tcPr>
          <w:p w14:paraId="02DA0AF6" w14:textId="77777777" w:rsidR="008D5AFF" w:rsidRDefault="008D5AFF" w:rsidP="008D5AFF">
            <w:pPr>
              <w:rPr>
                <w:rFonts w:ascii="Calibri" w:hAnsi="Calibri" w:cs="Calibri"/>
              </w:rPr>
            </w:pPr>
          </w:p>
          <w:p w14:paraId="245D6220" w14:textId="301BBB53" w:rsidR="00C534FC" w:rsidRDefault="00B50317" w:rsidP="008D5AFF">
            <w:pPr>
              <w:rPr>
                <w:rFonts w:ascii="Calibri" w:hAnsi="Calibri" w:cs="Calibri"/>
              </w:rPr>
            </w:pPr>
            <w:r>
              <w:rPr>
                <w:rFonts w:ascii="Calibri" w:hAnsi="Calibri" w:cs="Calibri"/>
              </w:rPr>
              <w:t>7</w:t>
            </w:r>
          </w:p>
        </w:tc>
      </w:tr>
      <w:tr w:rsidR="00DC55E6" w14:paraId="2E300232" w14:textId="77777777" w:rsidTr="00DF2F16">
        <w:tc>
          <w:tcPr>
            <w:tcW w:w="846" w:type="dxa"/>
          </w:tcPr>
          <w:p w14:paraId="2FCCF685" w14:textId="128188CC" w:rsidR="00DC55E6" w:rsidRPr="0072064A" w:rsidRDefault="00FA622E" w:rsidP="000904FE">
            <w:pPr>
              <w:spacing w:before="60"/>
              <w:rPr>
                <w:rFonts w:ascii="Calibri" w:hAnsi="Calibri" w:cs="Calibri"/>
                <w:sz w:val="20"/>
                <w:szCs w:val="20"/>
              </w:rPr>
            </w:pPr>
            <w:r>
              <w:rPr>
                <w:rFonts w:ascii="Calibri" w:hAnsi="Calibri" w:cs="Calibri"/>
                <w:sz w:val="20"/>
                <w:szCs w:val="20"/>
              </w:rPr>
              <w:t>Slika 2</w:t>
            </w:r>
          </w:p>
        </w:tc>
        <w:tc>
          <w:tcPr>
            <w:tcW w:w="7919" w:type="dxa"/>
          </w:tcPr>
          <w:p w14:paraId="651A1465" w14:textId="71452631" w:rsidR="00DC55E6" w:rsidRPr="00DC55E6" w:rsidRDefault="00DC55E6" w:rsidP="00DC55E6">
            <w:pPr>
              <w:spacing w:before="60"/>
              <w:rPr>
                <w:rFonts w:ascii="Calibri" w:hAnsi="Calibri" w:cs="Calibri"/>
                <w:sz w:val="20"/>
                <w:szCs w:val="20"/>
              </w:rPr>
            </w:pPr>
            <w:r w:rsidRPr="00DC55E6">
              <w:rPr>
                <w:bCs/>
                <w:sz w:val="20"/>
                <w:szCs w:val="20"/>
              </w:rPr>
              <w:t>Struktura emisij TGP po sektorjih ne-ETS v letu 2018</w:t>
            </w:r>
            <w:r>
              <w:rPr>
                <w:bCs/>
                <w:sz w:val="20"/>
                <w:szCs w:val="20"/>
              </w:rPr>
              <w:t xml:space="preserve"> ………………………………………………………………</w:t>
            </w:r>
            <w:r w:rsidR="00522A6C">
              <w:rPr>
                <w:bCs/>
                <w:sz w:val="20"/>
                <w:szCs w:val="20"/>
              </w:rPr>
              <w:t>..</w:t>
            </w:r>
          </w:p>
        </w:tc>
        <w:tc>
          <w:tcPr>
            <w:tcW w:w="444" w:type="dxa"/>
          </w:tcPr>
          <w:p w14:paraId="348D5CDB" w14:textId="3E85BE90" w:rsidR="00DC55E6" w:rsidRDefault="00B50317" w:rsidP="000904FE">
            <w:pPr>
              <w:spacing w:before="60"/>
              <w:rPr>
                <w:rFonts w:ascii="Calibri" w:hAnsi="Calibri" w:cs="Calibri"/>
              </w:rPr>
            </w:pPr>
            <w:r>
              <w:rPr>
                <w:rFonts w:ascii="Calibri" w:hAnsi="Calibri" w:cs="Calibri"/>
              </w:rPr>
              <w:t>8</w:t>
            </w:r>
          </w:p>
        </w:tc>
      </w:tr>
      <w:tr w:rsidR="004700C6" w14:paraId="74919123" w14:textId="77777777" w:rsidTr="00DF2F16">
        <w:tc>
          <w:tcPr>
            <w:tcW w:w="846" w:type="dxa"/>
          </w:tcPr>
          <w:p w14:paraId="4941375A" w14:textId="50449105" w:rsidR="004700C6" w:rsidRDefault="00FA622E" w:rsidP="000904FE">
            <w:pPr>
              <w:spacing w:before="60"/>
              <w:rPr>
                <w:rFonts w:ascii="Calibri" w:hAnsi="Calibri" w:cs="Calibri"/>
              </w:rPr>
            </w:pPr>
            <w:r>
              <w:rPr>
                <w:rFonts w:ascii="Calibri" w:hAnsi="Calibri" w:cs="Calibri"/>
                <w:sz w:val="20"/>
                <w:szCs w:val="20"/>
              </w:rPr>
              <w:t>Slika 3</w:t>
            </w:r>
          </w:p>
        </w:tc>
        <w:tc>
          <w:tcPr>
            <w:tcW w:w="7919" w:type="dxa"/>
          </w:tcPr>
          <w:p w14:paraId="65F5659D" w14:textId="3BB636F1" w:rsidR="004700C6" w:rsidRPr="005A1C50" w:rsidRDefault="005A1C50" w:rsidP="005A1C50">
            <w:pPr>
              <w:spacing w:before="60"/>
              <w:rPr>
                <w:rFonts w:ascii="Calibri" w:hAnsi="Calibri" w:cs="Calibri"/>
              </w:rPr>
            </w:pPr>
            <w:r w:rsidRPr="005A1C50">
              <w:rPr>
                <w:bCs/>
                <w:sz w:val="20"/>
                <w:szCs w:val="20"/>
              </w:rPr>
              <w:t>Gibanje emisij ne-ETS po sektorjih v obdobju 2005−2018 v primerjavi s projekcijami za leto 2020 in linearno potjo do cilj</w:t>
            </w:r>
            <w:r>
              <w:rPr>
                <w:bCs/>
                <w:sz w:val="20"/>
                <w:szCs w:val="20"/>
              </w:rPr>
              <w:t>ev v obdobju 2012−2020 (črtkane č</w:t>
            </w:r>
            <w:r w:rsidRPr="005A1C50">
              <w:rPr>
                <w:bCs/>
                <w:sz w:val="20"/>
                <w:szCs w:val="20"/>
              </w:rPr>
              <w:t>rte)</w:t>
            </w:r>
            <w:r w:rsidR="004700C6" w:rsidRPr="005A1C50">
              <w:rPr>
                <w:rFonts w:ascii="Calibri" w:hAnsi="Calibri" w:cs="Calibri"/>
                <w:sz w:val="20"/>
                <w:szCs w:val="20"/>
              </w:rPr>
              <w:t>..</w:t>
            </w:r>
            <w:r w:rsidR="00FD0193" w:rsidRPr="005A1C50">
              <w:rPr>
                <w:rFonts w:ascii="Calibri" w:hAnsi="Calibri" w:cs="Calibri"/>
                <w:sz w:val="20"/>
                <w:szCs w:val="20"/>
              </w:rPr>
              <w:t>.</w:t>
            </w:r>
            <w:r w:rsidR="004700C6" w:rsidRPr="005A1C50">
              <w:rPr>
                <w:rFonts w:ascii="Calibri" w:hAnsi="Calibri" w:cs="Calibri"/>
                <w:sz w:val="20"/>
                <w:szCs w:val="20"/>
              </w:rPr>
              <w:t>............</w:t>
            </w:r>
            <w:r>
              <w:rPr>
                <w:rFonts w:ascii="Calibri" w:hAnsi="Calibri" w:cs="Calibri"/>
                <w:sz w:val="20"/>
                <w:szCs w:val="20"/>
              </w:rPr>
              <w:t>..........................</w:t>
            </w:r>
            <w:r w:rsidR="00522A6C">
              <w:rPr>
                <w:rFonts w:ascii="Calibri" w:hAnsi="Calibri" w:cs="Calibri"/>
                <w:sz w:val="20"/>
                <w:szCs w:val="20"/>
              </w:rPr>
              <w:t>...</w:t>
            </w:r>
          </w:p>
        </w:tc>
        <w:tc>
          <w:tcPr>
            <w:tcW w:w="444" w:type="dxa"/>
          </w:tcPr>
          <w:p w14:paraId="365F8269" w14:textId="77777777" w:rsidR="00CB502F" w:rsidRDefault="00CB502F" w:rsidP="005A1C50">
            <w:pPr>
              <w:rPr>
                <w:rFonts w:ascii="Calibri" w:hAnsi="Calibri" w:cs="Calibri"/>
              </w:rPr>
            </w:pPr>
          </w:p>
          <w:p w14:paraId="124823C9" w14:textId="27A20E2F" w:rsidR="00C534FC" w:rsidRDefault="007F6032" w:rsidP="005A1C50">
            <w:pPr>
              <w:rPr>
                <w:rFonts w:ascii="Calibri" w:hAnsi="Calibri" w:cs="Calibri"/>
              </w:rPr>
            </w:pPr>
            <w:r>
              <w:rPr>
                <w:rFonts w:ascii="Calibri" w:hAnsi="Calibri" w:cs="Calibri"/>
              </w:rPr>
              <w:t>11</w:t>
            </w:r>
          </w:p>
        </w:tc>
      </w:tr>
      <w:tr w:rsidR="004700C6" w14:paraId="6CBFF4D2" w14:textId="77777777" w:rsidTr="00DF2F16">
        <w:tc>
          <w:tcPr>
            <w:tcW w:w="846" w:type="dxa"/>
          </w:tcPr>
          <w:p w14:paraId="35222C09" w14:textId="7914A2AC" w:rsidR="004700C6" w:rsidRDefault="00FA622E" w:rsidP="000904FE">
            <w:pPr>
              <w:spacing w:before="60"/>
              <w:rPr>
                <w:rFonts w:ascii="Calibri" w:hAnsi="Calibri" w:cs="Calibri"/>
              </w:rPr>
            </w:pPr>
            <w:r>
              <w:rPr>
                <w:rFonts w:ascii="Calibri" w:hAnsi="Calibri" w:cs="Calibri"/>
                <w:sz w:val="20"/>
                <w:szCs w:val="20"/>
              </w:rPr>
              <w:t>Slika 4</w:t>
            </w:r>
          </w:p>
        </w:tc>
        <w:tc>
          <w:tcPr>
            <w:tcW w:w="7919" w:type="dxa"/>
          </w:tcPr>
          <w:p w14:paraId="7B003566" w14:textId="786F1BE4" w:rsidR="00522A6C" w:rsidRPr="00522A6C" w:rsidRDefault="00522A6C" w:rsidP="00522A6C">
            <w:pPr>
              <w:rPr>
                <w:sz w:val="20"/>
                <w:szCs w:val="20"/>
              </w:rPr>
            </w:pPr>
            <w:r w:rsidRPr="00522A6C">
              <w:rPr>
                <w:sz w:val="20"/>
                <w:szCs w:val="20"/>
              </w:rPr>
              <w:t>Izplačane nepovratne spodbude za ukrepe zmanjševanja emisij TGP po sektorjih</w:t>
            </w:r>
            <w:r>
              <w:rPr>
                <w:sz w:val="20"/>
                <w:szCs w:val="20"/>
              </w:rPr>
              <w:t>.......................</w:t>
            </w:r>
          </w:p>
        </w:tc>
        <w:tc>
          <w:tcPr>
            <w:tcW w:w="444" w:type="dxa"/>
          </w:tcPr>
          <w:p w14:paraId="520D8BFB" w14:textId="0F06DD2C" w:rsidR="004700C6" w:rsidRDefault="007F6032" w:rsidP="00E251FB">
            <w:pPr>
              <w:rPr>
                <w:rFonts w:ascii="Calibri" w:hAnsi="Calibri" w:cs="Calibri"/>
              </w:rPr>
            </w:pPr>
            <w:r>
              <w:rPr>
                <w:rFonts w:ascii="Calibri" w:hAnsi="Calibri" w:cs="Calibri"/>
              </w:rPr>
              <w:t>33</w:t>
            </w:r>
          </w:p>
        </w:tc>
      </w:tr>
      <w:tr w:rsidR="00522A6C" w14:paraId="1AA10666" w14:textId="77777777" w:rsidTr="00DF2F16">
        <w:tc>
          <w:tcPr>
            <w:tcW w:w="846" w:type="dxa"/>
          </w:tcPr>
          <w:p w14:paraId="3B5691AD" w14:textId="6614DE99" w:rsidR="00522A6C" w:rsidRPr="00E251FB" w:rsidRDefault="00522A6C" w:rsidP="000904FE">
            <w:pPr>
              <w:spacing w:before="60"/>
              <w:rPr>
                <w:rFonts w:ascii="Calibri" w:hAnsi="Calibri" w:cs="Calibri"/>
                <w:sz w:val="20"/>
                <w:szCs w:val="20"/>
                <w:highlight w:val="yellow"/>
              </w:rPr>
            </w:pPr>
            <w:r w:rsidRPr="00522A6C">
              <w:rPr>
                <w:rFonts w:ascii="Calibri" w:hAnsi="Calibri" w:cs="Calibri"/>
                <w:sz w:val="20"/>
                <w:szCs w:val="20"/>
              </w:rPr>
              <w:t xml:space="preserve">Slika </w:t>
            </w:r>
            <w:r w:rsidR="00FA622E">
              <w:rPr>
                <w:rFonts w:ascii="Calibri" w:hAnsi="Calibri" w:cs="Calibri"/>
                <w:sz w:val="20"/>
                <w:szCs w:val="20"/>
              </w:rPr>
              <w:t>5</w:t>
            </w:r>
          </w:p>
        </w:tc>
        <w:tc>
          <w:tcPr>
            <w:tcW w:w="7919" w:type="dxa"/>
          </w:tcPr>
          <w:p w14:paraId="031F7D0F" w14:textId="16A3C88D" w:rsidR="00522A6C" w:rsidRPr="00522A6C" w:rsidRDefault="00522A6C" w:rsidP="000904FE">
            <w:pPr>
              <w:spacing w:before="60"/>
              <w:rPr>
                <w:rFonts w:ascii="Calibri" w:hAnsi="Calibri" w:cs="Calibri"/>
              </w:rPr>
            </w:pPr>
            <w:r w:rsidRPr="00522A6C">
              <w:rPr>
                <w:sz w:val="20"/>
                <w:szCs w:val="20"/>
              </w:rPr>
              <w:t>Finančna sredstva za ukrepe zmanjševanja emisij TGP v obdobju 2014-2019 po virih sredstev</w:t>
            </w:r>
            <w:r>
              <w:rPr>
                <w:sz w:val="20"/>
                <w:szCs w:val="20"/>
              </w:rPr>
              <w:t>...</w:t>
            </w:r>
          </w:p>
        </w:tc>
        <w:tc>
          <w:tcPr>
            <w:tcW w:w="444" w:type="dxa"/>
          </w:tcPr>
          <w:p w14:paraId="6A0D4871" w14:textId="155F8806" w:rsidR="00522A6C" w:rsidRDefault="007F6032" w:rsidP="000904FE">
            <w:pPr>
              <w:spacing w:before="60"/>
              <w:rPr>
                <w:rFonts w:ascii="Calibri" w:hAnsi="Calibri" w:cs="Calibri"/>
              </w:rPr>
            </w:pPr>
            <w:r>
              <w:rPr>
                <w:rFonts w:ascii="Calibri" w:hAnsi="Calibri" w:cs="Calibri"/>
              </w:rPr>
              <w:t>34</w:t>
            </w:r>
          </w:p>
        </w:tc>
      </w:tr>
      <w:tr w:rsidR="00522A6C" w14:paraId="69EF9888" w14:textId="77777777" w:rsidTr="00DF2F16">
        <w:tc>
          <w:tcPr>
            <w:tcW w:w="846" w:type="dxa"/>
          </w:tcPr>
          <w:p w14:paraId="6FFA55FD" w14:textId="7810ECD7" w:rsidR="00522A6C" w:rsidRPr="00E251FB" w:rsidRDefault="00522A6C" w:rsidP="000904FE">
            <w:pPr>
              <w:spacing w:before="60"/>
              <w:rPr>
                <w:rFonts w:ascii="Calibri" w:hAnsi="Calibri" w:cs="Calibri"/>
                <w:sz w:val="20"/>
                <w:szCs w:val="20"/>
                <w:highlight w:val="yellow"/>
              </w:rPr>
            </w:pPr>
            <w:r w:rsidRPr="00522A6C">
              <w:rPr>
                <w:rFonts w:ascii="Calibri" w:hAnsi="Calibri" w:cs="Calibri"/>
                <w:sz w:val="20"/>
                <w:szCs w:val="20"/>
              </w:rPr>
              <w:t xml:space="preserve">Slika </w:t>
            </w:r>
            <w:r w:rsidR="00FA622E">
              <w:rPr>
                <w:rFonts w:ascii="Calibri" w:hAnsi="Calibri" w:cs="Calibri"/>
                <w:sz w:val="20"/>
                <w:szCs w:val="20"/>
              </w:rPr>
              <w:t>6</w:t>
            </w:r>
          </w:p>
        </w:tc>
        <w:tc>
          <w:tcPr>
            <w:tcW w:w="7919" w:type="dxa"/>
          </w:tcPr>
          <w:p w14:paraId="71C1B083" w14:textId="67702760" w:rsidR="00522A6C" w:rsidRPr="00522A6C" w:rsidRDefault="00522A6C" w:rsidP="000904FE">
            <w:pPr>
              <w:spacing w:before="60"/>
              <w:rPr>
                <w:rFonts w:ascii="Calibri" w:hAnsi="Calibri" w:cs="Calibri"/>
              </w:rPr>
            </w:pPr>
            <w:r w:rsidRPr="00522A6C">
              <w:rPr>
                <w:sz w:val="20"/>
                <w:szCs w:val="20"/>
              </w:rPr>
              <w:t>Investicije in nepovratne finančne spodbude za ukrepe zmanjševanja emisij TGP ter učinki na zmanjšanje emisij TGP v gospodinjstvih, javnem sektorju, gospodarstvu in prometu</w:t>
            </w:r>
            <w:r>
              <w:rPr>
                <w:sz w:val="20"/>
                <w:szCs w:val="20"/>
              </w:rPr>
              <w:t>...................</w:t>
            </w:r>
          </w:p>
        </w:tc>
        <w:tc>
          <w:tcPr>
            <w:tcW w:w="444" w:type="dxa"/>
          </w:tcPr>
          <w:p w14:paraId="2E9D771E" w14:textId="0CF21A03" w:rsidR="00522A6C" w:rsidRDefault="007F6032" w:rsidP="007F6032">
            <w:pPr>
              <w:spacing w:before="240"/>
              <w:rPr>
                <w:rFonts w:ascii="Calibri" w:hAnsi="Calibri" w:cs="Calibri"/>
              </w:rPr>
            </w:pPr>
            <w:r>
              <w:rPr>
                <w:rFonts w:ascii="Calibri" w:hAnsi="Calibri" w:cs="Calibri"/>
              </w:rPr>
              <w:t>34</w:t>
            </w:r>
          </w:p>
        </w:tc>
      </w:tr>
    </w:tbl>
    <w:p w14:paraId="1A0C349A" w14:textId="4527CA92" w:rsidR="00642299" w:rsidRDefault="00642299" w:rsidP="000904FE">
      <w:pPr>
        <w:spacing w:before="60" w:after="0" w:line="240" w:lineRule="auto"/>
        <w:rPr>
          <w:rFonts w:ascii="Calibri" w:hAnsi="Calibri" w:cs="Calibri"/>
        </w:rPr>
      </w:pPr>
    </w:p>
    <w:p w14:paraId="1E8C2605" w14:textId="77777777" w:rsidR="00DF2F16" w:rsidRDefault="00DF2F16" w:rsidP="009B3BCF">
      <w:pPr>
        <w:spacing w:after="0" w:line="240" w:lineRule="auto"/>
        <w:rPr>
          <w:rFonts w:ascii="Calibri" w:hAnsi="Calibri" w:cs="Calibri"/>
          <w:b/>
          <w:bCs/>
          <w:sz w:val="24"/>
          <w:szCs w:val="24"/>
        </w:rPr>
      </w:pPr>
    </w:p>
    <w:p w14:paraId="019B5D65" w14:textId="77777777" w:rsidR="00DF2F16" w:rsidRDefault="00DF2F16" w:rsidP="009B3BCF">
      <w:pPr>
        <w:spacing w:after="0" w:line="240" w:lineRule="auto"/>
        <w:rPr>
          <w:rFonts w:ascii="Calibri" w:hAnsi="Calibri" w:cs="Calibri"/>
          <w:b/>
          <w:bCs/>
          <w:sz w:val="24"/>
          <w:szCs w:val="24"/>
        </w:rPr>
      </w:pPr>
    </w:p>
    <w:p w14:paraId="61DD01CB" w14:textId="0CAD52A2" w:rsidR="009B3BCF" w:rsidRPr="00472C4D" w:rsidRDefault="009B3BCF" w:rsidP="009B3BCF">
      <w:pPr>
        <w:spacing w:after="0" w:line="240" w:lineRule="auto"/>
        <w:rPr>
          <w:rFonts w:ascii="Calibri" w:hAnsi="Calibri" w:cs="Calibri"/>
          <w:b/>
          <w:bCs/>
          <w:sz w:val="24"/>
          <w:szCs w:val="24"/>
        </w:rPr>
      </w:pPr>
      <w:r w:rsidRPr="00472C4D">
        <w:rPr>
          <w:rFonts w:ascii="Calibri" w:hAnsi="Calibri" w:cs="Calibri"/>
          <w:b/>
          <w:bCs/>
          <w:sz w:val="24"/>
          <w:szCs w:val="24"/>
        </w:rPr>
        <w:t xml:space="preserve">Kazalo </w:t>
      </w:r>
      <w:r>
        <w:rPr>
          <w:rFonts w:ascii="Calibri" w:hAnsi="Calibri" w:cs="Calibri"/>
          <w:b/>
          <w:bCs/>
          <w:sz w:val="24"/>
          <w:szCs w:val="24"/>
        </w:rPr>
        <w:t>tabel</w:t>
      </w:r>
    </w:p>
    <w:p w14:paraId="769AB949" w14:textId="77777777" w:rsidR="009B3BCF" w:rsidRDefault="009B3BCF" w:rsidP="009B3BCF">
      <w:pPr>
        <w:spacing w:after="0" w:line="240" w:lineRule="auto"/>
        <w:rPr>
          <w:rFonts w:ascii="Calibri" w:hAnsi="Calibri" w:cs="Calibri"/>
        </w:rPr>
      </w:pPr>
    </w:p>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654"/>
        <w:gridCol w:w="567"/>
      </w:tblGrid>
      <w:tr w:rsidR="009B3BCF" w14:paraId="063422BB" w14:textId="77777777" w:rsidTr="00DF2F16">
        <w:tc>
          <w:tcPr>
            <w:tcW w:w="988" w:type="dxa"/>
          </w:tcPr>
          <w:p w14:paraId="28C31EFB" w14:textId="116A3094" w:rsidR="009B3BCF" w:rsidRDefault="009B3BCF" w:rsidP="00AE4DBF">
            <w:pPr>
              <w:spacing w:before="60"/>
              <w:rPr>
                <w:rFonts w:ascii="Calibri" w:hAnsi="Calibri" w:cs="Calibri"/>
              </w:rPr>
            </w:pPr>
            <w:r>
              <w:rPr>
                <w:rFonts w:ascii="Calibri" w:hAnsi="Calibri" w:cs="Calibri"/>
                <w:sz w:val="20"/>
                <w:szCs w:val="20"/>
              </w:rPr>
              <w:t>Tabela</w:t>
            </w:r>
            <w:r w:rsidRPr="0072064A">
              <w:rPr>
                <w:rFonts w:ascii="Calibri" w:hAnsi="Calibri" w:cs="Calibri"/>
                <w:sz w:val="20"/>
                <w:szCs w:val="20"/>
              </w:rPr>
              <w:t xml:space="preserve"> 1</w:t>
            </w:r>
          </w:p>
        </w:tc>
        <w:tc>
          <w:tcPr>
            <w:tcW w:w="7654" w:type="dxa"/>
          </w:tcPr>
          <w:p w14:paraId="60884797" w14:textId="58DDF4F8" w:rsidR="009B3BCF" w:rsidRPr="009B3BCF" w:rsidRDefault="009B3BCF" w:rsidP="00AE4DBF">
            <w:pPr>
              <w:jc w:val="both"/>
              <w:rPr>
                <w:sz w:val="20"/>
                <w:szCs w:val="20"/>
              </w:rPr>
            </w:pPr>
            <w:r w:rsidRPr="009B3BCF">
              <w:rPr>
                <w:sz w:val="20"/>
                <w:szCs w:val="20"/>
              </w:rPr>
              <w:t>Indikativni sektorski cilji zmanjšanja emisij TGP v sektorjih, ki niso vključeni v shemo trgovanja z emisijskimi kuponi, do leta 2020 glede na leto 2005, ki si jih je Slovenija zastavila z OP TGP 2020 ter njihovo doseganje</w:t>
            </w:r>
            <w:r w:rsidR="00CB502F">
              <w:rPr>
                <w:sz w:val="20"/>
                <w:szCs w:val="20"/>
              </w:rPr>
              <w:t>........................................................</w:t>
            </w:r>
            <w:r w:rsidR="006B3B2C">
              <w:rPr>
                <w:sz w:val="20"/>
                <w:szCs w:val="20"/>
              </w:rPr>
              <w:t>.................</w:t>
            </w:r>
          </w:p>
        </w:tc>
        <w:tc>
          <w:tcPr>
            <w:tcW w:w="567" w:type="dxa"/>
          </w:tcPr>
          <w:p w14:paraId="52BB60E3" w14:textId="77777777" w:rsidR="009B3BCF" w:rsidRDefault="009B3BCF" w:rsidP="00CB502F">
            <w:pPr>
              <w:spacing w:before="120"/>
              <w:rPr>
                <w:rFonts w:ascii="Calibri" w:hAnsi="Calibri" w:cs="Calibri"/>
              </w:rPr>
            </w:pPr>
          </w:p>
          <w:p w14:paraId="2062B7DB" w14:textId="61F50762" w:rsidR="00CB502F" w:rsidRDefault="00CB502F" w:rsidP="00CB502F">
            <w:pPr>
              <w:spacing w:before="120"/>
              <w:rPr>
                <w:rFonts w:ascii="Calibri" w:hAnsi="Calibri" w:cs="Calibri"/>
              </w:rPr>
            </w:pPr>
            <w:r>
              <w:rPr>
                <w:rFonts w:ascii="Calibri" w:hAnsi="Calibri" w:cs="Calibri"/>
              </w:rPr>
              <w:t>6</w:t>
            </w:r>
          </w:p>
        </w:tc>
      </w:tr>
    </w:tbl>
    <w:p w14:paraId="1407180E" w14:textId="18636816" w:rsidR="009B3BCF" w:rsidRDefault="009B3BCF" w:rsidP="009B3BCF">
      <w:pPr>
        <w:spacing w:before="60" w:after="0" w:line="240" w:lineRule="auto"/>
        <w:rPr>
          <w:rFonts w:ascii="Calibri" w:hAnsi="Calibri" w:cs="Calibri"/>
        </w:rPr>
      </w:pPr>
    </w:p>
    <w:p w14:paraId="389CD747" w14:textId="73FB9CFA" w:rsidR="004F3F8C" w:rsidRDefault="004F3F8C" w:rsidP="009B3BCF">
      <w:pPr>
        <w:spacing w:before="60" w:after="0" w:line="240" w:lineRule="auto"/>
        <w:rPr>
          <w:rFonts w:ascii="Calibri" w:hAnsi="Calibri" w:cs="Calibri"/>
        </w:rPr>
      </w:pPr>
    </w:p>
    <w:p w14:paraId="16C20906" w14:textId="2CE0FBBB" w:rsidR="004F3F8C" w:rsidRDefault="004F3F8C" w:rsidP="009B3BCF">
      <w:pPr>
        <w:spacing w:before="60" w:after="0" w:line="240" w:lineRule="auto"/>
        <w:rPr>
          <w:rFonts w:ascii="Calibri" w:hAnsi="Calibri" w:cs="Calibri"/>
        </w:rPr>
      </w:pPr>
    </w:p>
    <w:p w14:paraId="4E25F286" w14:textId="20D5E45C" w:rsidR="004F3F8C" w:rsidRDefault="004F3F8C" w:rsidP="009B3BCF">
      <w:pPr>
        <w:spacing w:before="60" w:after="0" w:line="240" w:lineRule="auto"/>
        <w:rPr>
          <w:rFonts w:ascii="Calibri" w:hAnsi="Calibri" w:cs="Calibri"/>
        </w:rPr>
      </w:pPr>
    </w:p>
    <w:p w14:paraId="48A6638E" w14:textId="32461907" w:rsidR="004F3F8C" w:rsidRDefault="004F3F8C" w:rsidP="009B3BCF">
      <w:pPr>
        <w:spacing w:before="60" w:after="0" w:line="240" w:lineRule="auto"/>
        <w:rPr>
          <w:rFonts w:ascii="Calibri" w:hAnsi="Calibri" w:cs="Calibri"/>
        </w:rPr>
      </w:pPr>
    </w:p>
    <w:p w14:paraId="463ADE3C" w14:textId="5B6C8294" w:rsidR="004F3F8C" w:rsidRDefault="004F3F8C" w:rsidP="009B3BCF">
      <w:pPr>
        <w:spacing w:before="60" w:after="0" w:line="240" w:lineRule="auto"/>
        <w:rPr>
          <w:rFonts w:ascii="Calibri" w:hAnsi="Calibri" w:cs="Calibri"/>
        </w:rPr>
      </w:pPr>
    </w:p>
    <w:p w14:paraId="6CDA5F59" w14:textId="77777777" w:rsidR="004F3F8C" w:rsidRDefault="004F3F8C" w:rsidP="009B3BCF">
      <w:pPr>
        <w:spacing w:before="60" w:after="0" w:line="240" w:lineRule="auto"/>
        <w:rPr>
          <w:rFonts w:ascii="Calibri" w:hAnsi="Calibri" w:cs="Calibri"/>
        </w:rPr>
      </w:pPr>
    </w:p>
    <w:p w14:paraId="766D91CC" w14:textId="647F4441" w:rsidR="00642299" w:rsidRDefault="00642299" w:rsidP="000904FE">
      <w:pPr>
        <w:spacing w:before="60" w:after="0" w:line="240" w:lineRule="auto"/>
        <w:rPr>
          <w:rFonts w:ascii="Calibri" w:hAnsi="Calibri" w:cs="Calibri"/>
        </w:rPr>
      </w:pPr>
    </w:p>
    <w:p w14:paraId="016A6947" w14:textId="11D10308" w:rsidR="00642299" w:rsidRDefault="00642299" w:rsidP="000904FE">
      <w:pPr>
        <w:spacing w:before="60" w:after="0" w:line="240" w:lineRule="auto"/>
        <w:rPr>
          <w:rFonts w:ascii="Calibri" w:hAnsi="Calibri" w:cs="Calibri"/>
        </w:rPr>
      </w:pPr>
    </w:p>
    <w:p w14:paraId="1A6E0600" w14:textId="09E8FB68" w:rsidR="00642299" w:rsidRDefault="00642299" w:rsidP="000904FE">
      <w:pPr>
        <w:spacing w:before="60" w:after="0" w:line="240" w:lineRule="auto"/>
        <w:rPr>
          <w:rFonts w:ascii="Calibri" w:hAnsi="Calibri" w:cs="Calibri"/>
        </w:rPr>
      </w:pPr>
    </w:p>
    <w:p w14:paraId="4A016A3F" w14:textId="3355C5D5" w:rsidR="00642299" w:rsidRDefault="00642299" w:rsidP="000904FE">
      <w:pPr>
        <w:spacing w:before="60" w:after="0" w:line="240" w:lineRule="auto"/>
        <w:rPr>
          <w:rFonts w:ascii="Calibri" w:hAnsi="Calibri" w:cs="Calibri"/>
        </w:rPr>
      </w:pPr>
    </w:p>
    <w:p w14:paraId="7C935923" w14:textId="3BCF8EF9" w:rsidR="00642299" w:rsidRDefault="00642299" w:rsidP="000904FE">
      <w:pPr>
        <w:spacing w:before="60" w:after="0" w:line="240" w:lineRule="auto"/>
        <w:rPr>
          <w:rFonts w:ascii="Calibri" w:hAnsi="Calibri" w:cs="Calibri"/>
        </w:rPr>
      </w:pPr>
    </w:p>
    <w:p w14:paraId="24ACB8A8" w14:textId="1134C27A" w:rsidR="00642299" w:rsidRDefault="00642299" w:rsidP="000904FE">
      <w:pPr>
        <w:spacing w:before="60" w:after="0" w:line="240" w:lineRule="auto"/>
        <w:rPr>
          <w:rFonts w:ascii="Calibri" w:hAnsi="Calibri" w:cs="Calibri"/>
        </w:rPr>
      </w:pPr>
    </w:p>
    <w:p w14:paraId="301573B3" w14:textId="42046867" w:rsidR="00642299" w:rsidRDefault="00642299" w:rsidP="000904FE">
      <w:pPr>
        <w:spacing w:before="60" w:after="0" w:line="240" w:lineRule="auto"/>
        <w:rPr>
          <w:rFonts w:ascii="Calibri" w:hAnsi="Calibri" w:cs="Calibri"/>
        </w:rPr>
      </w:pPr>
    </w:p>
    <w:p w14:paraId="3E26111C" w14:textId="556B22E8" w:rsidR="00642299" w:rsidRDefault="00642299" w:rsidP="000904FE">
      <w:pPr>
        <w:spacing w:before="60" w:after="0" w:line="240" w:lineRule="auto"/>
        <w:rPr>
          <w:rFonts w:ascii="Calibri" w:hAnsi="Calibri" w:cs="Calibri"/>
        </w:rPr>
      </w:pPr>
    </w:p>
    <w:p w14:paraId="0A26FFEB" w14:textId="1534817D" w:rsidR="00642299" w:rsidRDefault="00642299" w:rsidP="000904FE">
      <w:pPr>
        <w:spacing w:before="60" w:after="0" w:line="240" w:lineRule="auto"/>
        <w:rPr>
          <w:rFonts w:ascii="Calibri" w:hAnsi="Calibri" w:cs="Calibri"/>
        </w:rPr>
      </w:pPr>
    </w:p>
    <w:p w14:paraId="1A5844D8" w14:textId="4755E14B" w:rsidR="00642299" w:rsidRDefault="00642299" w:rsidP="000904FE">
      <w:pPr>
        <w:spacing w:before="60" w:after="0" w:line="240" w:lineRule="auto"/>
        <w:rPr>
          <w:rFonts w:ascii="Calibri" w:hAnsi="Calibri" w:cs="Calibri"/>
        </w:rPr>
      </w:pPr>
    </w:p>
    <w:p w14:paraId="44B0D762" w14:textId="4F439BF9" w:rsidR="00642299" w:rsidRDefault="00642299" w:rsidP="000904FE">
      <w:pPr>
        <w:spacing w:before="60" w:after="0" w:line="240" w:lineRule="auto"/>
        <w:rPr>
          <w:rFonts w:ascii="Calibri" w:hAnsi="Calibri" w:cs="Calibri"/>
        </w:rPr>
      </w:pPr>
    </w:p>
    <w:p w14:paraId="6FC38355" w14:textId="3A9258F4" w:rsidR="00642299" w:rsidRDefault="00642299" w:rsidP="000904FE">
      <w:pPr>
        <w:spacing w:before="60" w:after="0" w:line="240" w:lineRule="auto"/>
        <w:rPr>
          <w:rFonts w:ascii="Calibri" w:hAnsi="Calibri" w:cs="Calibri"/>
        </w:rPr>
      </w:pPr>
    </w:p>
    <w:p w14:paraId="1B6B52E6" w14:textId="7F57F540" w:rsidR="00642299" w:rsidRDefault="00642299" w:rsidP="000904FE">
      <w:pPr>
        <w:spacing w:before="60" w:after="0" w:line="240" w:lineRule="auto"/>
        <w:rPr>
          <w:rFonts w:ascii="Calibri" w:hAnsi="Calibri" w:cs="Calibri"/>
        </w:rPr>
      </w:pPr>
    </w:p>
    <w:p w14:paraId="796FF780" w14:textId="77777777" w:rsidR="00D36CEC" w:rsidRDefault="00D36CEC" w:rsidP="000904FE">
      <w:pPr>
        <w:spacing w:before="60" w:after="0" w:line="240" w:lineRule="auto"/>
        <w:rPr>
          <w:rFonts w:ascii="Calibri" w:hAnsi="Calibri" w:cs="Calibri"/>
        </w:rPr>
      </w:pPr>
    </w:p>
    <w:p w14:paraId="5776ED99" w14:textId="77777777" w:rsidR="00D36CEC" w:rsidRDefault="00D36CEC" w:rsidP="000904FE">
      <w:pPr>
        <w:spacing w:before="60" w:after="0" w:line="240" w:lineRule="auto"/>
        <w:rPr>
          <w:rFonts w:ascii="Calibri" w:hAnsi="Calibri" w:cs="Calibri"/>
        </w:rPr>
      </w:pPr>
    </w:p>
    <w:p w14:paraId="19E73D62" w14:textId="77777777" w:rsidR="008F3DC0" w:rsidRDefault="008F3DC0" w:rsidP="000904FE">
      <w:pPr>
        <w:spacing w:before="60" w:after="0" w:line="240" w:lineRule="auto"/>
        <w:rPr>
          <w:rFonts w:ascii="Calibri" w:hAnsi="Calibri" w:cs="Calibri"/>
        </w:rPr>
      </w:pPr>
    </w:p>
    <w:p w14:paraId="0885E96B" w14:textId="77777777" w:rsidR="00D36CEC" w:rsidRDefault="00D36CEC" w:rsidP="000904FE">
      <w:pPr>
        <w:spacing w:before="60" w:after="0" w:line="240" w:lineRule="auto"/>
        <w:rPr>
          <w:rFonts w:ascii="Calibri" w:hAnsi="Calibri" w:cs="Calibri"/>
        </w:rPr>
      </w:pPr>
    </w:p>
    <w:p w14:paraId="219FD2D3" w14:textId="77777777" w:rsidR="00124FBF" w:rsidRDefault="00124FBF" w:rsidP="000904FE">
      <w:pPr>
        <w:spacing w:before="60" w:after="0" w:line="240" w:lineRule="auto"/>
        <w:rPr>
          <w:rFonts w:ascii="Calibri" w:hAnsi="Calibri" w:cs="Calibri"/>
        </w:rPr>
      </w:pPr>
    </w:p>
    <w:p w14:paraId="14585164" w14:textId="77777777" w:rsidR="00D36CEC" w:rsidRDefault="00D36CEC" w:rsidP="000904FE">
      <w:pPr>
        <w:spacing w:before="60" w:after="0" w:line="240" w:lineRule="auto"/>
        <w:rPr>
          <w:rFonts w:ascii="Calibri" w:hAnsi="Calibri" w:cs="Calibri"/>
        </w:rPr>
      </w:pPr>
    </w:p>
    <w:p w14:paraId="0B4B1771" w14:textId="51728B94" w:rsidR="001777EC" w:rsidRPr="00472C4D" w:rsidRDefault="00C36C31" w:rsidP="008B355C">
      <w:pPr>
        <w:spacing w:after="0" w:line="240" w:lineRule="auto"/>
        <w:jc w:val="both"/>
        <w:rPr>
          <w:rFonts w:ascii="Calibri" w:hAnsi="Calibri" w:cs="Calibri"/>
          <w:b/>
          <w:bCs/>
          <w:sz w:val="26"/>
          <w:szCs w:val="26"/>
        </w:rPr>
      </w:pPr>
      <w:r w:rsidRPr="00472C4D">
        <w:rPr>
          <w:rFonts w:ascii="Calibri" w:hAnsi="Calibri" w:cs="Calibri"/>
          <w:b/>
          <w:bCs/>
          <w:sz w:val="26"/>
          <w:szCs w:val="26"/>
        </w:rPr>
        <w:lastRenderedPageBreak/>
        <w:t xml:space="preserve">1 </w:t>
      </w:r>
      <w:r w:rsidR="00046A9C">
        <w:rPr>
          <w:rFonts w:ascii="Calibri" w:hAnsi="Calibri" w:cs="Calibri"/>
          <w:b/>
          <w:bCs/>
          <w:sz w:val="26"/>
          <w:szCs w:val="26"/>
        </w:rPr>
        <w:t>K</w:t>
      </w:r>
      <w:r w:rsidRPr="00472C4D">
        <w:rPr>
          <w:rFonts w:ascii="Calibri" w:hAnsi="Calibri" w:cs="Calibri"/>
          <w:b/>
          <w:bCs/>
          <w:sz w:val="26"/>
          <w:szCs w:val="26"/>
        </w:rPr>
        <w:t>ljučne ugotovitve</w:t>
      </w:r>
    </w:p>
    <w:p w14:paraId="5ACF0F10" w14:textId="77777777" w:rsidR="00CB0887" w:rsidRPr="00472C4D" w:rsidRDefault="00CB0887" w:rsidP="008B355C">
      <w:pPr>
        <w:spacing w:after="0" w:line="240" w:lineRule="auto"/>
        <w:jc w:val="both"/>
        <w:rPr>
          <w:rFonts w:ascii="Calibri" w:hAnsi="Calibri" w:cs="Calibri"/>
        </w:rPr>
      </w:pPr>
    </w:p>
    <w:p w14:paraId="5481AE72" w14:textId="6123E8ED" w:rsidR="00CB0887" w:rsidRPr="00472C4D" w:rsidRDefault="00CB0887" w:rsidP="008B355C">
      <w:pPr>
        <w:spacing w:after="0" w:line="240" w:lineRule="auto"/>
        <w:jc w:val="both"/>
        <w:rPr>
          <w:rFonts w:ascii="Calibri" w:hAnsi="Calibri" w:cs="Calibri"/>
        </w:rPr>
      </w:pPr>
      <w:r w:rsidRPr="00472C4D">
        <w:rPr>
          <w:rFonts w:ascii="Calibri" w:hAnsi="Calibri" w:cs="Calibri"/>
        </w:rPr>
        <w:t>Četrto letno poročilo o izvajanju Operativnega programa ukrepov zmanjšanja emisij toplogrednih plinov do leta 2020 (v nadaljnjem besedilu</w:t>
      </w:r>
      <w:r w:rsidR="00987F7F">
        <w:rPr>
          <w:rFonts w:ascii="Calibri" w:hAnsi="Calibri" w:cs="Calibri"/>
        </w:rPr>
        <w:t>:</w:t>
      </w:r>
      <w:r w:rsidRPr="00472C4D">
        <w:rPr>
          <w:rFonts w:ascii="Calibri" w:hAnsi="Calibri" w:cs="Calibri"/>
        </w:rPr>
        <w:t xml:space="preserve"> OP TGP 2020) podaja oceno d</w:t>
      </w:r>
      <w:r w:rsidR="001022FF" w:rsidRPr="00472C4D">
        <w:rPr>
          <w:rFonts w:ascii="Calibri" w:hAnsi="Calibri" w:cs="Calibri"/>
        </w:rPr>
        <w:t>o</w:t>
      </w:r>
      <w:r w:rsidRPr="00472C4D">
        <w:rPr>
          <w:rFonts w:ascii="Calibri" w:hAnsi="Calibri" w:cs="Calibri"/>
        </w:rPr>
        <w:t xml:space="preserve">seganja </w:t>
      </w:r>
      <w:r w:rsidR="001022FF" w:rsidRPr="00472C4D">
        <w:rPr>
          <w:rFonts w:ascii="Calibri" w:hAnsi="Calibri" w:cs="Calibri"/>
        </w:rPr>
        <w:t xml:space="preserve">emisijskih </w:t>
      </w:r>
      <w:r w:rsidRPr="00472C4D">
        <w:rPr>
          <w:rFonts w:ascii="Calibri" w:hAnsi="Calibri" w:cs="Calibri"/>
        </w:rPr>
        <w:t>ciljev in pregled izvajanja ukrepov</w:t>
      </w:r>
      <w:r w:rsidR="001022FF" w:rsidRPr="00472C4D">
        <w:rPr>
          <w:rFonts w:ascii="Calibri" w:hAnsi="Calibri" w:cs="Calibri"/>
        </w:rPr>
        <w:t xml:space="preserve"> za </w:t>
      </w:r>
      <w:r w:rsidR="002F5141" w:rsidRPr="00472C4D">
        <w:rPr>
          <w:rFonts w:ascii="Calibri" w:hAnsi="Calibri" w:cs="Calibri"/>
        </w:rPr>
        <w:t>ne</w:t>
      </w:r>
      <w:r w:rsidR="00FD0193">
        <w:rPr>
          <w:rFonts w:ascii="Calibri" w:hAnsi="Calibri" w:cs="Calibri"/>
        </w:rPr>
        <w:t>-</w:t>
      </w:r>
      <w:r w:rsidR="002F5141" w:rsidRPr="00472C4D">
        <w:rPr>
          <w:rFonts w:ascii="Calibri" w:hAnsi="Calibri" w:cs="Calibri"/>
        </w:rPr>
        <w:t xml:space="preserve">ETS </w:t>
      </w:r>
      <w:r w:rsidR="001022FF" w:rsidRPr="00472C4D">
        <w:rPr>
          <w:rFonts w:ascii="Calibri" w:hAnsi="Calibri" w:cs="Calibri"/>
        </w:rPr>
        <w:t>sektorje, ki so predmet Odločbe 406/2009/ES</w:t>
      </w:r>
      <w:r w:rsidR="002C6881" w:rsidRPr="00472C4D">
        <w:rPr>
          <w:rStyle w:val="Sprotnaopomba-sklic"/>
          <w:rFonts w:ascii="Calibri" w:hAnsi="Calibri" w:cs="Calibri"/>
        </w:rPr>
        <w:footnoteReference w:id="1"/>
      </w:r>
      <w:r w:rsidR="001022FF" w:rsidRPr="00472C4D">
        <w:rPr>
          <w:rFonts w:ascii="Calibri" w:hAnsi="Calibri" w:cs="Calibri"/>
        </w:rPr>
        <w:t xml:space="preserve">. </w:t>
      </w:r>
    </w:p>
    <w:p w14:paraId="0E0E2D93" w14:textId="77777777" w:rsidR="00F1292A" w:rsidRPr="00472C4D" w:rsidRDefault="00F1292A" w:rsidP="008B355C">
      <w:pPr>
        <w:spacing w:after="0" w:line="240" w:lineRule="auto"/>
        <w:jc w:val="both"/>
        <w:rPr>
          <w:rFonts w:ascii="Calibri" w:hAnsi="Calibri" w:cs="Calibri"/>
        </w:rPr>
      </w:pPr>
    </w:p>
    <w:p w14:paraId="58388460" w14:textId="1880A0E7" w:rsidR="00C36C31" w:rsidRPr="00472C4D" w:rsidRDefault="00FA25E6" w:rsidP="008B355C">
      <w:pPr>
        <w:spacing w:after="0" w:line="240" w:lineRule="auto"/>
        <w:jc w:val="both"/>
        <w:rPr>
          <w:rFonts w:ascii="Calibri" w:hAnsi="Calibri" w:cs="Calibri"/>
        </w:rPr>
      </w:pPr>
      <w:r w:rsidRPr="00472C4D">
        <w:rPr>
          <w:rFonts w:ascii="Calibri" w:hAnsi="Calibri" w:cs="Calibri"/>
        </w:rPr>
        <w:t>Poročilo je narejeno na osnovi</w:t>
      </w:r>
      <w:r w:rsidR="003C17CF" w:rsidRPr="00472C4D">
        <w:rPr>
          <w:rFonts w:ascii="Calibri" w:hAnsi="Calibri" w:cs="Calibri"/>
        </w:rPr>
        <w:t xml:space="preserve"> Podnebnega ogledala 2019</w:t>
      </w:r>
      <w:r w:rsidR="006D267F">
        <w:rPr>
          <w:rFonts w:ascii="Calibri" w:hAnsi="Calibri" w:cs="Calibri"/>
        </w:rPr>
        <w:t xml:space="preserve"> in Podnebnega ogledala 2020</w:t>
      </w:r>
      <w:r w:rsidR="003C17CF" w:rsidRPr="00472C4D">
        <w:rPr>
          <w:rFonts w:ascii="Calibri" w:hAnsi="Calibri" w:cs="Calibri"/>
        </w:rPr>
        <w:t>, ki</w:t>
      </w:r>
      <w:r w:rsidR="006D267F">
        <w:rPr>
          <w:rFonts w:ascii="Calibri" w:hAnsi="Calibri" w:cs="Calibri"/>
        </w:rPr>
        <w:t xml:space="preserve"> sta bila</w:t>
      </w:r>
      <w:r w:rsidR="00465A40">
        <w:rPr>
          <w:rFonts w:ascii="Calibri" w:hAnsi="Calibri" w:cs="Calibri"/>
        </w:rPr>
        <w:t xml:space="preserve"> pripravljena</w:t>
      </w:r>
      <w:r w:rsidR="00014AB5" w:rsidRPr="00472C4D">
        <w:rPr>
          <w:rFonts w:ascii="Calibri" w:hAnsi="Calibri" w:cs="Calibri"/>
        </w:rPr>
        <w:t xml:space="preserve"> v sklopu projekta LIFE Podnebna pot 2050</w:t>
      </w:r>
      <w:r w:rsidR="002C6881" w:rsidRPr="00472C4D">
        <w:rPr>
          <w:rStyle w:val="Sprotnaopomba-sklic"/>
          <w:rFonts w:ascii="Calibri" w:hAnsi="Calibri" w:cs="Calibri"/>
        </w:rPr>
        <w:footnoteReference w:id="2"/>
      </w:r>
      <w:r w:rsidR="00014AB5" w:rsidRPr="00472C4D">
        <w:rPr>
          <w:rFonts w:ascii="Calibri" w:hAnsi="Calibri" w:cs="Calibri"/>
        </w:rPr>
        <w:t xml:space="preserve">, ki ga sofinancira Ministrstvo za okolje in prostor. </w:t>
      </w:r>
      <w:r w:rsidR="00AF43BB" w:rsidRPr="00472C4D">
        <w:rPr>
          <w:rFonts w:ascii="Calibri" w:hAnsi="Calibri" w:cs="Calibri"/>
        </w:rPr>
        <w:t xml:space="preserve">Zvezki </w:t>
      </w:r>
      <w:r w:rsidR="00014AB5" w:rsidRPr="00472C4D">
        <w:rPr>
          <w:rFonts w:ascii="Calibri" w:hAnsi="Calibri" w:cs="Calibri"/>
        </w:rPr>
        <w:t>Podnebn</w:t>
      </w:r>
      <w:r w:rsidR="00AF43BB" w:rsidRPr="00472C4D">
        <w:rPr>
          <w:rFonts w:ascii="Calibri" w:hAnsi="Calibri" w:cs="Calibri"/>
        </w:rPr>
        <w:t>ega</w:t>
      </w:r>
      <w:r w:rsidR="00014AB5" w:rsidRPr="00472C4D">
        <w:rPr>
          <w:rFonts w:ascii="Calibri" w:hAnsi="Calibri" w:cs="Calibri"/>
        </w:rPr>
        <w:t xml:space="preserve"> ogledal</w:t>
      </w:r>
      <w:r w:rsidR="00AF43BB" w:rsidRPr="00472C4D">
        <w:rPr>
          <w:rFonts w:ascii="Calibri" w:hAnsi="Calibri" w:cs="Calibri"/>
        </w:rPr>
        <w:t>a</w:t>
      </w:r>
      <w:r w:rsidR="00014AB5" w:rsidRPr="00472C4D">
        <w:rPr>
          <w:rFonts w:ascii="Calibri" w:hAnsi="Calibri" w:cs="Calibri"/>
        </w:rPr>
        <w:t xml:space="preserve"> 2019</w:t>
      </w:r>
      <w:r w:rsidR="00465A40" w:rsidRPr="00465A40">
        <w:rPr>
          <w:rFonts w:ascii="Calibri" w:hAnsi="Calibri" w:cs="Calibri"/>
        </w:rPr>
        <w:t xml:space="preserve"> </w:t>
      </w:r>
      <w:r w:rsidR="00465A40">
        <w:rPr>
          <w:rFonts w:ascii="Calibri" w:hAnsi="Calibri" w:cs="Calibri"/>
        </w:rPr>
        <w:t xml:space="preserve">in Podnebnega ogledala 2020, </w:t>
      </w:r>
      <w:r w:rsidR="007763D3" w:rsidRPr="00472C4D">
        <w:rPr>
          <w:rFonts w:ascii="Calibri" w:hAnsi="Calibri" w:cs="Calibri"/>
        </w:rPr>
        <w:t>kot</w:t>
      </w:r>
      <w:r w:rsidR="003C17CF" w:rsidRPr="00472C4D">
        <w:rPr>
          <w:rFonts w:ascii="Calibri" w:hAnsi="Calibri" w:cs="Calibri"/>
        </w:rPr>
        <w:t xml:space="preserve"> strokovna podlaga</w:t>
      </w:r>
      <w:r w:rsidR="007763D3" w:rsidRPr="00472C4D">
        <w:rPr>
          <w:rFonts w:ascii="Calibri" w:hAnsi="Calibri" w:cs="Calibri"/>
        </w:rPr>
        <w:t>,</w:t>
      </w:r>
      <w:r w:rsidR="003C17CF" w:rsidRPr="00472C4D">
        <w:rPr>
          <w:rFonts w:ascii="Calibri" w:hAnsi="Calibri" w:cs="Calibri"/>
        </w:rPr>
        <w:t xml:space="preserve"> pripravljena s strani </w:t>
      </w:r>
      <w:r w:rsidR="003C17CF" w:rsidRPr="0077490E">
        <w:rPr>
          <w:rFonts w:ascii="Calibri" w:hAnsi="Calibri" w:cs="Calibri"/>
        </w:rPr>
        <w:t xml:space="preserve">Instituta </w:t>
      </w:r>
      <w:r w:rsidR="0077490E" w:rsidRPr="0077490E">
        <w:rPr>
          <w:rFonts w:ascii="Calibri" w:hAnsi="Calibri" w:cs="Calibri"/>
        </w:rPr>
        <w:t>»</w:t>
      </w:r>
      <w:r w:rsidR="003C17CF" w:rsidRPr="0077490E">
        <w:rPr>
          <w:rFonts w:ascii="Calibri" w:hAnsi="Calibri" w:cs="Calibri"/>
        </w:rPr>
        <w:t>Jožef Stefan</w:t>
      </w:r>
      <w:r w:rsidR="0077490E" w:rsidRPr="0077490E">
        <w:rPr>
          <w:rFonts w:ascii="Calibri" w:hAnsi="Calibri" w:cs="Calibri"/>
        </w:rPr>
        <w:t>«</w:t>
      </w:r>
      <w:r w:rsidR="003C17CF" w:rsidRPr="0077490E">
        <w:rPr>
          <w:rFonts w:ascii="Calibri" w:hAnsi="Calibri" w:cs="Calibri"/>
        </w:rPr>
        <w:t xml:space="preserve"> s partnerji</w:t>
      </w:r>
      <w:r w:rsidR="009E55B1">
        <w:rPr>
          <w:rStyle w:val="Sprotnaopomba-sklic"/>
          <w:rFonts w:ascii="Calibri" w:hAnsi="Calibri" w:cs="Calibri"/>
        </w:rPr>
        <w:footnoteReference w:id="3"/>
      </w:r>
      <w:r w:rsidR="007763D3" w:rsidRPr="0077490E">
        <w:rPr>
          <w:rFonts w:ascii="Calibri" w:hAnsi="Calibri" w:cs="Calibri"/>
        </w:rPr>
        <w:t>,</w:t>
      </w:r>
      <w:r w:rsidR="0043111B" w:rsidRPr="00472C4D">
        <w:rPr>
          <w:rFonts w:ascii="Calibri" w:hAnsi="Calibri" w:cs="Calibri"/>
        </w:rPr>
        <w:t xml:space="preserve"> </w:t>
      </w:r>
      <w:r w:rsidR="00101AFB">
        <w:rPr>
          <w:rFonts w:ascii="Calibri" w:hAnsi="Calibri" w:cs="Calibri"/>
        </w:rPr>
        <w:t>prikazujejo</w:t>
      </w:r>
      <w:r w:rsidR="0043111B" w:rsidRPr="00472C4D">
        <w:rPr>
          <w:rFonts w:ascii="Calibri" w:hAnsi="Calibri" w:cs="Calibri"/>
        </w:rPr>
        <w:t xml:space="preserve"> </w:t>
      </w:r>
      <w:r w:rsidR="005B755C" w:rsidRPr="00472C4D">
        <w:rPr>
          <w:rFonts w:ascii="Calibri" w:hAnsi="Calibri" w:cs="Calibri"/>
        </w:rPr>
        <w:t xml:space="preserve">končne evidence za </w:t>
      </w:r>
      <w:r w:rsidR="0043111B" w:rsidRPr="00472C4D">
        <w:rPr>
          <w:rFonts w:ascii="Calibri" w:hAnsi="Calibri" w:cs="Calibri"/>
        </w:rPr>
        <w:t xml:space="preserve">emisije toplogrednih plinov za </w:t>
      </w:r>
      <w:r w:rsidR="00F2462F">
        <w:rPr>
          <w:rFonts w:ascii="Calibri" w:hAnsi="Calibri" w:cs="Calibri"/>
        </w:rPr>
        <w:t>obdobje do leta</w:t>
      </w:r>
      <w:r w:rsidR="0043111B" w:rsidRPr="00472C4D">
        <w:rPr>
          <w:rFonts w:ascii="Calibri" w:hAnsi="Calibri" w:cs="Calibri"/>
        </w:rPr>
        <w:t xml:space="preserve"> </w:t>
      </w:r>
      <w:r w:rsidR="0043111B" w:rsidRPr="00F2462F">
        <w:rPr>
          <w:rFonts w:ascii="Calibri" w:hAnsi="Calibri" w:cs="Calibri"/>
        </w:rPr>
        <w:t>201</w:t>
      </w:r>
      <w:r w:rsidR="00465A40">
        <w:rPr>
          <w:rFonts w:ascii="Calibri" w:hAnsi="Calibri" w:cs="Calibri"/>
        </w:rPr>
        <w:t>8</w:t>
      </w:r>
      <w:r w:rsidR="007A2778" w:rsidRPr="00F2462F">
        <w:rPr>
          <w:rFonts w:ascii="Calibri" w:hAnsi="Calibri" w:cs="Calibri"/>
        </w:rPr>
        <w:t xml:space="preserve">, </w:t>
      </w:r>
      <w:r w:rsidR="00C52E4C" w:rsidRPr="00F2462F">
        <w:rPr>
          <w:rFonts w:ascii="Calibri" w:hAnsi="Calibri" w:cs="Calibri"/>
        </w:rPr>
        <w:t xml:space="preserve">postavljajo </w:t>
      </w:r>
      <w:r w:rsidR="00C05979">
        <w:rPr>
          <w:rFonts w:ascii="Calibri" w:hAnsi="Calibri" w:cs="Calibri"/>
        </w:rPr>
        <w:t>oceno</w:t>
      </w:r>
      <w:r w:rsidR="005B755C" w:rsidRPr="00F2462F">
        <w:rPr>
          <w:rFonts w:ascii="Calibri" w:hAnsi="Calibri" w:cs="Calibri"/>
        </w:rPr>
        <w:t xml:space="preserve"> za let</w:t>
      </w:r>
      <w:r w:rsidR="008D395F" w:rsidRPr="00F2462F">
        <w:rPr>
          <w:rFonts w:ascii="Calibri" w:hAnsi="Calibri" w:cs="Calibri"/>
        </w:rPr>
        <w:t>o</w:t>
      </w:r>
      <w:r w:rsidR="00465A40">
        <w:rPr>
          <w:rFonts w:ascii="Calibri" w:hAnsi="Calibri" w:cs="Calibri"/>
        </w:rPr>
        <w:t xml:space="preserve"> 2019</w:t>
      </w:r>
      <w:r w:rsidR="00F26823">
        <w:rPr>
          <w:rFonts w:ascii="Calibri" w:hAnsi="Calibri" w:cs="Calibri"/>
        </w:rPr>
        <w:t>,</w:t>
      </w:r>
      <w:r w:rsidR="007A2778" w:rsidRPr="00472C4D">
        <w:rPr>
          <w:rFonts w:ascii="Calibri" w:hAnsi="Calibri" w:cs="Calibri"/>
        </w:rPr>
        <w:t xml:space="preserve"> </w:t>
      </w:r>
      <w:r w:rsidR="00F2462F">
        <w:rPr>
          <w:rFonts w:ascii="Calibri" w:hAnsi="Calibri" w:cs="Calibri"/>
        </w:rPr>
        <w:t>podajajo glavne ugotovitve spremljanja izvajanja ukrepov zmanjš</w:t>
      </w:r>
      <w:r w:rsidR="00303483">
        <w:rPr>
          <w:rFonts w:ascii="Calibri" w:hAnsi="Calibri" w:cs="Calibri"/>
        </w:rPr>
        <w:t>anja toplogrednih plinov za leti</w:t>
      </w:r>
      <w:r w:rsidR="00F2462F">
        <w:rPr>
          <w:rFonts w:ascii="Calibri" w:hAnsi="Calibri" w:cs="Calibri"/>
        </w:rPr>
        <w:t xml:space="preserve"> 2018</w:t>
      </w:r>
      <w:r w:rsidR="00303483">
        <w:rPr>
          <w:rFonts w:ascii="Calibri" w:hAnsi="Calibri" w:cs="Calibri"/>
        </w:rPr>
        <w:t xml:space="preserve"> in</w:t>
      </w:r>
      <w:r w:rsidR="00D04579">
        <w:rPr>
          <w:rFonts w:ascii="Calibri" w:hAnsi="Calibri" w:cs="Calibri"/>
        </w:rPr>
        <w:t xml:space="preserve"> </w:t>
      </w:r>
      <w:r w:rsidR="00465A40">
        <w:rPr>
          <w:rFonts w:ascii="Calibri" w:hAnsi="Calibri" w:cs="Calibri"/>
        </w:rPr>
        <w:t>2019</w:t>
      </w:r>
      <w:r w:rsidR="00D04579">
        <w:rPr>
          <w:rFonts w:ascii="Calibri" w:hAnsi="Calibri" w:cs="Calibri"/>
        </w:rPr>
        <w:t xml:space="preserve"> ter</w:t>
      </w:r>
      <w:r w:rsidR="00F26823">
        <w:rPr>
          <w:rFonts w:ascii="Calibri" w:hAnsi="Calibri" w:cs="Calibri"/>
        </w:rPr>
        <w:t xml:space="preserve"> podajajo usmeritve za odločanje</w:t>
      </w:r>
      <w:r w:rsidR="00465A40">
        <w:rPr>
          <w:rFonts w:ascii="Calibri" w:hAnsi="Calibri" w:cs="Calibri"/>
        </w:rPr>
        <w:t>.</w:t>
      </w:r>
      <w:r w:rsidR="0047751E">
        <w:rPr>
          <w:rFonts w:ascii="Calibri" w:hAnsi="Calibri" w:cs="Calibri"/>
        </w:rPr>
        <w:t xml:space="preserve"> </w:t>
      </w:r>
    </w:p>
    <w:p w14:paraId="0B3B41BA" w14:textId="655601EA" w:rsidR="008B4E54" w:rsidRDefault="008B4E54" w:rsidP="008B355C">
      <w:pPr>
        <w:spacing w:after="0" w:line="240" w:lineRule="auto"/>
        <w:jc w:val="both"/>
        <w:rPr>
          <w:rFonts w:ascii="Calibri" w:hAnsi="Calibri" w:cs="Calibri"/>
        </w:rPr>
      </w:pPr>
    </w:p>
    <w:p w14:paraId="0BF8C6B1" w14:textId="1365283F" w:rsidR="00DF241C" w:rsidRDefault="00435993" w:rsidP="00587F42">
      <w:pPr>
        <w:spacing w:after="0" w:line="240" w:lineRule="auto"/>
        <w:jc w:val="both"/>
        <w:rPr>
          <w:rFonts w:ascii="Calibri" w:hAnsi="Calibri" w:cs="Calibri"/>
        </w:rPr>
      </w:pPr>
      <w:r>
        <w:rPr>
          <w:rFonts w:ascii="Calibri" w:hAnsi="Calibri" w:cs="Calibri"/>
        </w:rPr>
        <w:t xml:space="preserve">Četrto letno poročilo o izvajanju OP TGP 2020 kaže, da </w:t>
      </w:r>
      <w:r w:rsidR="00DF241C">
        <w:rPr>
          <w:rFonts w:ascii="Calibri" w:hAnsi="Calibri" w:cs="Calibri"/>
        </w:rPr>
        <w:t xml:space="preserve">je </w:t>
      </w:r>
      <w:r>
        <w:rPr>
          <w:rFonts w:ascii="Calibri" w:hAnsi="Calibri" w:cs="Calibri"/>
        </w:rPr>
        <w:t xml:space="preserve">Slovenija </w:t>
      </w:r>
      <w:r w:rsidR="00566AAB">
        <w:rPr>
          <w:rFonts w:ascii="Calibri" w:hAnsi="Calibri" w:cs="Calibri"/>
        </w:rPr>
        <w:t>v letih</w:t>
      </w:r>
      <w:r w:rsidR="00FD0193">
        <w:rPr>
          <w:rFonts w:ascii="Calibri" w:hAnsi="Calibri" w:cs="Calibri"/>
        </w:rPr>
        <w:t xml:space="preserve"> 2017</w:t>
      </w:r>
      <w:r w:rsidR="00566AAB">
        <w:rPr>
          <w:rFonts w:ascii="Calibri" w:hAnsi="Calibri" w:cs="Calibri"/>
        </w:rPr>
        <w:t xml:space="preserve"> in 2018</w:t>
      </w:r>
      <w:r w:rsidR="00FD0193">
        <w:rPr>
          <w:rFonts w:ascii="Calibri" w:hAnsi="Calibri" w:cs="Calibri"/>
        </w:rPr>
        <w:t xml:space="preserve"> </w:t>
      </w:r>
      <w:r>
        <w:rPr>
          <w:rFonts w:ascii="Calibri" w:hAnsi="Calibri" w:cs="Calibri"/>
        </w:rPr>
        <w:t>svoje obveznosti po Odločbi 406/2009/ES</w:t>
      </w:r>
      <w:r w:rsidRPr="00435993">
        <w:rPr>
          <w:rFonts w:ascii="Calibri" w:hAnsi="Calibri" w:cs="Calibri"/>
        </w:rPr>
        <w:t xml:space="preserve"> </w:t>
      </w:r>
      <w:r>
        <w:rPr>
          <w:rFonts w:ascii="Calibri" w:hAnsi="Calibri" w:cs="Calibri"/>
        </w:rPr>
        <w:t>izpoln</w:t>
      </w:r>
      <w:r w:rsidR="00DF241C">
        <w:rPr>
          <w:rFonts w:ascii="Calibri" w:hAnsi="Calibri" w:cs="Calibri"/>
        </w:rPr>
        <w:t>ila</w:t>
      </w:r>
      <w:r>
        <w:rPr>
          <w:rFonts w:ascii="Calibri" w:hAnsi="Calibri" w:cs="Calibri"/>
        </w:rPr>
        <w:t xml:space="preserve">. Zastavljene letne cilje </w:t>
      </w:r>
      <w:r w:rsidR="00DF241C">
        <w:rPr>
          <w:rFonts w:ascii="Calibri" w:hAnsi="Calibri" w:cs="Calibri"/>
        </w:rPr>
        <w:t xml:space="preserve">je </w:t>
      </w:r>
      <w:r w:rsidR="00566AAB">
        <w:rPr>
          <w:rFonts w:ascii="Calibri" w:hAnsi="Calibri" w:cs="Calibri"/>
        </w:rPr>
        <w:t>v obeh letih preseg</w:t>
      </w:r>
      <w:r w:rsidR="00DF241C">
        <w:rPr>
          <w:rFonts w:ascii="Calibri" w:hAnsi="Calibri" w:cs="Calibri"/>
        </w:rPr>
        <w:t>l</w:t>
      </w:r>
      <w:r w:rsidR="00566AAB">
        <w:rPr>
          <w:rFonts w:ascii="Calibri" w:hAnsi="Calibri" w:cs="Calibri"/>
        </w:rPr>
        <w:t>a</w:t>
      </w:r>
      <w:r>
        <w:rPr>
          <w:rFonts w:ascii="Calibri" w:hAnsi="Calibri" w:cs="Calibri"/>
        </w:rPr>
        <w:t xml:space="preserve">, </w:t>
      </w:r>
      <w:r w:rsidR="00AF25A2">
        <w:rPr>
          <w:rFonts w:ascii="Calibri" w:hAnsi="Calibri" w:cs="Calibri"/>
        </w:rPr>
        <w:t>saj so bile emisije toplogrednih plinov iz ne</w:t>
      </w:r>
      <w:r w:rsidR="00FD0193">
        <w:rPr>
          <w:rFonts w:ascii="Calibri" w:hAnsi="Calibri" w:cs="Calibri"/>
        </w:rPr>
        <w:t>-</w:t>
      </w:r>
      <w:r w:rsidR="00AF25A2">
        <w:rPr>
          <w:rFonts w:ascii="Calibri" w:hAnsi="Calibri" w:cs="Calibri"/>
        </w:rPr>
        <w:t>ETS sektorjev</w:t>
      </w:r>
      <w:r w:rsidR="00566AAB">
        <w:rPr>
          <w:rFonts w:ascii="Calibri" w:hAnsi="Calibri" w:cs="Calibri"/>
        </w:rPr>
        <w:t xml:space="preserve"> </w:t>
      </w:r>
      <w:r w:rsidR="00AF25A2">
        <w:rPr>
          <w:rFonts w:ascii="Calibri" w:hAnsi="Calibri" w:cs="Calibri"/>
        </w:rPr>
        <w:t xml:space="preserve">nižje od </w:t>
      </w:r>
      <w:r w:rsidR="007945E5">
        <w:rPr>
          <w:rFonts w:ascii="Calibri" w:hAnsi="Calibri" w:cs="Calibri"/>
        </w:rPr>
        <w:t>dovoljenih</w:t>
      </w:r>
      <w:r w:rsidR="00566AAB">
        <w:rPr>
          <w:rFonts w:ascii="Calibri" w:hAnsi="Calibri" w:cs="Calibri"/>
        </w:rPr>
        <w:t xml:space="preserve">, in sicer v letu 2017 za </w:t>
      </w:r>
      <w:r w:rsidR="00C60F14">
        <w:rPr>
          <w:rFonts w:ascii="Calibri" w:hAnsi="Calibri" w:cs="Calibri"/>
        </w:rPr>
        <w:t>11,5</w:t>
      </w:r>
      <w:r w:rsidR="00566AAB">
        <w:rPr>
          <w:rFonts w:ascii="Calibri" w:hAnsi="Calibri" w:cs="Calibri"/>
        </w:rPr>
        <w:t xml:space="preserve"> % ter v letu 2018 za </w:t>
      </w:r>
      <w:r w:rsidR="001E5CAF">
        <w:rPr>
          <w:rFonts w:ascii="Calibri" w:hAnsi="Calibri" w:cs="Calibri"/>
        </w:rPr>
        <w:t>10,0</w:t>
      </w:r>
      <w:r w:rsidR="00B01DB5">
        <w:rPr>
          <w:rFonts w:ascii="Calibri" w:hAnsi="Calibri" w:cs="Calibri"/>
        </w:rPr>
        <w:t xml:space="preserve"> </w:t>
      </w:r>
      <w:r w:rsidR="001E5CAF">
        <w:rPr>
          <w:rFonts w:ascii="Calibri" w:hAnsi="Calibri" w:cs="Calibri"/>
        </w:rPr>
        <w:t>%</w:t>
      </w:r>
      <w:r w:rsidR="00AF25A2">
        <w:rPr>
          <w:rFonts w:ascii="Calibri" w:hAnsi="Calibri" w:cs="Calibri"/>
        </w:rPr>
        <w:t>.</w:t>
      </w:r>
      <w:r w:rsidR="007945E5">
        <w:rPr>
          <w:rFonts w:ascii="Calibri" w:hAnsi="Calibri" w:cs="Calibri"/>
        </w:rPr>
        <w:t xml:space="preserve"> </w:t>
      </w:r>
      <w:r w:rsidR="00DF241C">
        <w:rPr>
          <w:rFonts w:ascii="Calibri" w:hAnsi="Calibri" w:cs="Calibri"/>
        </w:rPr>
        <w:t xml:space="preserve">V obdobju 2005-2018 so se </w:t>
      </w:r>
      <w:r w:rsidR="00DF241C">
        <w:rPr>
          <w:rFonts w:ascii="Calibri" w:hAnsi="Calibri" w:cs="Calibri"/>
          <w:bCs/>
        </w:rPr>
        <w:t>skupne ne-ETS emisije zmanjšale za 5,9</w:t>
      </w:r>
      <w:r w:rsidR="006506FE">
        <w:rPr>
          <w:rFonts w:ascii="Calibri" w:hAnsi="Calibri" w:cs="Calibri"/>
          <w:bCs/>
        </w:rPr>
        <w:t xml:space="preserve"> </w:t>
      </w:r>
      <w:r w:rsidR="00DF241C">
        <w:rPr>
          <w:rFonts w:ascii="Calibri" w:hAnsi="Calibri" w:cs="Calibri"/>
          <w:bCs/>
        </w:rPr>
        <w:t>%, kar je precej manjše zmanjšanje kot v sektorju ETS, kjer so se emisije zmanjšale za 25,8</w:t>
      </w:r>
      <w:r w:rsidR="00B01DB5">
        <w:rPr>
          <w:rFonts w:ascii="Calibri" w:hAnsi="Calibri" w:cs="Calibri"/>
          <w:bCs/>
        </w:rPr>
        <w:t xml:space="preserve"> </w:t>
      </w:r>
      <w:r w:rsidR="00DF241C">
        <w:rPr>
          <w:rFonts w:ascii="Calibri" w:hAnsi="Calibri" w:cs="Calibri"/>
          <w:bCs/>
        </w:rPr>
        <w:t>%. Glavni razlog za manjše zmanjšanje emisij v ne-ETS sektorjih je povečevanje emisij v sektorju promet, ki</w:t>
      </w:r>
      <w:r w:rsidR="00DF241C" w:rsidRPr="0081031C">
        <w:rPr>
          <w:rFonts w:ascii="Calibri" w:hAnsi="Calibri" w:cs="Calibri"/>
          <w:bCs/>
        </w:rPr>
        <w:t xml:space="preserve"> </w:t>
      </w:r>
      <w:r w:rsidR="00DF241C">
        <w:rPr>
          <w:rFonts w:ascii="Calibri" w:hAnsi="Calibri" w:cs="Calibri"/>
          <w:bCs/>
        </w:rPr>
        <w:t>je v letu 2018 v skupnih ne-ETS emisijah dosegal že skoraj 53</w:t>
      </w:r>
      <w:r w:rsidR="00B01DB5">
        <w:rPr>
          <w:rFonts w:ascii="Calibri" w:hAnsi="Calibri" w:cs="Calibri"/>
          <w:bCs/>
        </w:rPr>
        <w:t xml:space="preserve"> </w:t>
      </w:r>
      <w:r w:rsidR="00DF241C">
        <w:rPr>
          <w:rFonts w:ascii="Calibri" w:hAnsi="Calibri" w:cs="Calibri"/>
          <w:bCs/>
        </w:rPr>
        <w:t>%.</w:t>
      </w:r>
      <w:r w:rsidR="005F628D">
        <w:rPr>
          <w:rFonts w:ascii="Calibri" w:hAnsi="Calibri" w:cs="Calibri"/>
        </w:rPr>
        <w:t xml:space="preserve"> </w:t>
      </w:r>
      <w:r w:rsidR="004A5517">
        <w:rPr>
          <w:rFonts w:ascii="Calibri" w:hAnsi="Calibri" w:cs="Calibri"/>
        </w:rPr>
        <w:t xml:space="preserve">V obdobju 2005-2018 so se emisije </w:t>
      </w:r>
      <w:r w:rsidR="00754542">
        <w:rPr>
          <w:rFonts w:ascii="Calibri" w:hAnsi="Calibri" w:cs="Calibri"/>
        </w:rPr>
        <w:t xml:space="preserve">v sektorju promet </w:t>
      </w:r>
      <w:r w:rsidR="004A5517">
        <w:rPr>
          <w:rFonts w:ascii="Calibri" w:hAnsi="Calibri" w:cs="Calibri"/>
        </w:rPr>
        <w:t xml:space="preserve">povečale za skoraj 32 %, zato </w:t>
      </w:r>
      <w:r w:rsidR="00754542">
        <w:rPr>
          <w:rFonts w:ascii="Calibri" w:hAnsi="Calibri" w:cs="Calibri"/>
        </w:rPr>
        <w:t>promet</w:t>
      </w:r>
      <w:r w:rsidR="00096A91">
        <w:rPr>
          <w:rFonts w:ascii="Calibri" w:hAnsi="Calibri" w:cs="Calibri"/>
        </w:rPr>
        <w:t xml:space="preserve"> </w:t>
      </w:r>
      <w:r w:rsidR="005F628D">
        <w:rPr>
          <w:rFonts w:ascii="Calibri" w:hAnsi="Calibri" w:cs="Calibri"/>
        </w:rPr>
        <w:t xml:space="preserve">zahteva prednostno obravnavo ukrepov </w:t>
      </w:r>
      <w:r w:rsidR="00D1195C">
        <w:rPr>
          <w:rFonts w:ascii="Calibri" w:hAnsi="Calibri" w:cs="Calibri"/>
        </w:rPr>
        <w:t xml:space="preserve">predvsem </w:t>
      </w:r>
      <w:r w:rsidR="00102289">
        <w:rPr>
          <w:rFonts w:ascii="Calibri" w:hAnsi="Calibri" w:cs="Calibri"/>
        </w:rPr>
        <w:t xml:space="preserve">na področju </w:t>
      </w:r>
      <w:r w:rsidR="00015EA0">
        <w:rPr>
          <w:rFonts w:ascii="Calibri" w:hAnsi="Calibri" w:cs="Calibri"/>
        </w:rPr>
        <w:t>povečanja</w:t>
      </w:r>
      <w:r w:rsidR="006239B9">
        <w:rPr>
          <w:rFonts w:ascii="Calibri" w:hAnsi="Calibri" w:cs="Calibri"/>
        </w:rPr>
        <w:t xml:space="preserve"> delež</w:t>
      </w:r>
      <w:r w:rsidR="00015EA0">
        <w:rPr>
          <w:rFonts w:ascii="Calibri" w:hAnsi="Calibri" w:cs="Calibri"/>
        </w:rPr>
        <w:t>a</w:t>
      </w:r>
      <w:r w:rsidR="006239B9">
        <w:rPr>
          <w:rFonts w:ascii="Calibri" w:hAnsi="Calibri" w:cs="Calibri"/>
        </w:rPr>
        <w:t xml:space="preserve"> obnovljivih virov energije v prometu</w:t>
      </w:r>
      <w:r w:rsidR="00DD16C8">
        <w:rPr>
          <w:rFonts w:ascii="Calibri" w:hAnsi="Calibri" w:cs="Calibri"/>
        </w:rPr>
        <w:t>, povečanj</w:t>
      </w:r>
      <w:r w:rsidR="00102289">
        <w:rPr>
          <w:rFonts w:ascii="Calibri" w:hAnsi="Calibri" w:cs="Calibri"/>
        </w:rPr>
        <w:t>a</w:t>
      </w:r>
      <w:r w:rsidR="00DD16C8">
        <w:rPr>
          <w:rFonts w:ascii="Calibri" w:hAnsi="Calibri" w:cs="Calibri"/>
        </w:rPr>
        <w:t xml:space="preserve"> obsega </w:t>
      </w:r>
      <w:r w:rsidR="005F628D">
        <w:rPr>
          <w:rFonts w:ascii="Calibri" w:hAnsi="Calibri" w:cs="Calibri"/>
        </w:rPr>
        <w:t>javne</w:t>
      </w:r>
      <w:r w:rsidR="00DD16C8">
        <w:rPr>
          <w:rFonts w:ascii="Calibri" w:hAnsi="Calibri" w:cs="Calibri"/>
        </w:rPr>
        <w:t>ga</w:t>
      </w:r>
      <w:r w:rsidR="005F628D">
        <w:rPr>
          <w:rFonts w:ascii="Calibri" w:hAnsi="Calibri" w:cs="Calibri"/>
        </w:rPr>
        <w:t xml:space="preserve"> potniške</w:t>
      </w:r>
      <w:r w:rsidR="00DD16C8">
        <w:rPr>
          <w:rFonts w:ascii="Calibri" w:hAnsi="Calibri" w:cs="Calibri"/>
        </w:rPr>
        <w:t>ga</w:t>
      </w:r>
      <w:r w:rsidR="006239B9">
        <w:rPr>
          <w:rFonts w:ascii="Calibri" w:hAnsi="Calibri" w:cs="Calibri"/>
        </w:rPr>
        <w:t xml:space="preserve"> promet</w:t>
      </w:r>
      <w:r w:rsidR="00DD16C8">
        <w:rPr>
          <w:rFonts w:ascii="Calibri" w:hAnsi="Calibri" w:cs="Calibri"/>
        </w:rPr>
        <w:t>a</w:t>
      </w:r>
      <w:r w:rsidR="006239B9">
        <w:rPr>
          <w:rFonts w:ascii="Calibri" w:hAnsi="Calibri" w:cs="Calibri"/>
        </w:rPr>
        <w:t xml:space="preserve"> ter </w:t>
      </w:r>
      <w:r w:rsidR="004A5517">
        <w:rPr>
          <w:rFonts w:ascii="Calibri" w:hAnsi="Calibri" w:cs="Calibri"/>
        </w:rPr>
        <w:t>drugih področ</w:t>
      </w:r>
      <w:r w:rsidR="00102289">
        <w:rPr>
          <w:rFonts w:ascii="Calibri" w:hAnsi="Calibri" w:cs="Calibri"/>
        </w:rPr>
        <w:t>jih</w:t>
      </w:r>
      <w:r w:rsidR="004A5517">
        <w:rPr>
          <w:rFonts w:ascii="Calibri" w:hAnsi="Calibri" w:cs="Calibri"/>
        </w:rPr>
        <w:t xml:space="preserve"> trajnostne mobilnosti.</w:t>
      </w:r>
      <w:r w:rsidR="005F628D">
        <w:rPr>
          <w:rFonts w:ascii="Calibri" w:hAnsi="Calibri" w:cs="Calibri"/>
        </w:rPr>
        <w:t xml:space="preserve"> </w:t>
      </w:r>
    </w:p>
    <w:p w14:paraId="6F441EB1" w14:textId="27EB710A" w:rsidR="003A14B5" w:rsidRDefault="003A14B5" w:rsidP="00587F42">
      <w:pPr>
        <w:spacing w:after="0" w:line="240" w:lineRule="auto"/>
        <w:jc w:val="both"/>
        <w:rPr>
          <w:rFonts w:ascii="Calibri" w:hAnsi="Calibri" w:cs="Calibri"/>
        </w:rPr>
      </w:pPr>
      <w:r>
        <w:rPr>
          <w:rFonts w:ascii="Calibri" w:hAnsi="Calibri" w:cs="Calibri"/>
        </w:rPr>
        <w:t>Emisije se povečujejo tudi v sektorj</w:t>
      </w:r>
      <w:r w:rsidR="00852BBC">
        <w:rPr>
          <w:rFonts w:ascii="Calibri" w:hAnsi="Calibri" w:cs="Calibri"/>
        </w:rPr>
        <w:t>ih</w:t>
      </w:r>
      <w:r>
        <w:rPr>
          <w:rFonts w:ascii="Calibri" w:hAnsi="Calibri" w:cs="Calibri"/>
        </w:rPr>
        <w:t xml:space="preserve"> </w:t>
      </w:r>
      <w:r w:rsidR="00AA0A75" w:rsidRPr="00D03462">
        <w:rPr>
          <w:rFonts w:ascii="Calibri" w:hAnsi="Calibri" w:cs="Calibri"/>
        </w:rPr>
        <w:t>industrija ne</w:t>
      </w:r>
      <w:r w:rsidR="00FD0193" w:rsidRPr="00D03462">
        <w:rPr>
          <w:rFonts w:ascii="Calibri" w:hAnsi="Calibri" w:cs="Calibri"/>
        </w:rPr>
        <w:t>-</w:t>
      </w:r>
      <w:r w:rsidR="00AA0A75" w:rsidRPr="00D03462">
        <w:rPr>
          <w:rFonts w:ascii="Calibri" w:hAnsi="Calibri" w:cs="Calibri"/>
        </w:rPr>
        <w:t>ETS</w:t>
      </w:r>
      <w:r>
        <w:rPr>
          <w:rFonts w:ascii="Calibri" w:hAnsi="Calibri" w:cs="Calibri"/>
        </w:rPr>
        <w:t xml:space="preserve"> in energetika ne-ETS. V sektorju energetika ne-ETS se emisije povečujejo od leta 201</w:t>
      </w:r>
      <w:r w:rsidR="00852BBC">
        <w:rPr>
          <w:rFonts w:ascii="Calibri" w:hAnsi="Calibri" w:cs="Calibri"/>
        </w:rPr>
        <w:t>4</w:t>
      </w:r>
      <w:r>
        <w:rPr>
          <w:rFonts w:ascii="Calibri" w:hAnsi="Calibri" w:cs="Calibri"/>
        </w:rPr>
        <w:t>, vendar je z</w:t>
      </w:r>
      <w:r w:rsidR="00DB5578" w:rsidRPr="00D03462">
        <w:rPr>
          <w:rFonts w:ascii="Calibri" w:hAnsi="Calibri" w:cs="Calibri"/>
        </w:rPr>
        <w:t xml:space="preserve">aradi zmanjšanja emisij v </w:t>
      </w:r>
      <w:r>
        <w:rPr>
          <w:rFonts w:ascii="Calibri" w:hAnsi="Calibri" w:cs="Calibri"/>
        </w:rPr>
        <w:t xml:space="preserve">celotnem </w:t>
      </w:r>
      <w:r w:rsidR="00096A91">
        <w:rPr>
          <w:rFonts w:ascii="Calibri" w:hAnsi="Calibri" w:cs="Calibri"/>
        </w:rPr>
        <w:t>obdobju 2005-2018 cilj</w:t>
      </w:r>
      <w:r w:rsidR="00DB5578" w:rsidRPr="00D03462">
        <w:rPr>
          <w:rFonts w:ascii="Calibri" w:hAnsi="Calibri" w:cs="Calibri"/>
        </w:rPr>
        <w:t xml:space="preserve"> </w:t>
      </w:r>
      <w:r w:rsidR="00CF695B">
        <w:rPr>
          <w:rFonts w:ascii="Calibri" w:hAnsi="Calibri" w:cs="Calibri"/>
        </w:rPr>
        <w:t xml:space="preserve">v letu 2020 </w:t>
      </w:r>
      <w:r w:rsidR="00DB5578" w:rsidRPr="00D03462">
        <w:rPr>
          <w:rFonts w:ascii="Calibri" w:hAnsi="Calibri" w:cs="Calibri"/>
        </w:rPr>
        <w:t>še vedno dosegljiv</w:t>
      </w:r>
      <w:r>
        <w:rPr>
          <w:rFonts w:ascii="Calibri" w:hAnsi="Calibri" w:cs="Calibri"/>
        </w:rPr>
        <w:t>. Emisije v</w:t>
      </w:r>
      <w:r w:rsidR="00DB5578" w:rsidRPr="00D03462">
        <w:rPr>
          <w:rFonts w:ascii="Calibri" w:hAnsi="Calibri" w:cs="Calibri"/>
        </w:rPr>
        <w:t xml:space="preserve"> </w:t>
      </w:r>
      <w:r w:rsidR="00D03462" w:rsidRPr="00D03462">
        <w:rPr>
          <w:rFonts w:ascii="Calibri" w:hAnsi="Calibri" w:cs="Calibri"/>
        </w:rPr>
        <w:t>industrij</w:t>
      </w:r>
      <w:r>
        <w:rPr>
          <w:rFonts w:ascii="Calibri" w:hAnsi="Calibri" w:cs="Calibri"/>
        </w:rPr>
        <w:t>i</w:t>
      </w:r>
      <w:r w:rsidR="00D03462" w:rsidRPr="00D03462">
        <w:rPr>
          <w:rFonts w:ascii="Calibri" w:hAnsi="Calibri" w:cs="Calibri"/>
        </w:rPr>
        <w:t xml:space="preserve"> ne-ETS</w:t>
      </w:r>
      <w:r>
        <w:rPr>
          <w:rFonts w:ascii="Calibri" w:hAnsi="Calibri" w:cs="Calibri"/>
        </w:rPr>
        <w:t xml:space="preserve"> se povečujejo od leta 201</w:t>
      </w:r>
      <w:r w:rsidR="00852BBC">
        <w:rPr>
          <w:rFonts w:ascii="Calibri" w:hAnsi="Calibri" w:cs="Calibri"/>
        </w:rPr>
        <w:t xml:space="preserve">3. Sektor se </w:t>
      </w:r>
      <w:r w:rsidR="007D7D72" w:rsidRPr="00D03462">
        <w:rPr>
          <w:rFonts w:ascii="Calibri" w:hAnsi="Calibri" w:cs="Calibri"/>
        </w:rPr>
        <w:t>od indikativnega cilja OP TGP 2020</w:t>
      </w:r>
      <w:r w:rsidR="00852BBC">
        <w:rPr>
          <w:rFonts w:ascii="Calibri" w:hAnsi="Calibri" w:cs="Calibri"/>
        </w:rPr>
        <w:t xml:space="preserve"> oddaljuje</w:t>
      </w:r>
      <w:r w:rsidR="007D7D72" w:rsidRPr="00D03462">
        <w:rPr>
          <w:rFonts w:ascii="Calibri" w:hAnsi="Calibri" w:cs="Calibri"/>
        </w:rPr>
        <w:t xml:space="preserve">, </w:t>
      </w:r>
      <w:r w:rsidR="00D03462" w:rsidRPr="00D03462">
        <w:rPr>
          <w:rFonts w:ascii="Calibri" w:hAnsi="Calibri" w:cs="Calibri"/>
        </w:rPr>
        <w:t xml:space="preserve">saj </w:t>
      </w:r>
      <w:r w:rsidR="007D7D72" w:rsidRPr="00D03462">
        <w:rPr>
          <w:rFonts w:ascii="Calibri" w:hAnsi="Calibri" w:cs="Calibri"/>
        </w:rPr>
        <w:t xml:space="preserve">je </w:t>
      </w:r>
      <w:r w:rsidR="00D03462" w:rsidRPr="00D03462">
        <w:rPr>
          <w:rFonts w:ascii="Calibri" w:hAnsi="Calibri" w:cs="Calibri"/>
        </w:rPr>
        <w:t xml:space="preserve">bil v letu 2018 </w:t>
      </w:r>
      <w:r w:rsidR="00852BBC">
        <w:rPr>
          <w:rFonts w:ascii="Calibri" w:hAnsi="Calibri" w:cs="Calibri"/>
        </w:rPr>
        <w:t xml:space="preserve">od cilja nižje </w:t>
      </w:r>
      <w:r w:rsidR="00D03462" w:rsidRPr="00D03462">
        <w:rPr>
          <w:rFonts w:ascii="Calibri" w:hAnsi="Calibri" w:cs="Calibri"/>
        </w:rPr>
        <w:t xml:space="preserve">že za </w:t>
      </w:r>
      <w:r w:rsidR="00DB5578" w:rsidRPr="00D03462">
        <w:rPr>
          <w:rFonts w:ascii="Calibri" w:hAnsi="Calibri" w:cs="Calibri"/>
        </w:rPr>
        <w:t>19,5</w:t>
      </w:r>
      <w:r w:rsidR="007D7D72" w:rsidRPr="00D03462">
        <w:rPr>
          <w:rFonts w:ascii="Calibri" w:hAnsi="Calibri" w:cs="Calibri"/>
        </w:rPr>
        <w:t xml:space="preserve"> </w:t>
      </w:r>
      <w:r w:rsidR="00DB5578" w:rsidRPr="00D03462">
        <w:rPr>
          <w:rFonts w:ascii="Calibri" w:hAnsi="Calibri" w:cs="Calibri"/>
        </w:rPr>
        <w:t>odstotne točke</w:t>
      </w:r>
      <w:r w:rsidR="007D7D72" w:rsidRPr="00D03462">
        <w:rPr>
          <w:rFonts w:ascii="Calibri" w:hAnsi="Calibri" w:cs="Calibri"/>
        </w:rPr>
        <w:t>.</w:t>
      </w:r>
      <w:r w:rsidR="002D2524">
        <w:rPr>
          <w:rFonts w:ascii="Calibri" w:hAnsi="Calibri" w:cs="Calibri"/>
        </w:rPr>
        <w:t xml:space="preserve"> </w:t>
      </w:r>
    </w:p>
    <w:p w14:paraId="371F9F70" w14:textId="423CA34F" w:rsidR="00852BBC" w:rsidRDefault="00AA0A75" w:rsidP="00587F42">
      <w:pPr>
        <w:spacing w:after="0" w:line="240" w:lineRule="auto"/>
        <w:jc w:val="both"/>
        <w:rPr>
          <w:rFonts w:ascii="Calibri" w:hAnsi="Calibri" w:cs="Calibri"/>
        </w:rPr>
      </w:pPr>
      <w:r w:rsidRPr="003A14B5">
        <w:rPr>
          <w:rFonts w:ascii="Calibri" w:hAnsi="Calibri" w:cs="Calibri"/>
        </w:rPr>
        <w:t>Emisije v sektorj</w:t>
      </w:r>
      <w:r w:rsidR="00096A91">
        <w:rPr>
          <w:rFonts w:ascii="Calibri" w:hAnsi="Calibri" w:cs="Calibri"/>
        </w:rPr>
        <w:t>ih</w:t>
      </w:r>
      <w:r w:rsidRPr="003A14B5">
        <w:rPr>
          <w:rFonts w:ascii="Calibri" w:hAnsi="Calibri" w:cs="Calibri"/>
        </w:rPr>
        <w:t xml:space="preserve"> široka raba (stavbe) in ravnanje z odpadki </w:t>
      </w:r>
      <w:r w:rsidR="003A14B5">
        <w:rPr>
          <w:rFonts w:ascii="Calibri" w:hAnsi="Calibri" w:cs="Calibri"/>
        </w:rPr>
        <w:t>se od leta 2016 zmanjšujejo, kar kaže na uspešno doseganje cilja.</w:t>
      </w:r>
      <w:r w:rsidR="00A367ED">
        <w:rPr>
          <w:rFonts w:ascii="Calibri" w:hAnsi="Calibri" w:cs="Calibri"/>
        </w:rPr>
        <w:t xml:space="preserve"> </w:t>
      </w:r>
    </w:p>
    <w:p w14:paraId="6415D71D" w14:textId="1426423E" w:rsidR="00587F42" w:rsidRDefault="00852BBC" w:rsidP="00587F42">
      <w:pPr>
        <w:spacing w:after="0" w:line="240" w:lineRule="auto"/>
        <w:jc w:val="both"/>
        <w:rPr>
          <w:rFonts w:ascii="Calibri" w:hAnsi="Calibri" w:cs="Calibri"/>
        </w:rPr>
      </w:pPr>
      <w:r>
        <w:rPr>
          <w:rFonts w:ascii="Calibri" w:hAnsi="Calibri" w:cs="Calibri"/>
        </w:rPr>
        <w:t xml:space="preserve">Emisije v sektorju kmetijstvo so se v letu 2017 zmanjšale za 2 %, v letu 2018 so ostale na enaki ravni kot v letu prej. </w:t>
      </w:r>
      <w:r w:rsidR="005C6BFC">
        <w:rPr>
          <w:rFonts w:ascii="Calibri" w:hAnsi="Calibri" w:cs="Calibri"/>
        </w:rPr>
        <w:t xml:space="preserve">Dolgoročni trendi za kmetijstvo so stabilni in v skladu z zastavljenim ciljem. </w:t>
      </w:r>
    </w:p>
    <w:p w14:paraId="0FC5EDDB" w14:textId="34EA63EE" w:rsidR="00482CB5" w:rsidRDefault="00482CB5" w:rsidP="008B355C">
      <w:pPr>
        <w:spacing w:after="0" w:line="240" w:lineRule="auto"/>
        <w:jc w:val="both"/>
        <w:rPr>
          <w:rFonts w:ascii="Calibri" w:hAnsi="Calibri" w:cs="Calibri"/>
        </w:rPr>
      </w:pPr>
    </w:p>
    <w:p w14:paraId="1A31E236" w14:textId="42E233F3" w:rsidR="00340185" w:rsidRPr="00696BCA" w:rsidRDefault="003778DB" w:rsidP="00340185">
      <w:pPr>
        <w:spacing w:after="0" w:line="240" w:lineRule="auto"/>
        <w:jc w:val="both"/>
        <w:rPr>
          <w:rFonts w:ascii="Calibri" w:hAnsi="Calibri" w:cs="Calibri"/>
        </w:rPr>
      </w:pPr>
      <w:r>
        <w:rPr>
          <w:rFonts w:ascii="Calibri" w:hAnsi="Calibri" w:cs="Calibri"/>
        </w:rPr>
        <w:t xml:space="preserve">V času sprejemanja ciljev za leto 2020, je bilo zavedanje o resnosti podnebne krize </w:t>
      </w:r>
      <w:r w:rsidR="00AA4E11">
        <w:rPr>
          <w:rFonts w:ascii="Calibri" w:hAnsi="Calibri" w:cs="Calibri"/>
        </w:rPr>
        <w:t xml:space="preserve">manjše </w:t>
      </w:r>
      <w:r>
        <w:rPr>
          <w:rFonts w:ascii="Calibri" w:hAnsi="Calibri" w:cs="Calibri"/>
        </w:rPr>
        <w:t xml:space="preserve">in zato tudi ni bilo širšega političnega soglasja za </w:t>
      </w:r>
      <w:r w:rsidR="00AA4E11">
        <w:rPr>
          <w:rFonts w:ascii="Calibri" w:hAnsi="Calibri" w:cs="Calibri"/>
        </w:rPr>
        <w:t xml:space="preserve">zastavljanje ambicioznejših podnebnih ciljev. </w:t>
      </w:r>
      <w:r w:rsidR="00DA6573">
        <w:rPr>
          <w:rFonts w:ascii="Calibri" w:hAnsi="Calibri" w:cs="Calibri"/>
        </w:rPr>
        <w:t xml:space="preserve">Tako iz prvega obdobja, v katerem je bilo potrebno emisije TGP omejiti na 4 % povečanje, </w:t>
      </w:r>
      <w:r w:rsidR="00046F16">
        <w:rPr>
          <w:rFonts w:ascii="Calibri" w:hAnsi="Calibri" w:cs="Calibri"/>
        </w:rPr>
        <w:t>počasi vstopamo</w:t>
      </w:r>
      <w:r w:rsidR="00DA6573">
        <w:rPr>
          <w:rFonts w:ascii="Calibri" w:hAnsi="Calibri" w:cs="Calibri"/>
        </w:rPr>
        <w:t xml:space="preserve"> v drugo obdobje, obdobje 2021-2030, ki </w:t>
      </w:r>
      <w:r w:rsidR="00724215">
        <w:rPr>
          <w:rFonts w:ascii="Calibri" w:hAnsi="Calibri" w:cs="Calibri"/>
        </w:rPr>
        <w:t>Slovenijo po Uredbi (EU) 2018/842</w:t>
      </w:r>
      <w:r w:rsidR="00724215">
        <w:rPr>
          <w:rStyle w:val="Sprotnaopomba-sklic"/>
          <w:rFonts w:ascii="Calibri" w:hAnsi="Calibri" w:cs="Calibri"/>
        </w:rPr>
        <w:footnoteReference w:id="4"/>
      </w:r>
      <w:r w:rsidR="00724215">
        <w:rPr>
          <w:rFonts w:ascii="Calibri" w:hAnsi="Calibri" w:cs="Calibri"/>
        </w:rPr>
        <w:t xml:space="preserve"> </w:t>
      </w:r>
      <w:r w:rsidR="00424B7B">
        <w:rPr>
          <w:rFonts w:ascii="Calibri" w:hAnsi="Calibri" w:cs="Calibri"/>
        </w:rPr>
        <w:t>ob</w:t>
      </w:r>
      <w:r w:rsidR="00724215">
        <w:rPr>
          <w:rFonts w:ascii="Calibri" w:hAnsi="Calibri" w:cs="Calibri"/>
        </w:rPr>
        <w:t>vezuje, da emisije TGP v ne-ETS sektorjih zmanjša za 15 %</w:t>
      </w:r>
      <w:r w:rsidR="00164771">
        <w:rPr>
          <w:rFonts w:ascii="Calibri" w:hAnsi="Calibri" w:cs="Calibri"/>
        </w:rPr>
        <w:t xml:space="preserve"> glede na leto 2005</w:t>
      </w:r>
      <w:r w:rsidR="00724215">
        <w:rPr>
          <w:rFonts w:ascii="Calibri" w:hAnsi="Calibri" w:cs="Calibri"/>
        </w:rPr>
        <w:t xml:space="preserve">. </w:t>
      </w:r>
      <w:r w:rsidR="00703BF8">
        <w:rPr>
          <w:rFonts w:ascii="Calibri" w:hAnsi="Calibri" w:cs="Calibri"/>
        </w:rPr>
        <w:t>Še več, Slovenija si je v Celovitem n</w:t>
      </w:r>
      <w:r w:rsidR="00046F16">
        <w:rPr>
          <w:rFonts w:ascii="Calibri" w:hAnsi="Calibri" w:cs="Calibri"/>
        </w:rPr>
        <w:t xml:space="preserve">acionalno energetskem podnebnem načrtu (NEPN), sprejetem v začetku leta 2020, zastavila še strožji cilj, in sicer 20 % zmanjšanje emisij TGP v ne-ETS sektorjih. </w:t>
      </w:r>
      <w:r w:rsidR="00424B7B">
        <w:rPr>
          <w:rFonts w:ascii="Calibri" w:hAnsi="Calibri" w:cs="Calibri"/>
        </w:rPr>
        <w:t xml:space="preserve">Zato trenutno doseganje cilja tako še ne pomeni </w:t>
      </w:r>
      <w:r w:rsidR="00424B7B">
        <w:rPr>
          <w:rFonts w:ascii="Calibri" w:hAnsi="Calibri" w:cs="Calibri"/>
        </w:rPr>
        <w:lastRenderedPageBreak/>
        <w:t xml:space="preserve">dolgoročnega obvladovanja emisij </w:t>
      </w:r>
      <w:r w:rsidR="00F21B44">
        <w:rPr>
          <w:rFonts w:ascii="Calibri" w:hAnsi="Calibri" w:cs="Calibri"/>
        </w:rPr>
        <w:t>in zato</w:t>
      </w:r>
      <w:r w:rsidR="00424B7B">
        <w:rPr>
          <w:rFonts w:ascii="Calibri" w:hAnsi="Calibri" w:cs="Calibri"/>
        </w:rPr>
        <w:t xml:space="preserve"> dosego cilja v letu 2030 </w:t>
      </w:r>
      <w:r w:rsidR="00DC0AF1">
        <w:rPr>
          <w:rFonts w:ascii="Calibri" w:hAnsi="Calibri" w:cs="Calibri"/>
        </w:rPr>
        <w:t>ter</w:t>
      </w:r>
      <w:r w:rsidR="00424B7B">
        <w:rPr>
          <w:rFonts w:ascii="Calibri" w:hAnsi="Calibri" w:cs="Calibri"/>
        </w:rPr>
        <w:t xml:space="preserve"> </w:t>
      </w:r>
      <w:r w:rsidR="00743790">
        <w:rPr>
          <w:rFonts w:ascii="Calibri" w:hAnsi="Calibri" w:cs="Calibri"/>
        </w:rPr>
        <w:t xml:space="preserve">tudi </w:t>
      </w:r>
      <w:r w:rsidR="00424B7B">
        <w:rPr>
          <w:rFonts w:ascii="Calibri" w:hAnsi="Calibri" w:cs="Calibri"/>
        </w:rPr>
        <w:t>cilja podnebno nevtralne družbe v letu 2050.</w:t>
      </w:r>
      <w:r w:rsidR="00C05979">
        <w:rPr>
          <w:rFonts w:ascii="Calibri" w:hAnsi="Calibri" w:cs="Calibri"/>
        </w:rPr>
        <w:t xml:space="preserve"> </w:t>
      </w:r>
      <w:r w:rsidR="00952EE0">
        <w:rPr>
          <w:rFonts w:ascii="Calibri" w:hAnsi="Calibri" w:cs="Calibri"/>
        </w:rPr>
        <w:t xml:space="preserve">Neizpolnjevanje dolgoročnih podnebnih ciljev bo z okoljskega, socialnega in ekonomskega vidika negativno vplivalo na družbo kot celoto, zato je </w:t>
      </w:r>
      <w:r w:rsidR="00C05979">
        <w:rPr>
          <w:rFonts w:ascii="Calibri" w:hAnsi="Calibri" w:cs="Calibri"/>
        </w:rPr>
        <w:t>potrebno</w:t>
      </w:r>
      <w:r w:rsidR="00263D6A">
        <w:rPr>
          <w:rFonts w:ascii="Calibri" w:hAnsi="Calibri" w:cs="Calibri"/>
        </w:rPr>
        <w:t xml:space="preserve"> prizadevanja za zmanjšanje emisij TGP na nacionalni ravni okrepiti in obravnavati prednostno</w:t>
      </w:r>
      <w:r w:rsidR="00952EE0">
        <w:rPr>
          <w:rFonts w:ascii="Calibri" w:hAnsi="Calibri" w:cs="Calibri"/>
        </w:rPr>
        <w:t>. Še</w:t>
      </w:r>
      <w:r w:rsidR="00340185">
        <w:rPr>
          <w:rFonts w:ascii="Calibri" w:hAnsi="Calibri" w:cs="Calibri"/>
        </w:rPr>
        <w:t xml:space="preserve"> naprej </w:t>
      </w:r>
      <w:r w:rsidR="00952EE0">
        <w:rPr>
          <w:rFonts w:ascii="Calibri" w:hAnsi="Calibri" w:cs="Calibri"/>
        </w:rPr>
        <w:t xml:space="preserve">je potrebno </w:t>
      </w:r>
      <w:r w:rsidR="00340185">
        <w:rPr>
          <w:rFonts w:ascii="Calibri" w:hAnsi="Calibri" w:cs="Calibri"/>
        </w:rPr>
        <w:t xml:space="preserve">spodbujati povečevanje </w:t>
      </w:r>
      <w:r w:rsidR="00340185" w:rsidRPr="00696BCA">
        <w:rPr>
          <w:rFonts w:ascii="Calibri" w:hAnsi="Calibri" w:cs="Calibri"/>
        </w:rPr>
        <w:t xml:space="preserve">nepovratnih javnih sredstev za spodbujanje ukrepov zmanjševanja emisij TGP </w:t>
      </w:r>
      <w:r w:rsidR="00340185">
        <w:rPr>
          <w:rFonts w:ascii="Calibri" w:hAnsi="Calibri" w:cs="Calibri"/>
        </w:rPr>
        <w:t xml:space="preserve">na področju </w:t>
      </w:r>
      <w:r w:rsidR="001918FD">
        <w:rPr>
          <w:rFonts w:ascii="Calibri" w:hAnsi="Calibri" w:cs="Calibri"/>
        </w:rPr>
        <w:t>vseh</w:t>
      </w:r>
      <w:r w:rsidR="00340185">
        <w:rPr>
          <w:rFonts w:ascii="Calibri" w:hAnsi="Calibri" w:cs="Calibri"/>
        </w:rPr>
        <w:t xml:space="preserve"> sektorjev</w:t>
      </w:r>
      <w:r w:rsidR="00952EE0">
        <w:rPr>
          <w:rFonts w:ascii="Calibri" w:hAnsi="Calibri" w:cs="Calibri"/>
        </w:rPr>
        <w:t>,</w:t>
      </w:r>
      <w:r w:rsidR="001918FD">
        <w:rPr>
          <w:rFonts w:ascii="Calibri" w:hAnsi="Calibri" w:cs="Calibri"/>
        </w:rPr>
        <w:t xml:space="preserve"> še posebej prometu,</w:t>
      </w:r>
      <w:r w:rsidR="00952EE0">
        <w:rPr>
          <w:rFonts w:ascii="Calibri" w:hAnsi="Calibri" w:cs="Calibri"/>
        </w:rPr>
        <w:t xml:space="preserve"> medtem ko je potrebno </w:t>
      </w:r>
      <w:r w:rsidR="00340185" w:rsidRPr="00696BCA">
        <w:rPr>
          <w:rFonts w:ascii="Calibri" w:hAnsi="Calibri" w:cs="Calibri"/>
        </w:rPr>
        <w:t>subvencije</w:t>
      </w:r>
      <w:r w:rsidR="00952EE0">
        <w:rPr>
          <w:rFonts w:ascii="Calibri" w:hAnsi="Calibri" w:cs="Calibri"/>
        </w:rPr>
        <w:t>, ki</w:t>
      </w:r>
      <w:r w:rsidR="00340185" w:rsidRPr="00696BCA">
        <w:rPr>
          <w:rFonts w:ascii="Calibri" w:hAnsi="Calibri" w:cs="Calibri"/>
        </w:rPr>
        <w:t xml:space="preserve"> </w:t>
      </w:r>
      <w:r w:rsidR="00340185">
        <w:rPr>
          <w:rFonts w:ascii="Calibri" w:hAnsi="Calibri" w:cs="Calibri"/>
        </w:rPr>
        <w:t>prispevajo k povečevanju emisij TGP</w:t>
      </w:r>
      <w:r w:rsidR="00664267">
        <w:rPr>
          <w:rFonts w:ascii="Calibri" w:hAnsi="Calibri" w:cs="Calibri"/>
        </w:rPr>
        <w:t>,</w:t>
      </w:r>
      <w:r w:rsidR="00340185" w:rsidRPr="00696BCA">
        <w:rPr>
          <w:rFonts w:ascii="Calibri" w:hAnsi="Calibri" w:cs="Calibri"/>
        </w:rPr>
        <w:t xml:space="preserve"> </w:t>
      </w:r>
      <w:r w:rsidR="00952EE0">
        <w:rPr>
          <w:rFonts w:ascii="Calibri" w:hAnsi="Calibri" w:cs="Calibri"/>
        </w:rPr>
        <w:t xml:space="preserve">do </w:t>
      </w:r>
      <w:r w:rsidR="00340185">
        <w:rPr>
          <w:rFonts w:ascii="Calibri" w:hAnsi="Calibri" w:cs="Calibri"/>
        </w:rPr>
        <w:t>2030 znatno zmanjšati</w:t>
      </w:r>
      <w:r w:rsidR="00340185" w:rsidRPr="00696BCA">
        <w:rPr>
          <w:rFonts w:ascii="Calibri" w:hAnsi="Calibri" w:cs="Calibri"/>
        </w:rPr>
        <w:t xml:space="preserve">. Ker dolgoročni prehod v nizkoogljično družbo temelji na uvajanju načel krožnega gospodarstva, je potrebno okrepiti spodbujanje ukrepov URE in OVE, postaviti konkretnejše cilje za prehod v nizkoogljično družbo, opredeliti količinske cilje za spremljanje doseženih učinkov ukrepov in zagotoviti dolgoročno in kontinuirano porabo finančnih sredstev. </w:t>
      </w:r>
    </w:p>
    <w:p w14:paraId="06BFF32F" w14:textId="5E006C14" w:rsidR="00340185" w:rsidRDefault="00340185" w:rsidP="00340185">
      <w:pPr>
        <w:spacing w:after="0" w:line="240" w:lineRule="auto"/>
        <w:jc w:val="both"/>
        <w:rPr>
          <w:rFonts w:ascii="Calibri" w:hAnsi="Calibri" w:cs="Calibri"/>
        </w:rPr>
      </w:pPr>
      <w:r w:rsidRPr="00696BCA">
        <w:rPr>
          <w:rFonts w:ascii="Calibri" w:hAnsi="Calibri" w:cs="Calibri"/>
        </w:rPr>
        <w:t xml:space="preserve">Za učinkovitejše doseganje podnebnih ciljev </w:t>
      </w:r>
      <w:r w:rsidR="00952EE0">
        <w:rPr>
          <w:rFonts w:ascii="Calibri" w:hAnsi="Calibri" w:cs="Calibri"/>
        </w:rPr>
        <w:t xml:space="preserve">pa </w:t>
      </w:r>
      <w:r w:rsidRPr="00696BCA">
        <w:rPr>
          <w:rFonts w:ascii="Calibri" w:hAnsi="Calibri" w:cs="Calibri"/>
        </w:rPr>
        <w:t>je za oblikovanje politik in napredek pri izvajanju ukrepov v prvi vrsti potrebno, poleg ustreznih in zadostnih finančnih in pravnih sredstev, odpraviti tudi sistemsko kadrovsko podhranjenost ter ključne akterje dodatno usposobiti in med seboj povezati.</w:t>
      </w:r>
      <w:r>
        <w:rPr>
          <w:rFonts w:ascii="Calibri" w:hAnsi="Calibri" w:cs="Calibri"/>
        </w:rPr>
        <w:t xml:space="preserve">   </w:t>
      </w:r>
    </w:p>
    <w:p w14:paraId="7995A12C" w14:textId="77777777" w:rsidR="00401F29" w:rsidRDefault="00401F29" w:rsidP="008B355C">
      <w:pPr>
        <w:spacing w:after="0" w:line="240" w:lineRule="auto"/>
        <w:jc w:val="both"/>
        <w:rPr>
          <w:rFonts w:ascii="Arial" w:hAnsi="Arial" w:cs="Arial"/>
          <w:sz w:val="20"/>
          <w:szCs w:val="20"/>
        </w:rPr>
      </w:pPr>
    </w:p>
    <w:p w14:paraId="42ACB258" w14:textId="77777777" w:rsidR="00542926" w:rsidRDefault="00542926" w:rsidP="008B355C">
      <w:pPr>
        <w:spacing w:after="0" w:line="240" w:lineRule="auto"/>
        <w:jc w:val="both"/>
        <w:rPr>
          <w:rFonts w:ascii="Calibri" w:hAnsi="Calibri" w:cs="Calibri"/>
        </w:rPr>
      </w:pPr>
    </w:p>
    <w:p w14:paraId="7642C02B" w14:textId="77777777" w:rsidR="00542926" w:rsidRDefault="00542926" w:rsidP="008B355C">
      <w:pPr>
        <w:spacing w:after="0" w:line="240" w:lineRule="auto"/>
        <w:jc w:val="both"/>
        <w:rPr>
          <w:rFonts w:ascii="Calibri" w:hAnsi="Calibri" w:cs="Calibri"/>
        </w:rPr>
      </w:pPr>
    </w:p>
    <w:p w14:paraId="79D32887" w14:textId="77777777" w:rsidR="00542926" w:rsidRDefault="00542926" w:rsidP="008B355C">
      <w:pPr>
        <w:spacing w:after="0" w:line="240" w:lineRule="auto"/>
        <w:jc w:val="both"/>
        <w:rPr>
          <w:rFonts w:ascii="Calibri" w:hAnsi="Calibri" w:cs="Calibri"/>
        </w:rPr>
      </w:pPr>
    </w:p>
    <w:p w14:paraId="34C6CD70" w14:textId="77777777" w:rsidR="00542926" w:rsidRDefault="00542926" w:rsidP="008B355C">
      <w:pPr>
        <w:spacing w:after="0" w:line="240" w:lineRule="auto"/>
        <w:jc w:val="both"/>
        <w:rPr>
          <w:rFonts w:ascii="Calibri" w:hAnsi="Calibri" w:cs="Calibri"/>
        </w:rPr>
      </w:pPr>
    </w:p>
    <w:p w14:paraId="3656494C" w14:textId="77777777" w:rsidR="00542926" w:rsidRDefault="00542926" w:rsidP="008B355C">
      <w:pPr>
        <w:spacing w:after="0" w:line="240" w:lineRule="auto"/>
        <w:jc w:val="both"/>
        <w:rPr>
          <w:rFonts w:ascii="Calibri" w:hAnsi="Calibri" w:cs="Calibri"/>
        </w:rPr>
      </w:pPr>
    </w:p>
    <w:p w14:paraId="77D03DBF" w14:textId="77777777" w:rsidR="001A01D5" w:rsidRDefault="001A01D5" w:rsidP="008B355C">
      <w:pPr>
        <w:spacing w:after="0" w:line="240" w:lineRule="auto"/>
        <w:jc w:val="both"/>
        <w:rPr>
          <w:rFonts w:ascii="Calibri" w:hAnsi="Calibri" w:cs="Calibri"/>
        </w:rPr>
      </w:pPr>
    </w:p>
    <w:p w14:paraId="61876870" w14:textId="77777777" w:rsidR="00542926" w:rsidRDefault="00542926" w:rsidP="008B355C">
      <w:pPr>
        <w:spacing w:after="0" w:line="240" w:lineRule="auto"/>
        <w:jc w:val="both"/>
        <w:rPr>
          <w:rFonts w:ascii="Calibri" w:hAnsi="Calibri" w:cs="Calibri"/>
        </w:rPr>
      </w:pPr>
    </w:p>
    <w:p w14:paraId="7E7AE30F" w14:textId="77777777" w:rsidR="00952EE0" w:rsidRDefault="00952EE0" w:rsidP="008B355C">
      <w:pPr>
        <w:spacing w:after="0" w:line="240" w:lineRule="auto"/>
        <w:jc w:val="both"/>
        <w:rPr>
          <w:rFonts w:ascii="Calibri" w:hAnsi="Calibri" w:cs="Calibri"/>
        </w:rPr>
      </w:pPr>
    </w:p>
    <w:p w14:paraId="44891EAB" w14:textId="77777777" w:rsidR="001A01D5" w:rsidRDefault="001A01D5" w:rsidP="008B355C">
      <w:pPr>
        <w:spacing w:after="0" w:line="240" w:lineRule="auto"/>
        <w:jc w:val="both"/>
        <w:rPr>
          <w:rFonts w:ascii="Calibri" w:hAnsi="Calibri" w:cs="Calibri"/>
        </w:rPr>
      </w:pPr>
    </w:p>
    <w:p w14:paraId="4B65BEE5" w14:textId="77777777" w:rsidR="00952EE0" w:rsidRDefault="00952EE0" w:rsidP="008B355C">
      <w:pPr>
        <w:spacing w:after="0" w:line="240" w:lineRule="auto"/>
        <w:jc w:val="both"/>
        <w:rPr>
          <w:rFonts w:ascii="Calibri" w:hAnsi="Calibri" w:cs="Calibri"/>
        </w:rPr>
      </w:pPr>
    </w:p>
    <w:p w14:paraId="19592831" w14:textId="77777777" w:rsidR="00952EE0" w:rsidRDefault="00952EE0" w:rsidP="008B355C">
      <w:pPr>
        <w:spacing w:after="0" w:line="240" w:lineRule="auto"/>
        <w:jc w:val="both"/>
        <w:rPr>
          <w:rFonts w:ascii="Calibri" w:hAnsi="Calibri" w:cs="Calibri"/>
        </w:rPr>
      </w:pPr>
    </w:p>
    <w:p w14:paraId="0C67A0D8" w14:textId="77777777" w:rsidR="00952EE0" w:rsidRDefault="00952EE0" w:rsidP="008B355C">
      <w:pPr>
        <w:spacing w:after="0" w:line="240" w:lineRule="auto"/>
        <w:jc w:val="both"/>
        <w:rPr>
          <w:rFonts w:ascii="Calibri" w:hAnsi="Calibri" w:cs="Calibri"/>
        </w:rPr>
      </w:pPr>
    </w:p>
    <w:p w14:paraId="7E92250E" w14:textId="77777777" w:rsidR="00952EE0" w:rsidRDefault="00952EE0" w:rsidP="008B355C">
      <w:pPr>
        <w:spacing w:after="0" w:line="240" w:lineRule="auto"/>
        <w:jc w:val="both"/>
        <w:rPr>
          <w:rFonts w:ascii="Calibri" w:hAnsi="Calibri" w:cs="Calibri"/>
        </w:rPr>
      </w:pPr>
    </w:p>
    <w:p w14:paraId="22BE6D87" w14:textId="77777777" w:rsidR="00542926" w:rsidRDefault="00542926" w:rsidP="008B355C">
      <w:pPr>
        <w:spacing w:after="0" w:line="240" w:lineRule="auto"/>
        <w:jc w:val="both"/>
        <w:rPr>
          <w:rFonts w:ascii="Calibri" w:hAnsi="Calibri" w:cs="Calibri"/>
        </w:rPr>
      </w:pPr>
    </w:p>
    <w:p w14:paraId="7E7C898A" w14:textId="77777777" w:rsidR="00542926" w:rsidRDefault="00542926" w:rsidP="008B355C">
      <w:pPr>
        <w:spacing w:after="0" w:line="240" w:lineRule="auto"/>
        <w:jc w:val="both"/>
        <w:rPr>
          <w:rFonts w:ascii="Calibri" w:hAnsi="Calibri" w:cs="Calibri"/>
        </w:rPr>
      </w:pPr>
    </w:p>
    <w:p w14:paraId="0AB56780" w14:textId="77777777" w:rsidR="00542926" w:rsidRDefault="00542926" w:rsidP="008B355C">
      <w:pPr>
        <w:spacing w:after="0" w:line="240" w:lineRule="auto"/>
        <w:jc w:val="both"/>
        <w:rPr>
          <w:rFonts w:ascii="Calibri" w:hAnsi="Calibri" w:cs="Calibri"/>
        </w:rPr>
      </w:pPr>
    </w:p>
    <w:p w14:paraId="6C50506C" w14:textId="77777777" w:rsidR="00542926" w:rsidRDefault="00542926" w:rsidP="008B355C">
      <w:pPr>
        <w:spacing w:after="0" w:line="240" w:lineRule="auto"/>
        <w:jc w:val="both"/>
        <w:rPr>
          <w:rFonts w:ascii="Calibri" w:hAnsi="Calibri" w:cs="Calibri"/>
        </w:rPr>
      </w:pPr>
    </w:p>
    <w:p w14:paraId="602A1E8B" w14:textId="77777777" w:rsidR="00542926" w:rsidRDefault="00542926" w:rsidP="008B355C">
      <w:pPr>
        <w:spacing w:after="0" w:line="240" w:lineRule="auto"/>
        <w:jc w:val="both"/>
        <w:rPr>
          <w:rFonts w:ascii="Calibri" w:hAnsi="Calibri" w:cs="Calibri"/>
        </w:rPr>
      </w:pPr>
    </w:p>
    <w:p w14:paraId="4AE29622" w14:textId="77777777" w:rsidR="00542926" w:rsidRDefault="00542926" w:rsidP="008B355C">
      <w:pPr>
        <w:spacing w:after="0" w:line="240" w:lineRule="auto"/>
        <w:jc w:val="both"/>
        <w:rPr>
          <w:rFonts w:ascii="Calibri" w:hAnsi="Calibri" w:cs="Calibri"/>
        </w:rPr>
      </w:pPr>
    </w:p>
    <w:p w14:paraId="71A675CF" w14:textId="77777777" w:rsidR="00542926" w:rsidRDefault="00542926" w:rsidP="008B355C">
      <w:pPr>
        <w:spacing w:after="0" w:line="240" w:lineRule="auto"/>
        <w:jc w:val="both"/>
        <w:rPr>
          <w:rFonts w:ascii="Calibri" w:hAnsi="Calibri" w:cs="Calibri"/>
        </w:rPr>
      </w:pPr>
    </w:p>
    <w:p w14:paraId="1A026FC7" w14:textId="77777777" w:rsidR="00542926" w:rsidRDefault="00542926" w:rsidP="008B355C">
      <w:pPr>
        <w:spacing w:after="0" w:line="240" w:lineRule="auto"/>
        <w:jc w:val="both"/>
        <w:rPr>
          <w:rFonts w:ascii="Calibri" w:hAnsi="Calibri" w:cs="Calibri"/>
        </w:rPr>
      </w:pPr>
    </w:p>
    <w:p w14:paraId="6A86D638" w14:textId="77777777" w:rsidR="00542926" w:rsidRDefault="00542926" w:rsidP="008B355C">
      <w:pPr>
        <w:spacing w:after="0" w:line="240" w:lineRule="auto"/>
        <w:jc w:val="both"/>
        <w:rPr>
          <w:rFonts w:ascii="Calibri" w:hAnsi="Calibri" w:cs="Calibri"/>
        </w:rPr>
      </w:pPr>
    </w:p>
    <w:p w14:paraId="51D513A2" w14:textId="77777777" w:rsidR="00542926" w:rsidRDefault="00542926" w:rsidP="008B355C">
      <w:pPr>
        <w:spacing w:after="0" w:line="240" w:lineRule="auto"/>
        <w:jc w:val="both"/>
        <w:rPr>
          <w:rFonts w:ascii="Calibri" w:hAnsi="Calibri" w:cs="Calibri"/>
        </w:rPr>
      </w:pPr>
    </w:p>
    <w:p w14:paraId="765F2044" w14:textId="77777777" w:rsidR="00542926" w:rsidRDefault="00542926" w:rsidP="008B355C">
      <w:pPr>
        <w:spacing w:after="0" w:line="240" w:lineRule="auto"/>
        <w:jc w:val="both"/>
        <w:rPr>
          <w:rFonts w:ascii="Calibri" w:hAnsi="Calibri" w:cs="Calibri"/>
        </w:rPr>
      </w:pPr>
    </w:p>
    <w:p w14:paraId="3A65B88E" w14:textId="77777777" w:rsidR="00542926" w:rsidRDefault="00542926" w:rsidP="008B355C">
      <w:pPr>
        <w:spacing w:after="0" w:line="240" w:lineRule="auto"/>
        <w:jc w:val="both"/>
        <w:rPr>
          <w:rFonts w:ascii="Calibri" w:hAnsi="Calibri" w:cs="Calibri"/>
        </w:rPr>
      </w:pPr>
    </w:p>
    <w:p w14:paraId="6B65F022" w14:textId="77777777" w:rsidR="00542926" w:rsidRDefault="00542926" w:rsidP="008B355C">
      <w:pPr>
        <w:spacing w:after="0" w:line="240" w:lineRule="auto"/>
        <w:jc w:val="both"/>
        <w:rPr>
          <w:rFonts w:ascii="Calibri" w:hAnsi="Calibri" w:cs="Calibri"/>
        </w:rPr>
      </w:pPr>
    </w:p>
    <w:p w14:paraId="40BA2C4E" w14:textId="77777777" w:rsidR="00542926" w:rsidRDefault="00542926" w:rsidP="008B355C">
      <w:pPr>
        <w:spacing w:after="0" w:line="240" w:lineRule="auto"/>
        <w:jc w:val="both"/>
        <w:rPr>
          <w:rFonts w:ascii="Calibri" w:hAnsi="Calibri" w:cs="Calibri"/>
        </w:rPr>
      </w:pPr>
    </w:p>
    <w:p w14:paraId="4D9CC749" w14:textId="77777777" w:rsidR="007A6EE5" w:rsidRDefault="007A6EE5" w:rsidP="008B355C">
      <w:pPr>
        <w:spacing w:after="0" w:line="240" w:lineRule="auto"/>
        <w:jc w:val="both"/>
        <w:rPr>
          <w:rFonts w:ascii="Calibri" w:hAnsi="Calibri" w:cs="Calibri"/>
        </w:rPr>
      </w:pPr>
    </w:p>
    <w:p w14:paraId="12962014" w14:textId="77777777" w:rsidR="007A6EE5" w:rsidRDefault="007A6EE5" w:rsidP="008B355C">
      <w:pPr>
        <w:spacing w:after="0" w:line="240" w:lineRule="auto"/>
        <w:jc w:val="both"/>
        <w:rPr>
          <w:rFonts w:ascii="Calibri" w:hAnsi="Calibri" w:cs="Calibri"/>
        </w:rPr>
      </w:pPr>
    </w:p>
    <w:p w14:paraId="2459499A" w14:textId="77777777" w:rsidR="007A6EE5" w:rsidRDefault="007A6EE5" w:rsidP="008B355C">
      <w:pPr>
        <w:spacing w:after="0" w:line="240" w:lineRule="auto"/>
        <w:jc w:val="both"/>
        <w:rPr>
          <w:rFonts w:ascii="Calibri" w:hAnsi="Calibri" w:cs="Calibri"/>
        </w:rPr>
      </w:pPr>
    </w:p>
    <w:p w14:paraId="1069647A" w14:textId="77777777" w:rsidR="007A6EE5" w:rsidRDefault="007A6EE5" w:rsidP="008B355C">
      <w:pPr>
        <w:spacing w:after="0" w:line="240" w:lineRule="auto"/>
        <w:jc w:val="both"/>
        <w:rPr>
          <w:rFonts w:ascii="Calibri" w:hAnsi="Calibri" w:cs="Calibri"/>
        </w:rPr>
      </w:pPr>
    </w:p>
    <w:p w14:paraId="36405365" w14:textId="77777777" w:rsidR="007A6EE5" w:rsidRDefault="007A6EE5" w:rsidP="008B355C">
      <w:pPr>
        <w:spacing w:after="0" w:line="240" w:lineRule="auto"/>
        <w:jc w:val="both"/>
        <w:rPr>
          <w:rFonts w:ascii="Calibri" w:hAnsi="Calibri" w:cs="Calibri"/>
        </w:rPr>
      </w:pPr>
    </w:p>
    <w:p w14:paraId="5CCC1092" w14:textId="77777777" w:rsidR="007A6EE5" w:rsidRDefault="007A6EE5" w:rsidP="008B355C">
      <w:pPr>
        <w:spacing w:after="0" w:line="240" w:lineRule="auto"/>
        <w:jc w:val="both"/>
        <w:rPr>
          <w:rFonts w:ascii="Calibri" w:hAnsi="Calibri" w:cs="Calibri"/>
        </w:rPr>
      </w:pPr>
    </w:p>
    <w:p w14:paraId="1F283CDE" w14:textId="4C212531" w:rsidR="00C36C31" w:rsidRPr="00472C4D" w:rsidRDefault="00C36C31" w:rsidP="008B355C">
      <w:pPr>
        <w:spacing w:after="0" w:line="240" w:lineRule="auto"/>
        <w:jc w:val="both"/>
        <w:rPr>
          <w:rFonts w:ascii="Calibri" w:hAnsi="Calibri" w:cs="Calibri"/>
          <w:b/>
          <w:bCs/>
          <w:sz w:val="26"/>
          <w:szCs w:val="26"/>
        </w:rPr>
      </w:pPr>
      <w:r w:rsidRPr="00472C4D">
        <w:rPr>
          <w:rFonts w:ascii="Calibri" w:hAnsi="Calibri" w:cs="Calibri"/>
          <w:b/>
          <w:bCs/>
          <w:sz w:val="26"/>
          <w:szCs w:val="26"/>
        </w:rPr>
        <w:lastRenderedPageBreak/>
        <w:t xml:space="preserve">2 </w:t>
      </w:r>
      <w:r w:rsidR="00636AAF" w:rsidRPr="00472C4D">
        <w:rPr>
          <w:rFonts w:ascii="Calibri" w:hAnsi="Calibri" w:cs="Calibri"/>
          <w:b/>
          <w:bCs/>
          <w:sz w:val="26"/>
          <w:szCs w:val="26"/>
        </w:rPr>
        <w:t>Ocena doseganja ciljev</w:t>
      </w:r>
      <w:r w:rsidR="008E65AC">
        <w:rPr>
          <w:rStyle w:val="Sprotnaopomba-sklic"/>
          <w:rFonts w:ascii="Calibri" w:hAnsi="Calibri" w:cs="Calibri"/>
          <w:b/>
          <w:bCs/>
          <w:sz w:val="26"/>
          <w:szCs w:val="26"/>
        </w:rPr>
        <w:footnoteReference w:id="5"/>
      </w:r>
    </w:p>
    <w:p w14:paraId="65B3CED6" w14:textId="684144A6" w:rsidR="008B355C" w:rsidRDefault="008B355C" w:rsidP="008B355C">
      <w:pPr>
        <w:spacing w:after="0" w:line="240" w:lineRule="auto"/>
        <w:jc w:val="both"/>
        <w:rPr>
          <w:rFonts w:ascii="Calibri" w:hAnsi="Calibri" w:cs="Calibri"/>
          <w:b/>
          <w:bCs/>
          <w:sz w:val="26"/>
          <w:szCs w:val="26"/>
        </w:rPr>
      </w:pPr>
    </w:p>
    <w:p w14:paraId="5A14393F" w14:textId="17CB7CF3" w:rsidR="00C21929" w:rsidRDefault="00C21929" w:rsidP="00C21929">
      <w:pPr>
        <w:spacing w:after="0" w:line="240" w:lineRule="auto"/>
        <w:jc w:val="both"/>
        <w:rPr>
          <w:rFonts w:ascii="Calibri" w:hAnsi="Calibri" w:cs="Calibri"/>
        </w:rPr>
      </w:pPr>
      <w:r>
        <w:rPr>
          <w:rFonts w:ascii="Calibri" w:hAnsi="Calibri" w:cs="Calibri"/>
        </w:rPr>
        <w:t xml:space="preserve">V tabeli 1 so </w:t>
      </w:r>
      <w:r w:rsidR="007D0CCD">
        <w:rPr>
          <w:rFonts w:ascii="Calibri" w:hAnsi="Calibri" w:cs="Calibri"/>
        </w:rPr>
        <w:t xml:space="preserve">na kratko povzete ugotovitve, ki so podrobneje predstavljene v </w:t>
      </w:r>
      <w:r w:rsidR="006B214B">
        <w:rPr>
          <w:rFonts w:ascii="Calibri" w:hAnsi="Calibri" w:cs="Calibri"/>
        </w:rPr>
        <w:t>pod</w:t>
      </w:r>
      <w:r w:rsidR="007D0CCD">
        <w:rPr>
          <w:rFonts w:ascii="Calibri" w:hAnsi="Calibri" w:cs="Calibri"/>
        </w:rPr>
        <w:t>poglavjih</w:t>
      </w:r>
      <w:r w:rsidR="006B214B">
        <w:rPr>
          <w:rFonts w:ascii="Calibri" w:hAnsi="Calibri" w:cs="Calibri"/>
        </w:rPr>
        <w:t xml:space="preserve"> 2.1 in 2.2</w:t>
      </w:r>
      <w:r w:rsidR="007D0CCD">
        <w:rPr>
          <w:rFonts w:ascii="Calibri" w:hAnsi="Calibri" w:cs="Calibri"/>
        </w:rPr>
        <w:t>.</w:t>
      </w:r>
      <w:r>
        <w:rPr>
          <w:rFonts w:ascii="Calibri" w:hAnsi="Calibri" w:cs="Calibri"/>
        </w:rPr>
        <w:t xml:space="preserve"> </w:t>
      </w:r>
    </w:p>
    <w:p w14:paraId="2AF37D22" w14:textId="77777777" w:rsidR="00C21929" w:rsidRDefault="00C21929" w:rsidP="008B355C">
      <w:pPr>
        <w:spacing w:after="0" w:line="240" w:lineRule="auto"/>
        <w:jc w:val="both"/>
        <w:rPr>
          <w:rFonts w:ascii="Calibri" w:hAnsi="Calibri" w:cs="Calibri"/>
          <w:b/>
          <w:bCs/>
          <w:sz w:val="26"/>
          <w:szCs w:val="26"/>
        </w:rPr>
      </w:pPr>
    </w:p>
    <w:p w14:paraId="792552D8" w14:textId="13D89A41" w:rsidR="00C21929" w:rsidRDefault="00C21929" w:rsidP="00C21929">
      <w:pPr>
        <w:spacing w:after="0" w:line="240" w:lineRule="auto"/>
        <w:jc w:val="both"/>
        <w:rPr>
          <w:b/>
          <w:bCs/>
          <w:sz w:val="20"/>
          <w:szCs w:val="20"/>
        </w:rPr>
      </w:pPr>
      <w:r w:rsidRPr="00CE5084">
        <w:rPr>
          <w:b/>
          <w:bCs/>
          <w:sz w:val="20"/>
          <w:szCs w:val="20"/>
        </w:rPr>
        <w:t xml:space="preserve">Tabela 1: Indikativni sektorski cilji zmanjšanja emisij TGP v sektorjih, ki niso vključeni v shemo trgovanja z emisijskimi kuponi, do leta 2020 glede na leto 2005, ki si jih je Slovenija zastavila z OP TGP </w:t>
      </w:r>
      <w:r>
        <w:rPr>
          <w:b/>
          <w:bCs/>
          <w:sz w:val="20"/>
          <w:szCs w:val="20"/>
        </w:rPr>
        <w:t xml:space="preserve">2020 </w:t>
      </w:r>
      <w:r w:rsidR="00642299">
        <w:rPr>
          <w:b/>
          <w:bCs/>
          <w:sz w:val="20"/>
          <w:szCs w:val="20"/>
        </w:rPr>
        <w:t>ter njihovo doseganje</w:t>
      </w:r>
    </w:p>
    <w:p w14:paraId="27E8126B" w14:textId="77777777" w:rsidR="00C21929" w:rsidRDefault="00C21929" w:rsidP="00C21929">
      <w:pPr>
        <w:spacing w:after="0" w:line="240" w:lineRule="auto"/>
        <w:jc w:val="both"/>
        <w:rPr>
          <w:b/>
          <w:bCs/>
          <w:sz w:val="20"/>
          <w:szCs w:val="20"/>
        </w:rPr>
      </w:pPr>
    </w:p>
    <w:tbl>
      <w:tblPr>
        <w:tblStyle w:val="Tabelamrea"/>
        <w:tblW w:w="0" w:type="auto"/>
        <w:tblLook w:val="04A0" w:firstRow="1" w:lastRow="0" w:firstColumn="1" w:lastColumn="0" w:noHBand="0" w:noVBand="1"/>
      </w:tblPr>
      <w:tblGrid>
        <w:gridCol w:w="1270"/>
        <w:gridCol w:w="1987"/>
        <w:gridCol w:w="1275"/>
        <w:gridCol w:w="520"/>
        <w:gridCol w:w="4190"/>
      </w:tblGrid>
      <w:tr w:rsidR="00892107" w14:paraId="29A0590F" w14:textId="77777777" w:rsidTr="006A759C">
        <w:tc>
          <w:tcPr>
            <w:tcW w:w="1271" w:type="dxa"/>
            <w:tcBorders>
              <w:top w:val="nil"/>
              <w:left w:val="nil"/>
              <w:bottom w:val="single" w:sz="4" w:space="0" w:color="auto"/>
              <w:right w:val="single" w:sz="4" w:space="0" w:color="auto"/>
            </w:tcBorders>
          </w:tcPr>
          <w:p w14:paraId="0D1766B8" w14:textId="77777777" w:rsidR="00C21929" w:rsidRDefault="00C21929" w:rsidP="00AE4DBF">
            <w:pPr>
              <w:jc w:val="both"/>
              <w:rPr>
                <w:b/>
                <w:bCs/>
                <w:sz w:val="20"/>
                <w:szCs w:val="20"/>
              </w:rPr>
            </w:pPr>
          </w:p>
        </w:tc>
        <w:tc>
          <w:tcPr>
            <w:tcW w:w="1990" w:type="dxa"/>
            <w:tcBorders>
              <w:left w:val="single" w:sz="4" w:space="0" w:color="auto"/>
            </w:tcBorders>
            <w:shd w:val="clear" w:color="auto" w:fill="00CCFF"/>
          </w:tcPr>
          <w:p w14:paraId="55CC5E22" w14:textId="77777777" w:rsidR="00C21929" w:rsidRDefault="00C21929" w:rsidP="00AE4DBF">
            <w:pPr>
              <w:jc w:val="center"/>
              <w:rPr>
                <w:b/>
                <w:bCs/>
                <w:sz w:val="20"/>
                <w:szCs w:val="20"/>
              </w:rPr>
            </w:pPr>
            <w:r>
              <w:rPr>
                <w:b/>
                <w:bCs/>
                <w:sz w:val="20"/>
                <w:szCs w:val="20"/>
              </w:rPr>
              <w:t>Indikativni sektorski cilji zmanjšanja emisij TGP v letu 2020 glede na 2005</w:t>
            </w:r>
          </w:p>
        </w:tc>
        <w:tc>
          <w:tcPr>
            <w:tcW w:w="1275" w:type="dxa"/>
            <w:shd w:val="clear" w:color="auto" w:fill="00CCFF"/>
          </w:tcPr>
          <w:p w14:paraId="1C442E86" w14:textId="77777777" w:rsidR="00C21929" w:rsidRDefault="00C21929" w:rsidP="00AE4DBF">
            <w:pPr>
              <w:jc w:val="center"/>
              <w:rPr>
                <w:b/>
                <w:bCs/>
                <w:sz w:val="20"/>
                <w:szCs w:val="20"/>
              </w:rPr>
            </w:pPr>
            <w:r>
              <w:rPr>
                <w:b/>
                <w:bCs/>
                <w:sz w:val="20"/>
                <w:szCs w:val="20"/>
              </w:rPr>
              <w:t xml:space="preserve">Dosežena sprememba v obdobju </w:t>
            </w:r>
          </w:p>
          <w:p w14:paraId="7EB97AEE" w14:textId="5B4BDFE7" w:rsidR="00C21929" w:rsidRDefault="00B96278" w:rsidP="00AE4DBF">
            <w:pPr>
              <w:jc w:val="center"/>
              <w:rPr>
                <w:b/>
                <w:bCs/>
                <w:sz w:val="20"/>
                <w:szCs w:val="20"/>
              </w:rPr>
            </w:pPr>
            <w:r>
              <w:rPr>
                <w:b/>
                <w:bCs/>
                <w:sz w:val="20"/>
                <w:szCs w:val="20"/>
              </w:rPr>
              <w:t>2005-2018</w:t>
            </w:r>
          </w:p>
        </w:tc>
        <w:tc>
          <w:tcPr>
            <w:tcW w:w="4485" w:type="dxa"/>
            <w:gridSpan w:val="2"/>
            <w:shd w:val="clear" w:color="auto" w:fill="00CCFF"/>
          </w:tcPr>
          <w:p w14:paraId="2CADFBC4" w14:textId="79855389" w:rsidR="00C21929" w:rsidRDefault="00C21929" w:rsidP="00A005B4">
            <w:pPr>
              <w:jc w:val="center"/>
              <w:rPr>
                <w:b/>
                <w:bCs/>
                <w:sz w:val="20"/>
                <w:szCs w:val="20"/>
              </w:rPr>
            </w:pPr>
            <w:r>
              <w:rPr>
                <w:b/>
                <w:bCs/>
                <w:sz w:val="20"/>
                <w:szCs w:val="20"/>
              </w:rPr>
              <w:t>Doseganje indikativnega cilja v letu 2020</w:t>
            </w:r>
          </w:p>
        </w:tc>
      </w:tr>
      <w:tr w:rsidR="006A759C" w14:paraId="687502AF" w14:textId="77777777" w:rsidTr="006A759C">
        <w:tc>
          <w:tcPr>
            <w:tcW w:w="1271" w:type="dxa"/>
            <w:tcBorders>
              <w:top w:val="single" w:sz="4" w:space="0" w:color="auto"/>
            </w:tcBorders>
            <w:shd w:val="clear" w:color="auto" w:fill="00CCFF"/>
          </w:tcPr>
          <w:p w14:paraId="07855989" w14:textId="77777777" w:rsidR="00C21929" w:rsidRDefault="00C21929" w:rsidP="000F5EAA">
            <w:pPr>
              <w:spacing w:before="60" w:after="20"/>
              <w:jc w:val="both"/>
              <w:rPr>
                <w:b/>
                <w:bCs/>
                <w:sz w:val="20"/>
                <w:szCs w:val="20"/>
              </w:rPr>
            </w:pPr>
            <w:r>
              <w:rPr>
                <w:b/>
                <w:bCs/>
                <w:sz w:val="20"/>
                <w:szCs w:val="20"/>
              </w:rPr>
              <w:t>Promet</w:t>
            </w:r>
          </w:p>
        </w:tc>
        <w:tc>
          <w:tcPr>
            <w:tcW w:w="1990" w:type="dxa"/>
          </w:tcPr>
          <w:p w14:paraId="21C8A261" w14:textId="77777777" w:rsidR="00C21929" w:rsidRPr="003C2CBA" w:rsidRDefault="00C21929" w:rsidP="00C8781E">
            <w:pPr>
              <w:spacing w:before="20" w:after="20"/>
              <w:jc w:val="center"/>
              <w:rPr>
                <w:sz w:val="20"/>
                <w:szCs w:val="20"/>
              </w:rPr>
            </w:pPr>
            <w:r>
              <w:rPr>
                <w:sz w:val="20"/>
                <w:szCs w:val="20"/>
              </w:rPr>
              <w:t>+27 %</w:t>
            </w:r>
          </w:p>
        </w:tc>
        <w:tc>
          <w:tcPr>
            <w:tcW w:w="1275" w:type="dxa"/>
          </w:tcPr>
          <w:p w14:paraId="290A3343" w14:textId="77777777" w:rsidR="00C21929" w:rsidRPr="003C2CBA" w:rsidRDefault="00C21929" w:rsidP="00C8781E">
            <w:pPr>
              <w:spacing w:before="20" w:after="20"/>
              <w:jc w:val="center"/>
              <w:rPr>
                <w:sz w:val="20"/>
                <w:szCs w:val="20"/>
              </w:rPr>
            </w:pPr>
            <w:r>
              <w:rPr>
                <w:sz w:val="20"/>
                <w:szCs w:val="20"/>
              </w:rPr>
              <w:t>+31,9 %</w:t>
            </w:r>
          </w:p>
        </w:tc>
        <w:tc>
          <w:tcPr>
            <w:tcW w:w="284" w:type="dxa"/>
            <w:shd w:val="clear" w:color="auto" w:fill="FFC000"/>
          </w:tcPr>
          <w:p w14:paraId="075D6AE2" w14:textId="77777777" w:rsidR="00C21929" w:rsidRDefault="00C21929" w:rsidP="00C8781E">
            <w:pPr>
              <w:spacing w:before="20" w:after="20"/>
              <w:jc w:val="center"/>
              <w:rPr>
                <w:rFonts w:ascii="Calibri" w:hAnsi="Calibri" w:cs="Calibri"/>
                <w:b/>
              </w:rPr>
            </w:pPr>
          </w:p>
          <w:p w14:paraId="25DA15E7" w14:textId="77777777" w:rsidR="00C21929" w:rsidRPr="003C2CBA" w:rsidRDefault="00C21929" w:rsidP="00C8781E">
            <w:pPr>
              <w:spacing w:before="20" w:after="20"/>
              <w:jc w:val="center"/>
              <w:rPr>
                <w:sz w:val="20"/>
                <w:szCs w:val="20"/>
              </w:rPr>
            </w:pPr>
            <w:r w:rsidRPr="007B3ED0">
              <w:rPr>
                <w:rFonts w:ascii="Calibri" w:hAnsi="Calibri" w:cs="Calibri"/>
                <w:b/>
              </w:rPr>
              <w:sym w:font="Wingdings" w:char="F04B"/>
            </w:r>
          </w:p>
        </w:tc>
        <w:tc>
          <w:tcPr>
            <w:tcW w:w="4201" w:type="dxa"/>
          </w:tcPr>
          <w:p w14:paraId="3A87026E" w14:textId="4CE19E4B" w:rsidR="00C21929" w:rsidRPr="00C8781E" w:rsidRDefault="00C21929" w:rsidP="005D4067">
            <w:pPr>
              <w:pStyle w:val="Default"/>
              <w:spacing w:before="20" w:after="20"/>
              <w:rPr>
                <w:rFonts w:asciiTheme="minorHAnsi" w:hAnsiTheme="minorHAnsi" w:cstheme="minorHAnsi"/>
                <w:sz w:val="20"/>
                <w:szCs w:val="20"/>
              </w:rPr>
            </w:pPr>
            <w:r w:rsidRPr="00C8781E">
              <w:rPr>
                <w:rFonts w:asciiTheme="minorHAnsi" w:hAnsiTheme="minorHAnsi" w:cstheme="minorHAnsi"/>
                <w:sz w:val="20"/>
                <w:szCs w:val="20"/>
                <w:lang w:val="sl-SI"/>
              </w:rPr>
              <w:t>V letu 2017 so se emisije zmanjšale, v letu 2018 ponovno povečale. Ocene za 2019 kažejo ponovno znižanje. Izpolnjevanje cilja v letu 2020 je pod vprašajem.</w:t>
            </w:r>
          </w:p>
        </w:tc>
      </w:tr>
      <w:tr w:rsidR="006A759C" w14:paraId="0475356C" w14:textId="77777777" w:rsidTr="006A759C">
        <w:tc>
          <w:tcPr>
            <w:tcW w:w="1271" w:type="dxa"/>
            <w:shd w:val="clear" w:color="auto" w:fill="00CCFF"/>
          </w:tcPr>
          <w:p w14:paraId="6BF4F3C6" w14:textId="77777777" w:rsidR="00C21929" w:rsidRDefault="00C21929" w:rsidP="000F5EAA">
            <w:pPr>
              <w:spacing w:before="60" w:after="20"/>
              <w:jc w:val="both"/>
              <w:rPr>
                <w:b/>
                <w:bCs/>
                <w:sz w:val="20"/>
                <w:szCs w:val="20"/>
              </w:rPr>
            </w:pPr>
            <w:r>
              <w:rPr>
                <w:b/>
                <w:bCs/>
                <w:sz w:val="20"/>
                <w:szCs w:val="20"/>
              </w:rPr>
              <w:t>Kmetijstvo</w:t>
            </w:r>
          </w:p>
        </w:tc>
        <w:tc>
          <w:tcPr>
            <w:tcW w:w="1990" w:type="dxa"/>
          </w:tcPr>
          <w:p w14:paraId="2F38EAF7" w14:textId="77777777" w:rsidR="00C21929" w:rsidRPr="003C2CBA" w:rsidRDefault="00C21929" w:rsidP="00C8781E">
            <w:pPr>
              <w:spacing w:before="20" w:after="20"/>
              <w:jc w:val="center"/>
              <w:rPr>
                <w:sz w:val="20"/>
                <w:szCs w:val="20"/>
              </w:rPr>
            </w:pPr>
            <w:r>
              <w:rPr>
                <w:sz w:val="20"/>
                <w:szCs w:val="20"/>
              </w:rPr>
              <w:t>+5 %</w:t>
            </w:r>
          </w:p>
        </w:tc>
        <w:tc>
          <w:tcPr>
            <w:tcW w:w="1275" w:type="dxa"/>
          </w:tcPr>
          <w:p w14:paraId="359ADF45" w14:textId="77777777" w:rsidR="00C21929" w:rsidRPr="003C2CBA" w:rsidRDefault="00C21929" w:rsidP="00C8781E">
            <w:pPr>
              <w:spacing w:before="20" w:after="20"/>
              <w:jc w:val="center"/>
              <w:rPr>
                <w:sz w:val="20"/>
                <w:szCs w:val="20"/>
              </w:rPr>
            </w:pPr>
            <w:r>
              <w:rPr>
                <w:sz w:val="20"/>
                <w:szCs w:val="20"/>
              </w:rPr>
              <w:t>-0,6 %</w:t>
            </w:r>
          </w:p>
        </w:tc>
        <w:tc>
          <w:tcPr>
            <w:tcW w:w="284" w:type="dxa"/>
            <w:shd w:val="clear" w:color="auto" w:fill="92D050"/>
          </w:tcPr>
          <w:p w14:paraId="1174363B" w14:textId="77777777" w:rsidR="00C21929" w:rsidRDefault="00C21929" w:rsidP="00C8781E">
            <w:pPr>
              <w:spacing w:before="20" w:after="20"/>
              <w:jc w:val="center"/>
              <w:rPr>
                <w:rFonts w:ascii="Calibri" w:hAnsi="Calibri" w:cs="Calibri"/>
                <w:b/>
                <w:bCs/>
              </w:rPr>
            </w:pPr>
          </w:p>
          <w:p w14:paraId="325138F2" w14:textId="77777777" w:rsidR="00C21929" w:rsidRPr="003C2CBA" w:rsidRDefault="00C21929" w:rsidP="00C8781E">
            <w:pPr>
              <w:spacing w:before="20" w:after="20"/>
              <w:jc w:val="center"/>
              <w:rPr>
                <w:sz w:val="20"/>
                <w:szCs w:val="20"/>
              </w:rPr>
            </w:pPr>
            <w:r w:rsidRPr="00360158">
              <w:rPr>
                <w:rFonts w:ascii="Calibri" w:hAnsi="Calibri" w:cs="Calibri"/>
                <w:b/>
                <w:bCs/>
              </w:rPr>
              <w:sym w:font="Wingdings" w:char="F04A"/>
            </w:r>
          </w:p>
        </w:tc>
        <w:tc>
          <w:tcPr>
            <w:tcW w:w="4201" w:type="dxa"/>
          </w:tcPr>
          <w:p w14:paraId="710268A3" w14:textId="77777777" w:rsidR="00C21929" w:rsidRPr="00C8781E" w:rsidRDefault="00C21929" w:rsidP="005D4067">
            <w:pPr>
              <w:pStyle w:val="Default"/>
              <w:spacing w:before="20" w:after="20"/>
              <w:rPr>
                <w:rFonts w:asciiTheme="minorHAnsi" w:hAnsiTheme="minorHAnsi" w:cstheme="minorHAnsi"/>
                <w:sz w:val="20"/>
                <w:szCs w:val="20"/>
              </w:rPr>
            </w:pPr>
            <w:r w:rsidRPr="00C8781E">
              <w:rPr>
                <w:rFonts w:asciiTheme="minorHAnsi" w:hAnsiTheme="minorHAnsi" w:cstheme="minorHAnsi"/>
                <w:sz w:val="20"/>
                <w:szCs w:val="20"/>
                <w:lang w:val="sl-SI"/>
              </w:rPr>
              <w:t>V letu 2017 so se emisije zmanjšale, v letu 2018 ostajajo na enaki ravni kot leto prej. Trend je stabilen, spremembe počasne, kar kaže na uspešno doseganje cilja.</w:t>
            </w:r>
          </w:p>
        </w:tc>
      </w:tr>
      <w:tr w:rsidR="006A759C" w14:paraId="731651A3" w14:textId="77777777" w:rsidTr="006A759C">
        <w:tc>
          <w:tcPr>
            <w:tcW w:w="1271" w:type="dxa"/>
            <w:shd w:val="clear" w:color="auto" w:fill="00CCFF"/>
          </w:tcPr>
          <w:p w14:paraId="1F8F1B9F" w14:textId="77777777" w:rsidR="00C21929" w:rsidRDefault="00C21929" w:rsidP="000F5EAA">
            <w:pPr>
              <w:spacing w:before="60" w:after="20"/>
              <w:jc w:val="both"/>
              <w:rPr>
                <w:b/>
                <w:bCs/>
                <w:sz w:val="20"/>
                <w:szCs w:val="20"/>
              </w:rPr>
            </w:pPr>
            <w:r>
              <w:rPr>
                <w:b/>
                <w:bCs/>
                <w:sz w:val="20"/>
                <w:szCs w:val="20"/>
              </w:rPr>
              <w:t>Široka raba</w:t>
            </w:r>
          </w:p>
        </w:tc>
        <w:tc>
          <w:tcPr>
            <w:tcW w:w="1990" w:type="dxa"/>
          </w:tcPr>
          <w:p w14:paraId="50235CC1" w14:textId="77777777" w:rsidR="00C21929" w:rsidRPr="003C2CBA" w:rsidRDefault="00C21929" w:rsidP="00C8781E">
            <w:pPr>
              <w:spacing w:before="20" w:after="20"/>
              <w:jc w:val="center"/>
              <w:rPr>
                <w:sz w:val="20"/>
                <w:szCs w:val="20"/>
              </w:rPr>
            </w:pPr>
            <w:r>
              <w:rPr>
                <w:sz w:val="20"/>
                <w:szCs w:val="20"/>
              </w:rPr>
              <w:t>-53 %</w:t>
            </w:r>
          </w:p>
        </w:tc>
        <w:tc>
          <w:tcPr>
            <w:tcW w:w="1275" w:type="dxa"/>
          </w:tcPr>
          <w:p w14:paraId="77AA4894" w14:textId="77777777" w:rsidR="00C21929" w:rsidRPr="003C2CBA" w:rsidRDefault="00C21929" w:rsidP="00C8781E">
            <w:pPr>
              <w:spacing w:before="20" w:after="20"/>
              <w:jc w:val="center"/>
              <w:rPr>
                <w:sz w:val="20"/>
                <w:szCs w:val="20"/>
              </w:rPr>
            </w:pPr>
            <w:r>
              <w:rPr>
                <w:sz w:val="20"/>
                <w:szCs w:val="20"/>
              </w:rPr>
              <w:t>-51,1 %</w:t>
            </w:r>
          </w:p>
        </w:tc>
        <w:tc>
          <w:tcPr>
            <w:tcW w:w="284" w:type="dxa"/>
            <w:shd w:val="clear" w:color="auto" w:fill="92D050"/>
          </w:tcPr>
          <w:p w14:paraId="1173D46F" w14:textId="48A2D465" w:rsidR="00C21929" w:rsidRPr="003C2CBA" w:rsidRDefault="00C21929" w:rsidP="00372A0A">
            <w:pPr>
              <w:spacing w:before="240" w:after="20"/>
              <w:jc w:val="center"/>
              <w:rPr>
                <w:sz w:val="20"/>
                <w:szCs w:val="20"/>
              </w:rPr>
            </w:pPr>
            <w:r w:rsidRPr="00360158">
              <w:rPr>
                <w:rFonts w:ascii="Calibri" w:hAnsi="Calibri" w:cs="Calibri"/>
                <w:b/>
                <w:bCs/>
              </w:rPr>
              <w:sym w:font="Wingdings" w:char="F04A"/>
            </w:r>
          </w:p>
        </w:tc>
        <w:tc>
          <w:tcPr>
            <w:tcW w:w="4201" w:type="dxa"/>
          </w:tcPr>
          <w:p w14:paraId="369E5457" w14:textId="5543CF07" w:rsidR="00C21929" w:rsidRPr="00C8781E" w:rsidRDefault="00892107" w:rsidP="005D4067">
            <w:pPr>
              <w:pStyle w:val="Default"/>
              <w:spacing w:before="20" w:after="20"/>
              <w:rPr>
                <w:rFonts w:asciiTheme="minorHAnsi" w:hAnsiTheme="minorHAnsi" w:cstheme="minorHAnsi"/>
                <w:sz w:val="20"/>
                <w:szCs w:val="20"/>
                <w:lang w:val="sl-SI"/>
              </w:rPr>
            </w:pPr>
            <w:r>
              <w:rPr>
                <w:rFonts w:asciiTheme="minorHAnsi" w:hAnsiTheme="minorHAnsi" w:cstheme="minorHAnsi"/>
                <w:sz w:val="20"/>
                <w:szCs w:val="20"/>
                <w:lang w:val="sl-SI"/>
              </w:rPr>
              <w:t>Emisije se od leta 2016 zmanjšujejo</w:t>
            </w:r>
            <w:r w:rsidR="00F80097" w:rsidRPr="00C8781E">
              <w:rPr>
                <w:rFonts w:asciiTheme="minorHAnsi" w:hAnsiTheme="minorHAnsi" w:cstheme="minorHAnsi"/>
                <w:sz w:val="20"/>
                <w:szCs w:val="20"/>
                <w:lang w:val="sl-SI"/>
              </w:rPr>
              <w:t>. Izpolnjevanje cilja v letu 2020 ostaja nekoliko negotovo.</w:t>
            </w:r>
          </w:p>
        </w:tc>
      </w:tr>
      <w:tr w:rsidR="006A759C" w14:paraId="47D3DC4F" w14:textId="77777777" w:rsidTr="006A759C">
        <w:tc>
          <w:tcPr>
            <w:tcW w:w="1271" w:type="dxa"/>
            <w:shd w:val="clear" w:color="auto" w:fill="00CCFF"/>
          </w:tcPr>
          <w:p w14:paraId="3A46D7B8" w14:textId="77777777" w:rsidR="00C21929" w:rsidRDefault="00C21929" w:rsidP="000F5EAA">
            <w:pPr>
              <w:spacing w:before="60" w:after="20"/>
              <w:jc w:val="both"/>
              <w:rPr>
                <w:b/>
                <w:bCs/>
                <w:sz w:val="20"/>
                <w:szCs w:val="20"/>
              </w:rPr>
            </w:pPr>
            <w:r>
              <w:rPr>
                <w:b/>
                <w:bCs/>
                <w:sz w:val="20"/>
                <w:szCs w:val="20"/>
              </w:rPr>
              <w:t>Industrija ne-ETS</w:t>
            </w:r>
          </w:p>
        </w:tc>
        <w:tc>
          <w:tcPr>
            <w:tcW w:w="1990" w:type="dxa"/>
          </w:tcPr>
          <w:p w14:paraId="4ACE9146" w14:textId="77777777" w:rsidR="00C21929" w:rsidRPr="003C2CBA" w:rsidRDefault="00C21929" w:rsidP="00C8781E">
            <w:pPr>
              <w:spacing w:before="20" w:after="20"/>
              <w:jc w:val="center"/>
              <w:rPr>
                <w:sz w:val="20"/>
                <w:szCs w:val="20"/>
              </w:rPr>
            </w:pPr>
            <w:r>
              <w:rPr>
                <w:sz w:val="20"/>
                <w:szCs w:val="20"/>
              </w:rPr>
              <w:t>-42 %</w:t>
            </w:r>
          </w:p>
        </w:tc>
        <w:tc>
          <w:tcPr>
            <w:tcW w:w="1275" w:type="dxa"/>
          </w:tcPr>
          <w:p w14:paraId="71A805B1" w14:textId="77777777" w:rsidR="00C21929" w:rsidRPr="003C2CBA" w:rsidRDefault="00C21929" w:rsidP="00C8781E">
            <w:pPr>
              <w:spacing w:before="20" w:after="20"/>
              <w:jc w:val="center"/>
              <w:rPr>
                <w:sz w:val="20"/>
                <w:szCs w:val="20"/>
              </w:rPr>
            </w:pPr>
            <w:r>
              <w:rPr>
                <w:sz w:val="20"/>
                <w:szCs w:val="20"/>
              </w:rPr>
              <w:t>-22,5 %</w:t>
            </w:r>
          </w:p>
        </w:tc>
        <w:tc>
          <w:tcPr>
            <w:tcW w:w="284" w:type="dxa"/>
            <w:shd w:val="clear" w:color="auto" w:fill="FF0000"/>
          </w:tcPr>
          <w:p w14:paraId="559BB40C" w14:textId="00933B24" w:rsidR="00C21929" w:rsidRPr="003C2CBA" w:rsidRDefault="00C21929" w:rsidP="00372A0A">
            <w:pPr>
              <w:spacing w:before="240" w:after="20"/>
              <w:jc w:val="center"/>
              <w:rPr>
                <w:sz w:val="20"/>
                <w:szCs w:val="20"/>
              </w:rPr>
            </w:pPr>
            <w:r w:rsidRPr="00360158">
              <w:rPr>
                <w:rFonts w:ascii="Calibri" w:hAnsi="Calibri" w:cs="Calibri"/>
                <w:b/>
                <w:bCs/>
              </w:rPr>
              <w:sym w:font="Wingdings" w:char="F04C"/>
            </w:r>
          </w:p>
        </w:tc>
        <w:tc>
          <w:tcPr>
            <w:tcW w:w="4201" w:type="dxa"/>
          </w:tcPr>
          <w:p w14:paraId="138DF3EF" w14:textId="3CD219C5" w:rsidR="00C21929" w:rsidRPr="00C8781E" w:rsidRDefault="00F80097" w:rsidP="005D4067">
            <w:pPr>
              <w:pStyle w:val="Default"/>
              <w:spacing w:before="20" w:after="20"/>
              <w:rPr>
                <w:rFonts w:asciiTheme="minorHAnsi" w:hAnsiTheme="minorHAnsi" w:cstheme="minorHAnsi"/>
                <w:sz w:val="20"/>
                <w:szCs w:val="20"/>
                <w:lang w:val="sl-SI"/>
              </w:rPr>
            </w:pPr>
            <w:r w:rsidRPr="00C8781E">
              <w:rPr>
                <w:rFonts w:asciiTheme="minorHAnsi" w:hAnsiTheme="minorHAnsi" w:cstheme="minorHAnsi"/>
                <w:sz w:val="20"/>
                <w:szCs w:val="20"/>
                <w:lang w:val="sl-SI"/>
              </w:rPr>
              <w:t>Emisije se od leta 2013 povečujejo. Najbolj so se povečale v letu 2018. Oddaljenost od cilja se povečuje.</w:t>
            </w:r>
          </w:p>
        </w:tc>
      </w:tr>
      <w:tr w:rsidR="006A759C" w14:paraId="68EB5BF4" w14:textId="77777777" w:rsidTr="006A759C">
        <w:tc>
          <w:tcPr>
            <w:tcW w:w="1271" w:type="dxa"/>
            <w:shd w:val="clear" w:color="auto" w:fill="00CCFF"/>
          </w:tcPr>
          <w:p w14:paraId="25B79D4A" w14:textId="77777777" w:rsidR="00C21929" w:rsidRDefault="00C21929" w:rsidP="000F5EAA">
            <w:pPr>
              <w:spacing w:before="60" w:after="20"/>
              <w:jc w:val="both"/>
              <w:rPr>
                <w:b/>
                <w:bCs/>
                <w:sz w:val="20"/>
                <w:szCs w:val="20"/>
              </w:rPr>
            </w:pPr>
            <w:r>
              <w:rPr>
                <w:b/>
                <w:bCs/>
                <w:sz w:val="20"/>
                <w:szCs w:val="20"/>
              </w:rPr>
              <w:t>Energetika ne-ETS</w:t>
            </w:r>
          </w:p>
        </w:tc>
        <w:tc>
          <w:tcPr>
            <w:tcW w:w="1990" w:type="dxa"/>
          </w:tcPr>
          <w:p w14:paraId="1019EA84" w14:textId="77777777" w:rsidR="00C21929" w:rsidRPr="003C2CBA" w:rsidRDefault="00C21929" w:rsidP="00C8781E">
            <w:pPr>
              <w:spacing w:before="20" w:after="20"/>
              <w:jc w:val="center"/>
              <w:rPr>
                <w:sz w:val="20"/>
                <w:szCs w:val="20"/>
              </w:rPr>
            </w:pPr>
            <w:r>
              <w:rPr>
                <w:sz w:val="20"/>
                <w:szCs w:val="20"/>
              </w:rPr>
              <w:t>+6 %</w:t>
            </w:r>
          </w:p>
        </w:tc>
        <w:tc>
          <w:tcPr>
            <w:tcW w:w="1275" w:type="dxa"/>
          </w:tcPr>
          <w:p w14:paraId="4D467A22" w14:textId="77777777" w:rsidR="00C21929" w:rsidRPr="003C2CBA" w:rsidRDefault="00C21929" w:rsidP="00C8781E">
            <w:pPr>
              <w:spacing w:before="20" w:after="20"/>
              <w:jc w:val="center"/>
              <w:rPr>
                <w:sz w:val="20"/>
                <w:szCs w:val="20"/>
              </w:rPr>
            </w:pPr>
            <w:r>
              <w:rPr>
                <w:sz w:val="20"/>
                <w:szCs w:val="20"/>
              </w:rPr>
              <w:t>-12,8 %</w:t>
            </w:r>
          </w:p>
        </w:tc>
        <w:tc>
          <w:tcPr>
            <w:tcW w:w="284" w:type="dxa"/>
            <w:shd w:val="clear" w:color="auto" w:fill="92D050"/>
          </w:tcPr>
          <w:p w14:paraId="53BF0B0D" w14:textId="77777777" w:rsidR="00C21929" w:rsidRPr="003C2CBA" w:rsidRDefault="00C21929" w:rsidP="00372A0A">
            <w:pPr>
              <w:spacing w:before="120" w:after="20"/>
              <w:jc w:val="center"/>
              <w:rPr>
                <w:sz w:val="20"/>
                <w:szCs w:val="20"/>
              </w:rPr>
            </w:pPr>
            <w:r w:rsidRPr="00360158">
              <w:rPr>
                <w:rFonts w:ascii="Calibri" w:hAnsi="Calibri" w:cs="Calibri"/>
                <w:b/>
                <w:bCs/>
              </w:rPr>
              <w:sym w:font="Wingdings" w:char="F04A"/>
            </w:r>
          </w:p>
        </w:tc>
        <w:tc>
          <w:tcPr>
            <w:tcW w:w="4201" w:type="dxa"/>
          </w:tcPr>
          <w:p w14:paraId="2472F345" w14:textId="554DBA73" w:rsidR="00C21929" w:rsidRPr="00C8781E" w:rsidRDefault="00C8781E" w:rsidP="005D4067">
            <w:pPr>
              <w:pStyle w:val="Default"/>
              <w:spacing w:before="20" w:after="20"/>
              <w:rPr>
                <w:rFonts w:asciiTheme="minorHAnsi" w:hAnsiTheme="minorHAnsi" w:cstheme="minorHAnsi"/>
                <w:sz w:val="20"/>
                <w:szCs w:val="20"/>
                <w:lang w:val="sl-SI"/>
              </w:rPr>
            </w:pPr>
            <w:r w:rsidRPr="00C8781E">
              <w:rPr>
                <w:rFonts w:asciiTheme="minorHAnsi" w:hAnsiTheme="minorHAnsi" w:cstheme="minorHAnsi"/>
                <w:sz w:val="20"/>
                <w:szCs w:val="20"/>
                <w:lang w:val="sl-SI"/>
              </w:rPr>
              <w:t>Emisije se od leta 2014 povečujejo. Cilj v letu 2020 je dosegljiv.</w:t>
            </w:r>
          </w:p>
        </w:tc>
      </w:tr>
      <w:tr w:rsidR="006A759C" w14:paraId="5F9A1ABD" w14:textId="77777777" w:rsidTr="006A759C">
        <w:tc>
          <w:tcPr>
            <w:tcW w:w="1271" w:type="dxa"/>
            <w:shd w:val="clear" w:color="auto" w:fill="00CCFF"/>
          </w:tcPr>
          <w:p w14:paraId="2833A132" w14:textId="77777777" w:rsidR="00C21929" w:rsidRDefault="00C21929" w:rsidP="000F5EAA">
            <w:pPr>
              <w:spacing w:before="60" w:after="20"/>
              <w:jc w:val="both"/>
              <w:rPr>
                <w:b/>
                <w:bCs/>
                <w:sz w:val="20"/>
                <w:szCs w:val="20"/>
              </w:rPr>
            </w:pPr>
            <w:r>
              <w:rPr>
                <w:b/>
                <w:bCs/>
                <w:sz w:val="20"/>
                <w:szCs w:val="20"/>
              </w:rPr>
              <w:t>Odpadki</w:t>
            </w:r>
          </w:p>
        </w:tc>
        <w:tc>
          <w:tcPr>
            <w:tcW w:w="1990" w:type="dxa"/>
          </w:tcPr>
          <w:p w14:paraId="5FBBB0D0" w14:textId="77777777" w:rsidR="00C21929" w:rsidRPr="003C2CBA" w:rsidRDefault="00C21929" w:rsidP="00C8781E">
            <w:pPr>
              <w:spacing w:before="20" w:after="20"/>
              <w:jc w:val="center"/>
              <w:rPr>
                <w:sz w:val="20"/>
                <w:szCs w:val="20"/>
              </w:rPr>
            </w:pPr>
            <w:r>
              <w:rPr>
                <w:sz w:val="20"/>
                <w:szCs w:val="20"/>
              </w:rPr>
              <w:t>-44 %</w:t>
            </w:r>
          </w:p>
        </w:tc>
        <w:tc>
          <w:tcPr>
            <w:tcW w:w="1275" w:type="dxa"/>
          </w:tcPr>
          <w:p w14:paraId="3E7AF780" w14:textId="77777777" w:rsidR="00C21929" w:rsidRPr="003C2CBA" w:rsidRDefault="00C21929" w:rsidP="00C8781E">
            <w:pPr>
              <w:spacing w:before="20" w:after="20"/>
              <w:jc w:val="center"/>
              <w:rPr>
                <w:sz w:val="20"/>
                <w:szCs w:val="20"/>
              </w:rPr>
            </w:pPr>
            <w:r>
              <w:rPr>
                <w:sz w:val="20"/>
                <w:szCs w:val="20"/>
              </w:rPr>
              <w:t>-40,4 %</w:t>
            </w:r>
          </w:p>
        </w:tc>
        <w:tc>
          <w:tcPr>
            <w:tcW w:w="284" w:type="dxa"/>
            <w:shd w:val="clear" w:color="auto" w:fill="92D050"/>
          </w:tcPr>
          <w:p w14:paraId="5618DAAF" w14:textId="77777777" w:rsidR="00C21929" w:rsidRPr="003C2CBA" w:rsidRDefault="00C21929" w:rsidP="00372A0A">
            <w:pPr>
              <w:spacing w:before="120" w:after="20"/>
              <w:jc w:val="center"/>
              <w:rPr>
                <w:sz w:val="20"/>
                <w:szCs w:val="20"/>
              </w:rPr>
            </w:pPr>
            <w:r w:rsidRPr="00360158">
              <w:rPr>
                <w:rFonts w:ascii="Calibri" w:hAnsi="Calibri" w:cs="Calibri"/>
                <w:b/>
                <w:bCs/>
              </w:rPr>
              <w:sym w:font="Wingdings" w:char="F04A"/>
            </w:r>
          </w:p>
        </w:tc>
        <w:tc>
          <w:tcPr>
            <w:tcW w:w="4201" w:type="dxa"/>
          </w:tcPr>
          <w:p w14:paraId="5D6AA71E" w14:textId="21F6B7E1" w:rsidR="00C21929" w:rsidRPr="00C8781E" w:rsidRDefault="00C8781E" w:rsidP="005D4067">
            <w:pPr>
              <w:pStyle w:val="Default"/>
              <w:spacing w:before="20" w:after="20"/>
              <w:rPr>
                <w:rFonts w:asciiTheme="minorHAnsi" w:hAnsiTheme="minorHAnsi" w:cstheme="minorHAnsi"/>
                <w:sz w:val="20"/>
                <w:szCs w:val="20"/>
                <w:lang w:val="sl-SI"/>
              </w:rPr>
            </w:pPr>
            <w:r w:rsidRPr="00C8781E">
              <w:rPr>
                <w:rFonts w:asciiTheme="minorHAnsi" w:hAnsiTheme="minorHAnsi" w:cstheme="minorHAnsi"/>
                <w:sz w:val="20"/>
                <w:szCs w:val="20"/>
                <w:lang w:val="sl-SI"/>
              </w:rPr>
              <w:t>Emisije se od leta 2016 zmanjšujejo. Cilj v letu 2020 je dosegljiv.</w:t>
            </w:r>
          </w:p>
        </w:tc>
      </w:tr>
      <w:tr w:rsidR="006A759C" w14:paraId="4C0024DD" w14:textId="77777777" w:rsidTr="006A759C">
        <w:tc>
          <w:tcPr>
            <w:tcW w:w="1271" w:type="dxa"/>
            <w:shd w:val="clear" w:color="auto" w:fill="00CCFF"/>
          </w:tcPr>
          <w:p w14:paraId="3600B3A1" w14:textId="77777777" w:rsidR="00C21929" w:rsidRPr="000F5EAA" w:rsidRDefault="00C21929" w:rsidP="000F5EAA">
            <w:pPr>
              <w:spacing w:before="60" w:after="20"/>
              <w:jc w:val="both"/>
              <w:rPr>
                <w:b/>
                <w:bCs/>
              </w:rPr>
            </w:pPr>
            <w:r w:rsidRPr="000F5EAA">
              <w:rPr>
                <w:b/>
                <w:bCs/>
              </w:rPr>
              <w:t>SKUPAJ</w:t>
            </w:r>
          </w:p>
        </w:tc>
        <w:tc>
          <w:tcPr>
            <w:tcW w:w="1990" w:type="dxa"/>
          </w:tcPr>
          <w:p w14:paraId="53F801B3" w14:textId="77777777" w:rsidR="00C21929" w:rsidRPr="003C2CBA" w:rsidRDefault="00C21929" w:rsidP="00C8781E">
            <w:pPr>
              <w:spacing w:before="20" w:after="20"/>
              <w:jc w:val="center"/>
              <w:rPr>
                <w:b/>
                <w:bCs/>
                <w:sz w:val="20"/>
                <w:szCs w:val="20"/>
              </w:rPr>
            </w:pPr>
            <w:r w:rsidRPr="003C2CBA">
              <w:rPr>
                <w:b/>
                <w:bCs/>
                <w:sz w:val="20"/>
                <w:szCs w:val="20"/>
              </w:rPr>
              <w:t>+4 %</w:t>
            </w:r>
          </w:p>
        </w:tc>
        <w:tc>
          <w:tcPr>
            <w:tcW w:w="1275" w:type="dxa"/>
          </w:tcPr>
          <w:p w14:paraId="6C66248A" w14:textId="77777777" w:rsidR="00C21929" w:rsidRPr="003C2CBA" w:rsidRDefault="00C21929" w:rsidP="00C8781E">
            <w:pPr>
              <w:spacing w:before="20" w:after="20"/>
              <w:jc w:val="center"/>
              <w:rPr>
                <w:b/>
                <w:bCs/>
                <w:sz w:val="20"/>
                <w:szCs w:val="20"/>
              </w:rPr>
            </w:pPr>
            <w:r>
              <w:rPr>
                <w:b/>
                <w:bCs/>
                <w:sz w:val="20"/>
                <w:szCs w:val="20"/>
              </w:rPr>
              <w:t>-5,9 %</w:t>
            </w:r>
          </w:p>
        </w:tc>
        <w:tc>
          <w:tcPr>
            <w:tcW w:w="284" w:type="dxa"/>
            <w:shd w:val="clear" w:color="auto" w:fill="92D050"/>
          </w:tcPr>
          <w:p w14:paraId="2594AD48" w14:textId="77777777" w:rsidR="00C21929" w:rsidRPr="00C27008" w:rsidRDefault="00C21929" w:rsidP="005E7878">
            <w:pPr>
              <w:spacing w:before="80" w:after="20"/>
              <w:rPr>
                <w:sz w:val="36"/>
                <w:szCs w:val="36"/>
              </w:rPr>
            </w:pPr>
            <w:r w:rsidRPr="00C27008">
              <w:rPr>
                <w:rFonts w:ascii="Calibri" w:hAnsi="Calibri" w:cs="Calibri"/>
                <w:b/>
                <w:bCs/>
                <w:sz w:val="36"/>
                <w:szCs w:val="36"/>
              </w:rPr>
              <w:sym w:font="Wingdings" w:char="F04A"/>
            </w:r>
          </w:p>
        </w:tc>
        <w:tc>
          <w:tcPr>
            <w:tcW w:w="4201" w:type="dxa"/>
          </w:tcPr>
          <w:p w14:paraId="53C87367" w14:textId="4FFBEABC" w:rsidR="00C21929" w:rsidRPr="003C2CBA" w:rsidRDefault="00C21929" w:rsidP="005D4067">
            <w:pPr>
              <w:spacing w:before="20" w:after="20"/>
              <w:rPr>
                <w:sz w:val="20"/>
                <w:szCs w:val="20"/>
              </w:rPr>
            </w:pPr>
            <w:r>
              <w:rPr>
                <w:sz w:val="20"/>
                <w:szCs w:val="20"/>
              </w:rPr>
              <w:t xml:space="preserve">Zmanjševanje emisij kaže na </w:t>
            </w:r>
            <w:r w:rsidRPr="00E018F6">
              <w:rPr>
                <w:b/>
                <w:bCs/>
                <w:sz w:val="20"/>
                <w:szCs w:val="20"/>
              </w:rPr>
              <w:t>uspešno doseganje cilja</w:t>
            </w:r>
            <w:r w:rsidR="00067578">
              <w:rPr>
                <w:b/>
                <w:bCs/>
                <w:sz w:val="20"/>
                <w:szCs w:val="20"/>
              </w:rPr>
              <w:t xml:space="preserve"> v letu 2020</w:t>
            </w:r>
            <w:r w:rsidRPr="00E018F6">
              <w:rPr>
                <w:b/>
                <w:bCs/>
                <w:sz w:val="20"/>
                <w:szCs w:val="20"/>
              </w:rPr>
              <w:t>.</w:t>
            </w:r>
          </w:p>
        </w:tc>
      </w:tr>
    </w:tbl>
    <w:p w14:paraId="3C930216" w14:textId="77777777" w:rsidR="00C21929" w:rsidRDefault="00C21929" w:rsidP="00C21929">
      <w:pPr>
        <w:spacing w:after="0" w:line="240" w:lineRule="auto"/>
        <w:jc w:val="both"/>
        <w:rPr>
          <w:b/>
          <w:bCs/>
          <w:sz w:val="20"/>
          <w:szCs w:val="20"/>
        </w:rPr>
      </w:pPr>
    </w:p>
    <w:p w14:paraId="583987D6" w14:textId="77777777" w:rsidR="00C21929" w:rsidRPr="00472C4D" w:rsidRDefault="00C21929" w:rsidP="008B355C">
      <w:pPr>
        <w:spacing w:after="0" w:line="240" w:lineRule="auto"/>
        <w:jc w:val="both"/>
        <w:rPr>
          <w:rFonts w:ascii="Calibri" w:hAnsi="Calibri" w:cs="Calibri"/>
          <w:b/>
          <w:bCs/>
          <w:sz w:val="26"/>
          <w:szCs w:val="26"/>
        </w:rPr>
      </w:pPr>
    </w:p>
    <w:p w14:paraId="3E12DECE" w14:textId="77777777" w:rsidR="00636AAF" w:rsidRPr="00472C4D" w:rsidRDefault="00636AAF" w:rsidP="008B355C">
      <w:pPr>
        <w:spacing w:after="0" w:line="240" w:lineRule="auto"/>
        <w:jc w:val="both"/>
        <w:rPr>
          <w:rFonts w:ascii="Calibri" w:hAnsi="Calibri" w:cs="Calibri"/>
          <w:b/>
          <w:bCs/>
          <w:sz w:val="24"/>
          <w:szCs w:val="24"/>
        </w:rPr>
      </w:pPr>
      <w:r w:rsidRPr="00472C4D">
        <w:rPr>
          <w:rFonts w:ascii="Calibri" w:hAnsi="Calibri" w:cs="Calibri"/>
          <w:b/>
          <w:bCs/>
          <w:sz w:val="24"/>
          <w:szCs w:val="24"/>
        </w:rPr>
        <w:t>2.1 Doseganje ciljev po Odločbi 406/2009/ES</w:t>
      </w:r>
    </w:p>
    <w:p w14:paraId="74FA505C" w14:textId="77777777" w:rsidR="00636AAF" w:rsidRPr="00472C4D" w:rsidRDefault="00636AAF" w:rsidP="008B355C">
      <w:pPr>
        <w:spacing w:after="0" w:line="240" w:lineRule="auto"/>
        <w:jc w:val="both"/>
        <w:rPr>
          <w:rFonts w:ascii="Calibri" w:hAnsi="Calibri" w:cs="Calibri"/>
        </w:rPr>
      </w:pPr>
    </w:p>
    <w:p w14:paraId="41E9DD39" w14:textId="3980064D" w:rsidR="00636AAF" w:rsidRPr="00472C4D" w:rsidRDefault="009E7208" w:rsidP="008B355C">
      <w:pPr>
        <w:spacing w:after="0" w:line="240" w:lineRule="auto"/>
        <w:jc w:val="both"/>
        <w:rPr>
          <w:rFonts w:ascii="Calibri" w:hAnsi="Calibri" w:cs="Calibri"/>
        </w:rPr>
      </w:pPr>
      <w:r w:rsidRPr="00472C4D">
        <w:rPr>
          <w:rFonts w:ascii="Calibri" w:hAnsi="Calibri" w:cs="Calibri"/>
        </w:rPr>
        <w:t>Odločba 406/2009/ES Slovenijo obvezuje, da do leta 2020 (glede na leto 2005) emisij toplogrednih plinov iz ne</w:t>
      </w:r>
      <w:r w:rsidR="00FD0193">
        <w:rPr>
          <w:rFonts w:ascii="Calibri" w:hAnsi="Calibri" w:cs="Calibri"/>
        </w:rPr>
        <w:t>-</w:t>
      </w:r>
      <w:r w:rsidRPr="00472C4D">
        <w:rPr>
          <w:rFonts w:ascii="Calibri" w:hAnsi="Calibri" w:cs="Calibri"/>
        </w:rPr>
        <w:t>ETS sektorjev ne bo povečala za več kot 4</w:t>
      </w:r>
      <w:r w:rsidR="008D0C92">
        <w:rPr>
          <w:rFonts w:ascii="Calibri" w:hAnsi="Calibri" w:cs="Calibri"/>
        </w:rPr>
        <w:t xml:space="preserve"> </w:t>
      </w:r>
      <w:r w:rsidRPr="00472C4D">
        <w:rPr>
          <w:rFonts w:ascii="Calibri" w:hAnsi="Calibri" w:cs="Calibri"/>
        </w:rPr>
        <w:t xml:space="preserve">%. </w:t>
      </w:r>
      <w:r w:rsidR="007538FC">
        <w:rPr>
          <w:rFonts w:ascii="Calibri" w:hAnsi="Calibri" w:cs="Calibri"/>
        </w:rPr>
        <w:t xml:space="preserve">Omenjena odločba določa najmanjši prispevek držav članic za doseganje zaveze zmanjšanja emisij toplogrednih plinov v obdobju 2013 – 2020. </w:t>
      </w:r>
      <w:r w:rsidR="00EA2F6A" w:rsidRPr="00472C4D">
        <w:rPr>
          <w:rFonts w:ascii="Calibri" w:hAnsi="Calibri" w:cs="Calibri"/>
        </w:rPr>
        <w:t>Leta 2013 je ciljna vrednost znašala 12.324 kt CO</w:t>
      </w:r>
      <w:r w:rsidR="00EA2F6A" w:rsidRPr="00472C4D">
        <w:rPr>
          <w:rFonts w:ascii="Calibri" w:hAnsi="Calibri" w:cs="Calibri"/>
          <w:vertAlign w:val="subscript"/>
        </w:rPr>
        <w:t>2</w:t>
      </w:r>
      <w:r w:rsidR="00EA2F6A" w:rsidRPr="00472C4D">
        <w:rPr>
          <w:rFonts w:ascii="Calibri" w:hAnsi="Calibri" w:cs="Calibri"/>
        </w:rPr>
        <w:t xml:space="preserve"> ekv, za leto 2020 pa</w:t>
      </w:r>
      <w:r w:rsidR="00F4221C">
        <w:rPr>
          <w:rFonts w:ascii="Calibri" w:hAnsi="Calibri" w:cs="Calibri"/>
        </w:rPr>
        <w:t xml:space="preserve"> znaša</w:t>
      </w:r>
      <w:r w:rsidR="00EA2F6A" w:rsidRPr="00472C4D">
        <w:rPr>
          <w:rFonts w:ascii="Calibri" w:hAnsi="Calibri" w:cs="Calibri"/>
        </w:rPr>
        <w:t xml:space="preserve"> 12.</w:t>
      </w:r>
      <w:r w:rsidR="000708ED">
        <w:rPr>
          <w:rFonts w:ascii="Calibri" w:hAnsi="Calibri" w:cs="Calibri"/>
        </w:rPr>
        <w:t>307</w:t>
      </w:r>
      <w:r w:rsidR="00EA2F6A" w:rsidRPr="00472C4D">
        <w:rPr>
          <w:rFonts w:ascii="Calibri" w:hAnsi="Calibri" w:cs="Calibri"/>
        </w:rPr>
        <w:t xml:space="preserve"> kt CO</w:t>
      </w:r>
      <w:r w:rsidR="00EA2F6A" w:rsidRPr="00472C4D">
        <w:rPr>
          <w:rFonts w:ascii="Calibri" w:hAnsi="Calibri" w:cs="Calibri"/>
          <w:vertAlign w:val="subscript"/>
        </w:rPr>
        <w:t>2</w:t>
      </w:r>
      <w:r w:rsidR="00EA2F6A" w:rsidRPr="00472C4D">
        <w:rPr>
          <w:rFonts w:ascii="Calibri" w:hAnsi="Calibri" w:cs="Calibri"/>
        </w:rPr>
        <w:t xml:space="preserve"> ekv</w:t>
      </w:r>
      <w:r w:rsidR="002564A0" w:rsidRPr="00472C4D">
        <w:rPr>
          <w:rStyle w:val="Sprotnaopomba-sklic"/>
          <w:rFonts w:ascii="Calibri" w:hAnsi="Calibri" w:cs="Calibri"/>
        </w:rPr>
        <w:footnoteReference w:id="6"/>
      </w:r>
      <w:r w:rsidR="00EA2F6A" w:rsidRPr="00472C4D">
        <w:rPr>
          <w:rFonts w:ascii="Calibri" w:hAnsi="Calibri" w:cs="Calibri"/>
        </w:rPr>
        <w:t xml:space="preserve">. Cilji za vmesna leta sledijo linearnemu povečanju med tema letoma. </w:t>
      </w:r>
      <w:r w:rsidR="004F4154" w:rsidRPr="00472C4D">
        <w:rPr>
          <w:rFonts w:ascii="Calibri" w:hAnsi="Calibri" w:cs="Calibri"/>
        </w:rPr>
        <w:t xml:space="preserve"> </w:t>
      </w:r>
    </w:p>
    <w:p w14:paraId="43D89AAA" w14:textId="77777777" w:rsidR="00C36C31" w:rsidRPr="00472C4D" w:rsidRDefault="00C36C31" w:rsidP="008B355C">
      <w:pPr>
        <w:spacing w:after="0" w:line="240" w:lineRule="auto"/>
        <w:jc w:val="both"/>
        <w:rPr>
          <w:rFonts w:ascii="Calibri" w:hAnsi="Calibri" w:cs="Calibri"/>
        </w:rPr>
      </w:pPr>
    </w:p>
    <w:p w14:paraId="67B2461F" w14:textId="047015D8" w:rsidR="00521EB1" w:rsidRPr="00472C4D" w:rsidRDefault="00F525E9" w:rsidP="008B355C">
      <w:pPr>
        <w:spacing w:after="0" w:line="240" w:lineRule="auto"/>
        <w:jc w:val="both"/>
        <w:rPr>
          <w:rFonts w:ascii="Calibri" w:hAnsi="Calibri" w:cs="Calibri"/>
        </w:rPr>
      </w:pPr>
      <w:r>
        <w:rPr>
          <w:rFonts w:ascii="Calibri" w:hAnsi="Calibri" w:cs="Calibri"/>
        </w:rPr>
        <w:t>V</w:t>
      </w:r>
      <w:r w:rsidRPr="00472C4D">
        <w:rPr>
          <w:rFonts w:ascii="Calibri" w:hAnsi="Calibri" w:cs="Calibri"/>
        </w:rPr>
        <w:t xml:space="preserve"> let</w:t>
      </w:r>
      <w:r w:rsidR="00A555D6">
        <w:rPr>
          <w:rFonts w:ascii="Calibri" w:hAnsi="Calibri" w:cs="Calibri"/>
        </w:rPr>
        <w:t>ih</w:t>
      </w:r>
      <w:r w:rsidRPr="00472C4D">
        <w:rPr>
          <w:rFonts w:ascii="Calibri" w:hAnsi="Calibri" w:cs="Calibri"/>
        </w:rPr>
        <w:t xml:space="preserve"> 2017</w:t>
      </w:r>
      <w:r w:rsidR="00A555D6">
        <w:rPr>
          <w:rFonts w:ascii="Calibri" w:hAnsi="Calibri" w:cs="Calibri"/>
        </w:rPr>
        <w:t xml:space="preserve"> in 2018</w:t>
      </w:r>
      <w:r w:rsidRPr="00472C4D">
        <w:rPr>
          <w:rFonts w:ascii="Calibri" w:hAnsi="Calibri" w:cs="Calibri"/>
        </w:rPr>
        <w:t xml:space="preserve"> </w:t>
      </w:r>
      <w:r>
        <w:rPr>
          <w:rFonts w:ascii="Calibri" w:hAnsi="Calibri" w:cs="Calibri"/>
        </w:rPr>
        <w:t xml:space="preserve">je </w:t>
      </w:r>
      <w:r w:rsidRPr="00472C4D">
        <w:rPr>
          <w:rFonts w:ascii="Calibri" w:hAnsi="Calibri" w:cs="Calibri"/>
        </w:rPr>
        <w:t>Slovenija</w:t>
      </w:r>
      <w:r w:rsidR="00A555D6">
        <w:rPr>
          <w:rFonts w:ascii="Calibri" w:hAnsi="Calibri" w:cs="Calibri"/>
        </w:rPr>
        <w:t xml:space="preserve"> letna</w:t>
      </w:r>
      <w:r w:rsidRPr="00472C4D">
        <w:rPr>
          <w:rFonts w:ascii="Calibri" w:hAnsi="Calibri" w:cs="Calibri"/>
        </w:rPr>
        <w:t xml:space="preserve"> cilj</w:t>
      </w:r>
      <w:r w:rsidR="00A555D6">
        <w:rPr>
          <w:rFonts w:ascii="Calibri" w:hAnsi="Calibri" w:cs="Calibri"/>
        </w:rPr>
        <w:t>a</w:t>
      </w:r>
      <w:r w:rsidRPr="00472C4D">
        <w:rPr>
          <w:rFonts w:ascii="Calibri" w:hAnsi="Calibri" w:cs="Calibri"/>
        </w:rPr>
        <w:t xml:space="preserve"> emisij toplogrednih plinov</w:t>
      </w:r>
      <w:r>
        <w:rPr>
          <w:rFonts w:ascii="Calibri" w:hAnsi="Calibri" w:cs="Calibri"/>
        </w:rPr>
        <w:t xml:space="preserve"> dosegla</w:t>
      </w:r>
      <w:r w:rsidR="004A6EBB">
        <w:rPr>
          <w:rFonts w:ascii="Calibri" w:hAnsi="Calibri" w:cs="Calibri"/>
        </w:rPr>
        <w:t xml:space="preserve"> - </w:t>
      </w:r>
      <w:r w:rsidRPr="00472C4D">
        <w:rPr>
          <w:rFonts w:ascii="Calibri" w:hAnsi="Calibri" w:cs="Calibri"/>
        </w:rPr>
        <w:t>emisije iz ne</w:t>
      </w:r>
      <w:r>
        <w:rPr>
          <w:rFonts w:ascii="Calibri" w:hAnsi="Calibri" w:cs="Calibri"/>
        </w:rPr>
        <w:t>-</w:t>
      </w:r>
      <w:r w:rsidRPr="00472C4D">
        <w:rPr>
          <w:rFonts w:ascii="Calibri" w:hAnsi="Calibri" w:cs="Calibri"/>
        </w:rPr>
        <w:t xml:space="preserve">ETS sektorjev </w:t>
      </w:r>
      <w:r w:rsidR="004A6EBB">
        <w:rPr>
          <w:rFonts w:ascii="Calibri" w:hAnsi="Calibri" w:cs="Calibri"/>
        </w:rPr>
        <w:t xml:space="preserve">so bile v letu 2017 </w:t>
      </w:r>
      <w:r w:rsidR="00796918">
        <w:rPr>
          <w:rFonts w:ascii="Calibri" w:hAnsi="Calibri" w:cs="Calibri"/>
        </w:rPr>
        <w:t>za 11</w:t>
      </w:r>
      <w:r w:rsidRPr="00472C4D">
        <w:rPr>
          <w:rFonts w:ascii="Calibri" w:hAnsi="Calibri" w:cs="Calibri"/>
        </w:rPr>
        <w:t>,</w:t>
      </w:r>
      <w:r w:rsidR="00796918">
        <w:rPr>
          <w:rFonts w:ascii="Calibri" w:hAnsi="Calibri" w:cs="Calibri"/>
        </w:rPr>
        <w:t>5</w:t>
      </w:r>
      <w:r>
        <w:rPr>
          <w:rFonts w:ascii="Calibri" w:hAnsi="Calibri" w:cs="Calibri"/>
        </w:rPr>
        <w:t xml:space="preserve"> </w:t>
      </w:r>
      <w:r w:rsidRPr="00472C4D">
        <w:rPr>
          <w:rFonts w:ascii="Calibri" w:hAnsi="Calibri" w:cs="Calibri"/>
        </w:rPr>
        <w:t>% nižje od letnega cilja</w:t>
      </w:r>
      <w:r w:rsidR="004A6EBB">
        <w:rPr>
          <w:rFonts w:ascii="Calibri" w:hAnsi="Calibri" w:cs="Calibri"/>
        </w:rPr>
        <w:t xml:space="preserve">, </w:t>
      </w:r>
      <w:r w:rsidR="00360811">
        <w:rPr>
          <w:rFonts w:ascii="Calibri" w:hAnsi="Calibri" w:cs="Calibri"/>
        </w:rPr>
        <w:t>v letu</w:t>
      </w:r>
      <w:r>
        <w:rPr>
          <w:rFonts w:ascii="Calibri" w:hAnsi="Calibri" w:cs="Calibri"/>
        </w:rPr>
        <w:t xml:space="preserve"> 2018 za 10</w:t>
      </w:r>
      <w:r w:rsidR="00C64596">
        <w:rPr>
          <w:rFonts w:ascii="Calibri" w:hAnsi="Calibri" w:cs="Calibri"/>
        </w:rPr>
        <w:t>,0</w:t>
      </w:r>
      <w:r w:rsidR="00F32AF0">
        <w:rPr>
          <w:rFonts w:ascii="Calibri" w:hAnsi="Calibri" w:cs="Calibri"/>
        </w:rPr>
        <w:t xml:space="preserve"> </w:t>
      </w:r>
      <w:r>
        <w:rPr>
          <w:rFonts w:ascii="Calibri" w:hAnsi="Calibri" w:cs="Calibri"/>
        </w:rPr>
        <w:t>%.</w:t>
      </w:r>
      <w:r w:rsidR="004A6EBB">
        <w:rPr>
          <w:rFonts w:ascii="Calibri" w:hAnsi="Calibri" w:cs="Calibri"/>
        </w:rPr>
        <w:t xml:space="preserve"> </w:t>
      </w:r>
      <w:r w:rsidR="00615DC3" w:rsidRPr="00472C4D">
        <w:rPr>
          <w:rFonts w:ascii="Calibri" w:hAnsi="Calibri" w:cs="Calibri"/>
        </w:rPr>
        <w:t xml:space="preserve">V primerjavi z letoma 2015 in 2016, ko so emisije naraščale, so se emisije v letu 2017 zmanjšale za </w:t>
      </w:r>
      <w:r w:rsidR="00981DF5">
        <w:rPr>
          <w:rFonts w:ascii="Calibri" w:hAnsi="Calibri" w:cs="Calibri"/>
        </w:rPr>
        <w:t>3</w:t>
      </w:r>
      <w:r w:rsidR="00615DC3">
        <w:rPr>
          <w:rFonts w:ascii="Calibri" w:hAnsi="Calibri" w:cs="Calibri"/>
        </w:rPr>
        <w:t xml:space="preserve"> %. V letu 2018 so se emisije ponovno povečale, in sicer za 2 %</w:t>
      </w:r>
      <w:r w:rsidR="005A091D">
        <w:rPr>
          <w:rFonts w:ascii="Calibri" w:hAnsi="Calibri" w:cs="Calibri"/>
        </w:rPr>
        <w:t xml:space="preserve"> (Slika 1)</w:t>
      </w:r>
      <w:r w:rsidR="00615DC3">
        <w:rPr>
          <w:rFonts w:ascii="Calibri" w:hAnsi="Calibri" w:cs="Calibri"/>
        </w:rPr>
        <w:t>.</w:t>
      </w:r>
    </w:p>
    <w:p w14:paraId="3D38EF59" w14:textId="77777777" w:rsidR="00521EB1" w:rsidRPr="00472C4D" w:rsidRDefault="00521EB1" w:rsidP="008B355C">
      <w:pPr>
        <w:spacing w:after="0" w:line="240" w:lineRule="auto"/>
        <w:jc w:val="both"/>
        <w:rPr>
          <w:rFonts w:ascii="Calibri" w:hAnsi="Calibri" w:cs="Calibri"/>
        </w:rPr>
      </w:pPr>
    </w:p>
    <w:p w14:paraId="4C430C3D" w14:textId="122078E3" w:rsidR="00EA2F6A" w:rsidRPr="00472C4D" w:rsidRDefault="008D5AFF" w:rsidP="00D20161">
      <w:pPr>
        <w:spacing w:after="0" w:line="240" w:lineRule="auto"/>
        <w:jc w:val="center"/>
        <w:rPr>
          <w:rFonts w:ascii="Calibri" w:hAnsi="Calibri" w:cs="Calibri"/>
        </w:rPr>
      </w:pPr>
      <w:r>
        <w:rPr>
          <w:rFonts w:ascii="Calibri" w:hAnsi="Calibri" w:cs="Calibri"/>
          <w:noProof/>
          <w:lang w:eastAsia="sl-SI"/>
        </w:rPr>
        <w:drawing>
          <wp:inline distT="0" distB="0" distL="0" distR="0" wp14:anchorId="02CA6633" wp14:editId="2657A2C7">
            <wp:extent cx="4295955" cy="3034202"/>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4298435" cy="3035954"/>
                    </a:xfrm>
                    <a:prstGeom prst="rect">
                      <a:avLst/>
                    </a:prstGeom>
                  </pic:spPr>
                </pic:pic>
              </a:graphicData>
            </a:graphic>
          </wp:inline>
        </w:drawing>
      </w:r>
    </w:p>
    <w:p w14:paraId="43395102" w14:textId="77777777" w:rsidR="00D20161" w:rsidRPr="00472C4D" w:rsidRDefault="00D20161" w:rsidP="00D20161">
      <w:pPr>
        <w:spacing w:after="0" w:line="240" w:lineRule="auto"/>
        <w:jc w:val="center"/>
        <w:rPr>
          <w:rFonts w:ascii="Calibri" w:hAnsi="Calibri" w:cs="Calibri"/>
        </w:rPr>
      </w:pPr>
    </w:p>
    <w:p w14:paraId="08E59332" w14:textId="42A8BF84" w:rsidR="00D20161" w:rsidRPr="00472C4D" w:rsidRDefault="00D20161" w:rsidP="008B355C">
      <w:pPr>
        <w:spacing w:after="0" w:line="240" w:lineRule="auto"/>
        <w:jc w:val="both"/>
        <w:rPr>
          <w:rFonts w:ascii="Calibri" w:hAnsi="Calibri" w:cs="Calibri"/>
          <w:b/>
          <w:bCs/>
          <w:sz w:val="20"/>
          <w:szCs w:val="20"/>
        </w:rPr>
      </w:pPr>
      <w:r w:rsidRPr="00472C4D">
        <w:rPr>
          <w:rFonts w:ascii="Calibri" w:hAnsi="Calibri" w:cs="Calibri"/>
          <w:b/>
          <w:bCs/>
          <w:sz w:val="20"/>
          <w:szCs w:val="20"/>
        </w:rPr>
        <w:t xml:space="preserve">Slika 1: </w:t>
      </w:r>
      <w:r w:rsidR="008D5AFF" w:rsidRPr="008D5AFF">
        <w:rPr>
          <w:b/>
          <w:bCs/>
          <w:sz w:val="20"/>
          <w:szCs w:val="20"/>
        </w:rPr>
        <w:t>Gibanje emisij ne</w:t>
      </w:r>
      <w:r w:rsidR="005A091D">
        <w:rPr>
          <w:b/>
          <w:bCs/>
          <w:sz w:val="20"/>
          <w:szCs w:val="20"/>
        </w:rPr>
        <w:t>-</w:t>
      </w:r>
      <w:r w:rsidR="008D5AFF" w:rsidRPr="008D5AFF">
        <w:rPr>
          <w:b/>
          <w:bCs/>
          <w:sz w:val="20"/>
          <w:szCs w:val="20"/>
        </w:rPr>
        <w:t>ETS v obdobju 2005−2018 v primerjavi s ciljnimi emisijami v obdobju 2013−2020. Prikazan je indeks rasti, preračunan glede na emisije v letu 2005 (Vir: IJS-CEU)</w:t>
      </w:r>
    </w:p>
    <w:p w14:paraId="16D66545" w14:textId="77777777" w:rsidR="00C36C31" w:rsidRPr="00472C4D" w:rsidRDefault="00D20161" w:rsidP="008B355C">
      <w:pPr>
        <w:spacing w:after="0" w:line="240" w:lineRule="auto"/>
        <w:jc w:val="both"/>
        <w:rPr>
          <w:rFonts w:ascii="Calibri" w:hAnsi="Calibri" w:cs="Calibri"/>
        </w:rPr>
      </w:pPr>
      <w:r w:rsidRPr="00472C4D">
        <w:rPr>
          <w:rFonts w:ascii="Calibri" w:hAnsi="Calibri" w:cs="Calibri"/>
          <w:b/>
          <w:bCs/>
          <w:sz w:val="20"/>
          <w:szCs w:val="20"/>
        </w:rPr>
        <w:t xml:space="preserve"> </w:t>
      </w:r>
    </w:p>
    <w:p w14:paraId="16AFCB5B" w14:textId="77777777" w:rsidR="00542926" w:rsidRPr="00472C4D" w:rsidRDefault="00542926" w:rsidP="008B355C">
      <w:pPr>
        <w:spacing w:after="0" w:line="240" w:lineRule="auto"/>
        <w:jc w:val="both"/>
        <w:rPr>
          <w:rFonts w:ascii="Calibri" w:hAnsi="Calibri" w:cs="Calibri"/>
        </w:rPr>
      </w:pPr>
    </w:p>
    <w:p w14:paraId="739CEA3B" w14:textId="77777777" w:rsidR="00C36C31" w:rsidRPr="00472C4D" w:rsidRDefault="00FF7CD1" w:rsidP="008B355C">
      <w:pPr>
        <w:spacing w:after="0" w:line="240" w:lineRule="auto"/>
        <w:jc w:val="both"/>
        <w:rPr>
          <w:rFonts w:ascii="Calibri" w:hAnsi="Calibri" w:cs="Calibri"/>
          <w:b/>
          <w:bCs/>
          <w:sz w:val="24"/>
          <w:szCs w:val="24"/>
        </w:rPr>
      </w:pPr>
      <w:r w:rsidRPr="00472C4D">
        <w:rPr>
          <w:rFonts w:ascii="Calibri" w:hAnsi="Calibri" w:cs="Calibri"/>
          <w:b/>
          <w:bCs/>
          <w:sz w:val="24"/>
          <w:szCs w:val="24"/>
        </w:rPr>
        <w:t>2.2 Doseganje sektorskih ciljev omejevanja emisij toplogrednih plinov iz OP TGP 2020</w:t>
      </w:r>
    </w:p>
    <w:p w14:paraId="611180B5" w14:textId="77777777" w:rsidR="00FF7CD1" w:rsidRPr="00472C4D" w:rsidRDefault="00FF7CD1" w:rsidP="008B355C">
      <w:pPr>
        <w:spacing w:after="0" w:line="240" w:lineRule="auto"/>
        <w:jc w:val="both"/>
        <w:rPr>
          <w:rFonts w:ascii="Calibri" w:hAnsi="Calibri" w:cs="Calibri"/>
        </w:rPr>
      </w:pPr>
    </w:p>
    <w:p w14:paraId="7783868D" w14:textId="64791188" w:rsidR="00C36C31" w:rsidRPr="00472C4D" w:rsidRDefault="00F22469" w:rsidP="008B355C">
      <w:pPr>
        <w:spacing w:after="0" w:line="240" w:lineRule="auto"/>
        <w:jc w:val="both"/>
        <w:rPr>
          <w:rFonts w:ascii="Calibri" w:hAnsi="Calibri" w:cs="Calibri"/>
        </w:rPr>
      </w:pPr>
      <w:r w:rsidRPr="00472C4D">
        <w:rPr>
          <w:rFonts w:ascii="Calibri" w:hAnsi="Calibri" w:cs="Calibri"/>
        </w:rPr>
        <w:t>Leta 201</w:t>
      </w:r>
      <w:r w:rsidR="00D46A33">
        <w:rPr>
          <w:rFonts w:ascii="Calibri" w:hAnsi="Calibri" w:cs="Calibri"/>
        </w:rPr>
        <w:t>8</w:t>
      </w:r>
      <w:r w:rsidRPr="00472C4D">
        <w:rPr>
          <w:rFonts w:ascii="Calibri" w:hAnsi="Calibri" w:cs="Calibri"/>
        </w:rPr>
        <w:t xml:space="preserve"> </w:t>
      </w:r>
      <w:r w:rsidR="00124FBF">
        <w:rPr>
          <w:rFonts w:ascii="Calibri" w:hAnsi="Calibri" w:cs="Calibri"/>
        </w:rPr>
        <w:t xml:space="preserve">so </w:t>
      </w:r>
      <w:r w:rsidRPr="00472C4D">
        <w:rPr>
          <w:rFonts w:ascii="Calibri" w:hAnsi="Calibri" w:cs="Calibri"/>
        </w:rPr>
        <w:t>v celotnem gospodarstvu emisije ne</w:t>
      </w:r>
      <w:r w:rsidR="00FD0193">
        <w:rPr>
          <w:rFonts w:ascii="Calibri" w:hAnsi="Calibri" w:cs="Calibri"/>
        </w:rPr>
        <w:t>-</w:t>
      </w:r>
      <w:r w:rsidRPr="00472C4D">
        <w:rPr>
          <w:rFonts w:ascii="Calibri" w:hAnsi="Calibri" w:cs="Calibri"/>
        </w:rPr>
        <w:t>ETS sektorjev predstavlja</w:t>
      </w:r>
      <w:r w:rsidR="00124FBF">
        <w:rPr>
          <w:rFonts w:ascii="Calibri" w:hAnsi="Calibri" w:cs="Calibri"/>
        </w:rPr>
        <w:t>le</w:t>
      </w:r>
      <w:r w:rsidRPr="00472C4D">
        <w:rPr>
          <w:rFonts w:ascii="Calibri" w:hAnsi="Calibri" w:cs="Calibri"/>
        </w:rPr>
        <w:t xml:space="preserve"> </w:t>
      </w:r>
      <w:r w:rsidRPr="00B30AFB">
        <w:rPr>
          <w:rFonts w:ascii="Calibri" w:hAnsi="Calibri" w:cs="Calibri"/>
        </w:rPr>
        <w:t>62,</w:t>
      </w:r>
      <w:r w:rsidR="00B30AFB">
        <w:rPr>
          <w:rFonts w:ascii="Calibri" w:hAnsi="Calibri" w:cs="Calibri"/>
        </w:rPr>
        <w:t>9</w:t>
      </w:r>
      <w:r w:rsidR="008D0C92" w:rsidRPr="00B30AFB">
        <w:rPr>
          <w:rFonts w:ascii="Calibri" w:hAnsi="Calibri" w:cs="Calibri"/>
        </w:rPr>
        <w:t xml:space="preserve"> </w:t>
      </w:r>
      <w:r w:rsidRPr="00B30AFB">
        <w:rPr>
          <w:rFonts w:ascii="Calibri" w:hAnsi="Calibri" w:cs="Calibri"/>
        </w:rPr>
        <w:t>%.</w:t>
      </w:r>
      <w:r w:rsidRPr="00472C4D">
        <w:rPr>
          <w:rFonts w:ascii="Calibri" w:hAnsi="Calibri" w:cs="Calibri"/>
        </w:rPr>
        <w:t xml:space="preserve"> </w:t>
      </w:r>
      <w:r w:rsidR="00E41D9C">
        <w:rPr>
          <w:rFonts w:ascii="Calibri" w:hAnsi="Calibri" w:cs="Calibri"/>
        </w:rPr>
        <w:t>Več kot polovica</w:t>
      </w:r>
      <w:r w:rsidR="005A52E6">
        <w:rPr>
          <w:rFonts w:ascii="Calibri" w:hAnsi="Calibri" w:cs="Calibri"/>
        </w:rPr>
        <w:t xml:space="preserve"> emisij med ne-ETS sektorji</w:t>
      </w:r>
      <w:r w:rsidR="00124FBF">
        <w:rPr>
          <w:rFonts w:ascii="Calibri" w:hAnsi="Calibri" w:cs="Calibri"/>
        </w:rPr>
        <w:t xml:space="preserve"> je</w:t>
      </w:r>
      <w:r w:rsidRPr="00472C4D">
        <w:rPr>
          <w:rFonts w:ascii="Calibri" w:hAnsi="Calibri" w:cs="Calibri"/>
        </w:rPr>
        <w:t xml:space="preserve"> </w:t>
      </w:r>
      <w:r w:rsidR="00E41D9C">
        <w:rPr>
          <w:rFonts w:ascii="Calibri" w:hAnsi="Calibri" w:cs="Calibri"/>
        </w:rPr>
        <w:t xml:space="preserve">pripadla sektorju </w:t>
      </w:r>
      <w:r w:rsidRPr="00472C4D">
        <w:rPr>
          <w:rFonts w:ascii="Calibri" w:hAnsi="Calibri" w:cs="Calibri"/>
        </w:rPr>
        <w:t>promet, ki je tudi edini sektor v katerem so se v obdobju 2005-201</w:t>
      </w:r>
      <w:r w:rsidR="00B30AFB">
        <w:rPr>
          <w:rFonts w:ascii="Calibri" w:hAnsi="Calibri" w:cs="Calibri"/>
        </w:rPr>
        <w:t>8</w:t>
      </w:r>
      <w:r w:rsidRPr="00472C4D">
        <w:rPr>
          <w:rFonts w:ascii="Calibri" w:hAnsi="Calibri" w:cs="Calibri"/>
        </w:rPr>
        <w:t xml:space="preserve"> emisije </w:t>
      </w:r>
      <w:r w:rsidR="00940864" w:rsidRPr="00472C4D">
        <w:rPr>
          <w:rFonts w:ascii="Calibri" w:hAnsi="Calibri" w:cs="Calibri"/>
        </w:rPr>
        <w:t xml:space="preserve">TGP </w:t>
      </w:r>
      <w:r w:rsidRPr="00472C4D">
        <w:rPr>
          <w:rFonts w:ascii="Calibri" w:hAnsi="Calibri" w:cs="Calibri"/>
        </w:rPr>
        <w:t>povečale</w:t>
      </w:r>
      <w:r w:rsidR="00DC55E6">
        <w:rPr>
          <w:rFonts w:ascii="Calibri" w:hAnsi="Calibri" w:cs="Calibri"/>
        </w:rPr>
        <w:t>, in sicer za 1.</w:t>
      </w:r>
      <w:r w:rsidR="00B30AFB">
        <w:rPr>
          <w:rFonts w:ascii="Calibri" w:hAnsi="Calibri" w:cs="Calibri"/>
        </w:rPr>
        <w:t>408</w:t>
      </w:r>
      <w:r w:rsidR="004357A8" w:rsidRPr="00472C4D">
        <w:rPr>
          <w:rFonts w:ascii="Calibri" w:hAnsi="Calibri" w:cs="Calibri"/>
        </w:rPr>
        <w:t xml:space="preserve"> kt CO</w:t>
      </w:r>
      <w:r w:rsidR="004357A8" w:rsidRPr="00472C4D">
        <w:rPr>
          <w:rFonts w:ascii="Calibri" w:hAnsi="Calibri" w:cs="Calibri"/>
          <w:vertAlign w:val="subscript"/>
        </w:rPr>
        <w:t>2</w:t>
      </w:r>
      <w:r w:rsidR="004357A8" w:rsidRPr="00472C4D">
        <w:rPr>
          <w:rFonts w:ascii="Calibri" w:hAnsi="Calibri" w:cs="Calibri"/>
        </w:rPr>
        <w:t xml:space="preserve"> ekv. V ostalih sektorjih skupaj so se emisije TGP </w:t>
      </w:r>
      <w:r w:rsidR="00F01B6A" w:rsidRPr="00472C4D">
        <w:rPr>
          <w:rFonts w:ascii="Calibri" w:hAnsi="Calibri" w:cs="Calibri"/>
        </w:rPr>
        <w:t xml:space="preserve">v istem obdobju </w:t>
      </w:r>
      <w:r w:rsidR="004357A8" w:rsidRPr="00472C4D">
        <w:rPr>
          <w:rFonts w:ascii="Calibri" w:hAnsi="Calibri" w:cs="Calibri"/>
        </w:rPr>
        <w:t>zmanjšale za 2.</w:t>
      </w:r>
      <w:r w:rsidR="00B30AFB">
        <w:rPr>
          <w:rFonts w:ascii="Calibri" w:hAnsi="Calibri" w:cs="Calibri"/>
        </w:rPr>
        <w:t>102</w:t>
      </w:r>
      <w:r w:rsidR="004357A8" w:rsidRPr="00472C4D">
        <w:rPr>
          <w:rFonts w:ascii="Calibri" w:hAnsi="Calibri" w:cs="Calibri"/>
        </w:rPr>
        <w:t xml:space="preserve"> kt CO</w:t>
      </w:r>
      <w:r w:rsidR="004357A8" w:rsidRPr="00472C4D">
        <w:rPr>
          <w:rFonts w:ascii="Calibri" w:hAnsi="Calibri" w:cs="Calibri"/>
          <w:vertAlign w:val="subscript"/>
        </w:rPr>
        <w:t>2</w:t>
      </w:r>
      <w:r w:rsidR="004357A8" w:rsidRPr="00472C4D">
        <w:rPr>
          <w:rFonts w:ascii="Calibri" w:hAnsi="Calibri" w:cs="Calibri"/>
        </w:rPr>
        <w:t xml:space="preserve"> ekv</w:t>
      </w:r>
      <w:r w:rsidRPr="00472C4D">
        <w:rPr>
          <w:rFonts w:ascii="Calibri" w:hAnsi="Calibri" w:cs="Calibri"/>
        </w:rPr>
        <w:t xml:space="preserve">.  </w:t>
      </w:r>
    </w:p>
    <w:p w14:paraId="39793FFF" w14:textId="77777777" w:rsidR="00C60665" w:rsidRDefault="00C60665" w:rsidP="005A52E6">
      <w:pPr>
        <w:spacing w:after="0" w:line="240" w:lineRule="auto"/>
        <w:rPr>
          <w:rFonts w:ascii="Calibri" w:hAnsi="Calibri" w:cs="Calibri"/>
          <w:b/>
          <w:bCs/>
          <w:sz w:val="20"/>
          <w:szCs w:val="20"/>
        </w:rPr>
      </w:pPr>
    </w:p>
    <w:p w14:paraId="7B98E636" w14:textId="1B1939A6" w:rsidR="00C60665" w:rsidRPr="0021757C" w:rsidRDefault="00B94F1C" w:rsidP="00C60665">
      <w:pPr>
        <w:spacing w:after="0" w:line="240" w:lineRule="auto"/>
        <w:jc w:val="both"/>
        <w:rPr>
          <w:rFonts w:ascii="Calibri" w:hAnsi="Calibri" w:cs="Calibri"/>
          <w:bCs/>
        </w:rPr>
      </w:pPr>
      <w:r>
        <w:rPr>
          <w:rFonts w:ascii="Calibri" w:hAnsi="Calibri" w:cs="Calibri"/>
          <w:bCs/>
        </w:rPr>
        <w:t xml:space="preserve">V obdobju 2005-2018 so se </w:t>
      </w:r>
      <w:r w:rsidR="00D46A33">
        <w:rPr>
          <w:rFonts w:ascii="Calibri" w:hAnsi="Calibri" w:cs="Calibri"/>
          <w:bCs/>
        </w:rPr>
        <w:t xml:space="preserve">skupne ne-ETS </w:t>
      </w:r>
      <w:r>
        <w:rPr>
          <w:rFonts w:ascii="Calibri" w:hAnsi="Calibri" w:cs="Calibri"/>
          <w:bCs/>
        </w:rPr>
        <w:t xml:space="preserve">emisije </w:t>
      </w:r>
      <w:r w:rsidR="0081031C">
        <w:rPr>
          <w:rFonts w:ascii="Calibri" w:hAnsi="Calibri" w:cs="Calibri"/>
          <w:bCs/>
        </w:rPr>
        <w:t>zmanjšale za 5,9</w:t>
      </w:r>
      <w:r w:rsidR="0058495D">
        <w:rPr>
          <w:rFonts w:ascii="Calibri" w:hAnsi="Calibri" w:cs="Calibri"/>
          <w:bCs/>
        </w:rPr>
        <w:t xml:space="preserve"> </w:t>
      </w:r>
      <w:r w:rsidR="0081031C">
        <w:rPr>
          <w:rFonts w:ascii="Calibri" w:hAnsi="Calibri" w:cs="Calibri"/>
          <w:bCs/>
        </w:rPr>
        <w:t>%, kar je precej manjše zmanjšanje kot v sektorju ETS, kjer so se emisije zmanjšale za 25,8</w:t>
      </w:r>
      <w:r w:rsidR="0058495D">
        <w:rPr>
          <w:rFonts w:ascii="Calibri" w:hAnsi="Calibri" w:cs="Calibri"/>
          <w:bCs/>
        </w:rPr>
        <w:t xml:space="preserve"> </w:t>
      </w:r>
      <w:r w:rsidR="0081031C">
        <w:rPr>
          <w:rFonts w:ascii="Calibri" w:hAnsi="Calibri" w:cs="Calibri"/>
          <w:bCs/>
        </w:rPr>
        <w:t>%. Glavni razlog za manjše zmanjšanje emisij v ne-ETS sektorjih je povečevanje emisij v sektorju promet, ki</w:t>
      </w:r>
      <w:r w:rsidR="0081031C" w:rsidRPr="0081031C">
        <w:rPr>
          <w:rFonts w:ascii="Calibri" w:hAnsi="Calibri" w:cs="Calibri"/>
          <w:bCs/>
        </w:rPr>
        <w:t xml:space="preserve"> </w:t>
      </w:r>
      <w:r w:rsidR="00136BA3">
        <w:rPr>
          <w:rFonts w:ascii="Calibri" w:hAnsi="Calibri" w:cs="Calibri"/>
          <w:bCs/>
        </w:rPr>
        <w:t xml:space="preserve">je </w:t>
      </w:r>
      <w:r w:rsidR="0081031C">
        <w:rPr>
          <w:rFonts w:ascii="Calibri" w:hAnsi="Calibri" w:cs="Calibri"/>
          <w:bCs/>
        </w:rPr>
        <w:t xml:space="preserve">v </w:t>
      </w:r>
      <w:r w:rsidR="00FA2A91">
        <w:rPr>
          <w:rFonts w:ascii="Calibri" w:hAnsi="Calibri" w:cs="Calibri"/>
          <w:bCs/>
        </w:rPr>
        <w:t xml:space="preserve">letu 2018 v </w:t>
      </w:r>
      <w:r w:rsidR="0081031C">
        <w:rPr>
          <w:rFonts w:ascii="Calibri" w:hAnsi="Calibri" w:cs="Calibri"/>
          <w:bCs/>
        </w:rPr>
        <w:t>skupnih ne-ETS emisijah dosega</w:t>
      </w:r>
      <w:r w:rsidR="00136BA3">
        <w:rPr>
          <w:rFonts w:ascii="Calibri" w:hAnsi="Calibri" w:cs="Calibri"/>
          <w:bCs/>
        </w:rPr>
        <w:t>l</w:t>
      </w:r>
      <w:r w:rsidR="0081031C">
        <w:rPr>
          <w:rFonts w:ascii="Calibri" w:hAnsi="Calibri" w:cs="Calibri"/>
          <w:bCs/>
        </w:rPr>
        <w:t xml:space="preserve"> že skoraj 53</w:t>
      </w:r>
      <w:r w:rsidR="0058495D">
        <w:rPr>
          <w:rFonts w:ascii="Calibri" w:hAnsi="Calibri" w:cs="Calibri"/>
          <w:bCs/>
        </w:rPr>
        <w:t xml:space="preserve"> </w:t>
      </w:r>
      <w:r w:rsidR="0081031C">
        <w:rPr>
          <w:rFonts w:ascii="Calibri" w:hAnsi="Calibri" w:cs="Calibri"/>
          <w:bCs/>
        </w:rPr>
        <w:t xml:space="preserve">% (Slika </w:t>
      </w:r>
      <w:r w:rsidR="003178E7">
        <w:rPr>
          <w:rFonts w:ascii="Calibri" w:hAnsi="Calibri" w:cs="Calibri"/>
          <w:bCs/>
        </w:rPr>
        <w:t>2</w:t>
      </w:r>
      <w:r w:rsidR="0081031C">
        <w:rPr>
          <w:rFonts w:ascii="Calibri" w:hAnsi="Calibri" w:cs="Calibri"/>
          <w:bCs/>
        </w:rPr>
        <w:t xml:space="preserve">). Promet </w:t>
      </w:r>
      <w:r w:rsidR="00136BA3">
        <w:rPr>
          <w:rFonts w:ascii="Calibri" w:hAnsi="Calibri" w:cs="Calibri"/>
          <w:bCs/>
        </w:rPr>
        <w:t xml:space="preserve">je </w:t>
      </w:r>
      <w:r w:rsidR="0081031C">
        <w:rPr>
          <w:rFonts w:ascii="Calibri" w:hAnsi="Calibri" w:cs="Calibri"/>
          <w:bCs/>
        </w:rPr>
        <w:t xml:space="preserve">tako </w:t>
      </w:r>
      <w:r w:rsidR="00136BA3">
        <w:rPr>
          <w:rFonts w:ascii="Calibri" w:hAnsi="Calibri" w:cs="Calibri"/>
          <w:bCs/>
        </w:rPr>
        <w:t xml:space="preserve">v letu 2018 </w:t>
      </w:r>
      <w:r w:rsidR="0081031C">
        <w:rPr>
          <w:rFonts w:ascii="Calibri" w:hAnsi="Calibri" w:cs="Calibri"/>
          <w:bCs/>
        </w:rPr>
        <w:t>presega</w:t>
      </w:r>
      <w:r w:rsidR="00136BA3">
        <w:rPr>
          <w:rFonts w:ascii="Calibri" w:hAnsi="Calibri" w:cs="Calibri"/>
          <w:bCs/>
        </w:rPr>
        <w:t>l</w:t>
      </w:r>
      <w:r w:rsidR="0081031C">
        <w:rPr>
          <w:rFonts w:ascii="Calibri" w:hAnsi="Calibri" w:cs="Calibri"/>
          <w:bCs/>
        </w:rPr>
        <w:t xml:space="preserve"> cilj OP TGP za leto 2020 že za 4,9 odstotne točke. </w:t>
      </w:r>
      <w:r w:rsidR="005A655B">
        <w:rPr>
          <w:rFonts w:ascii="Calibri" w:hAnsi="Calibri" w:cs="Calibri"/>
          <w:bCs/>
        </w:rPr>
        <w:t xml:space="preserve">Poleg emisij v prometu, se večajo tudi emisije v industriji ne-ETS. </w:t>
      </w:r>
      <w:r w:rsidR="00D53C0F">
        <w:rPr>
          <w:rFonts w:ascii="Calibri" w:hAnsi="Calibri" w:cs="Calibri"/>
          <w:bCs/>
        </w:rPr>
        <w:t>Od leta 2013 so se emisije v industriji povečale za 11,</w:t>
      </w:r>
      <w:r w:rsidR="007D41CF">
        <w:rPr>
          <w:rFonts w:ascii="Calibri" w:hAnsi="Calibri" w:cs="Calibri"/>
          <w:bCs/>
        </w:rPr>
        <w:t>6</w:t>
      </w:r>
      <w:r w:rsidR="00D53C0F">
        <w:rPr>
          <w:rFonts w:ascii="Calibri" w:hAnsi="Calibri" w:cs="Calibri"/>
          <w:bCs/>
        </w:rPr>
        <w:t xml:space="preserve"> % in se oddaljujejo od indikativnega sektorskega cilja </w:t>
      </w:r>
      <w:r w:rsidR="0068596F">
        <w:rPr>
          <w:rFonts w:ascii="Calibri" w:hAnsi="Calibri" w:cs="Calibri"/>
          <w:bCs/>
        </w:rPr>
        <w:t xml:space="preserve">OP TGP v letu 2020, kar pomeni, da je do leta 2020 potrebno emisije zmanjšati še za 19,5 odstotne točke. </w:t>
      </w:r>
      <w:r w:rsidR="00136BA3">
        <w:rPr>
          <w:rFonts w:ascii="Calibri" w:hAnsi="Calibri" w:cs="Calibri"/>
          <w:bCs/>
        </w:rPr>
        <w:t>Vsi ostali sektorji so bili leta</w:t>
      </w:r>
      <w:r w:rsidR="0021757C" w:rsidRPr="0021757C">
        <w:rPr>
          <w:rFonts w:ascii="Calibri" w:hAnsi="Calibri" w:cs="Calibri"/>
          <w:bCs/>
        </w:rPr>
        <w:t xml:space="preserve"> 2018 </w:t>
      </w:r>
      <w:r w:rsidR="0083780B">
        <w:rPr>
          <w:rFonts w:ascii="Calibri" w:hAnsi="Calibri" w:cs="Calibri"/>
          <w:bCs/>
        </w:rPr>
        <w:t xml:space="preserve">na </w:t>
      </w:r>
      <w:r w:rsidR="00D30B5D">
        <w:rPr>
          <w:rFonts w:ascii="Calibri" w:hAnsi="Calibri" w:cs="Calibri"/>
          <w:bCs/>
        </w:rPr>
        <w:t xml:space="preserve">dobri </w:t>
      </w:r>
      <w:r w:rsidR="0083780B">
        <w:rPr>
          <w:rFonts w:ascii="Calibri" w:hAnsi="Calibri" w:cs="Calibri"/>
          <w:bCs/>
        </w:rPr>
        <w:t>poti k doseganju indikativnih sektorskih ciljev</w:t>
      </w:r>
      <w:r w:rsidR="00272AF9">
        <w:rPr>
          <w:rFonts w:ascii="Calibri" w:hAnsi="Calibri" w:cs="Calibri"/>
          <w:bCs/>
        </w:rPr>
        <w:t xml:space="preserve"> </w:t>
      </w:r>
      <w:r w:rsidR="00B56A9E">
        <w:rPr>
          <w:rFonts w:ascii="Calibri" w:hAnsi="Calibri" w:cs="Calibri"/>
          <w:bCs/>
        </w:rPr>
        <w:t xml:space="preserve">OP TGP </w:t>
      </w:r>
      <w:r w:rsidR="00272AF9">
        <w:rPr>
          <w:rFonts w:ascii="Calibri" w:hAnsi="Calibri" w:cs="Calibri"/>
          <w:bCs/>
        </w:rPr>
        <w:t>za leto 2020</w:t>
      </w:r>
      <w:r w:rsidR="0083780B">
        <w:rPr>
          <w:rFonts w:ascii="Calibri" w:hAnsi="Calibri" w:cs="Calibri"/>
          <w:bCs/>
        </w:rPr>
        <w:t>.</w:t>
      </w:r>
      <w:r w:rsidR="00FA2A91">
        <w:rPr>
          <w:rFonts w:ascii="Calibri" w:hAnsi="Calibri" w:cs="Calibri"/>
          <w:bCs/>
        </w:rPr>
        <w:t xml:space="preserve"> </w:t>
      </w:r>
    </w:p>
    <w:p w14:paraId="3D1C6D8F" w14:textId="77777777" w:rsidR="007D20B4" w:rsidRDefault="007D20B4" w:rsidP="008B355C">
      <w:pPr>
        <w:spacing w:after="0" w:line="240" w:lineRule="auto"/>
        <w:jc w:val="both"/>
        <w:rPr>
          <w:rFonts w:ascii="Calibri" w:hAnsi="Calibri" w:cs="Calibri"/>
        </w:rPr>
      </w:pPr>
    </w:p>
    <w:p w14:paraId="2A15E8D6" w14:textId="77777777" w:rsidR="000031E6" w:rsidRDefault="000031E6" w:rsidP="008B355C">
      <w:pPr>
        <w:spacing w:after="0" w:line="240" w:lineRule="auto"/>
        <w:jc w:val="both"/>
        <w:rPr>
          <w:rFonts w:ascii="Calibri" w:hAnsi="Calibri" w:cs="Calibri"/>
          <w:b/>
          <w:bCs/>
        </w:rPr>
      </w:pPr>
    </w:p>
    <w:p w14:paraId="3614B8B5" w14:textId="35EC36DB" w:rsidR="00DC55E6" w:rsidRDefault="00DC55E6" w:rsidP="00DC55E6">
      <w:pPr>
        <w:spacing w:after="0" w:line="240" w:lineRule="auto"/>
        <w:jc w:val="center"/>
        <w:rPr>
          <w:rFonts w:ascii="Calibri" w:hAnsi="Calibri" w:cs="Calibri"/>
          <w:b/>
          <w:bCs/>
        </w:rPr>
      </w:pPr>
      <w:r>
        <w:rPr>
          <w:rFonts w:ascii="Calibri" w:hAnsi="Calibri" w:cs="Calibri"/>
          <w:b/>
          <w:bCs/>
          <w:noProof/>
          <w:lang w:eastAsia="sl-SI"/>
        </w:rPr>
        <w:lastRenderedPageBreak/>
        <w:drawing>
          <wp:inline distT="0" distB="0" distL="0" distR="0" wp14:anchorId="42013398" wp14:editId="239E830C">
            <wp:extent cx="2639683" cy="2591298"/>
            <wp:effectExtent l="0" t="0" r="889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2644345" cy="2595874"/>
                    </a:xfrm>
                    <a:prstGeom prst="rect">
                      <a:avLst/>
                    </a:prstGeom>
                  </pic:spPr>
                </pic:pic>
              </a:graphicData>
            </a:graphic>
          </wp:inline>
        </w:drawing>
      </w:r>
    </w:p>
    <w:p w14:paraId="53FEC168" w14:textId="6DDE5B81" w:rsidR="00DC55E6" w:rsidRDefault="00641EF9" w:rsidP="00DC55E6">
      <w:pPr>
        <w:spacing w:after="0" w:line="240" w:lineRule="auto"/>
        <w:jc w:val="center"/>
        <w:rPr>
          <w:b/>
          <w:bCs/>
          <w:sz w:val="20"/>
          <w:szCs w:val="20"/>
        </w:rPr>
      </w:pPr>
      <w:r>
        <w:rPr>
          <w:b/>
          <w:bCs/>
          <w:sz w:val="20"/>
          <w:szCs w:val="20"/>
        </w:rPr>
        <w:t>Slika 2</w:t>
      </w:r>
      <w:r w:rsidR="00DC55E6" w:rsidRPr="00DC55E6">
        <w:rPr>
          <w:b/>
          <w:bCs/>
          <w:sz w:val="20"/>
          <w:szCs w:val="20"/>
        </w:rPr>
        <w:t>: Struktura emisij TGP po ne-ETS sektorjih v letu 2018 (Vir: IJS-CEU)</w:t>
      </w:r>
    </w:p>
    <w:p w14:paraId="4CD733D3" w14:textId="77777777" w:rsidR="00DC55E6" w:rsidRDefault="00DC55E6" w:rsidP="008B355C">
      <w:pPr>
        <w:spacing w:after="0" w:line="240" w:lineRule="auto"/>
        <w:jc w:val="both"/>
        <w:rPr>
          <w:rFonts w:ascii="Calibri" w:hAnsi="Calibri" w:cs="Calibri"/>
          <w:b/>
          <w:bCs/>
          <w:sz w:val="20"/>
          <w:szCs w:val="20"/>
        </w:rPr>
      </w:pPr>
    </w:p>
    <w:p w14:paraId="5C03831F" w14:textId="77777777" w:rsidR="002D70C9" w:rsidRPr="00DC55E6" w:rsidRDefault="002D70C9" w:rsidP="008B355C">
      <w:pPr>
        <w:spacing w:after="0" w:line="240" w:lineRule="auto"/>
        <w:jc w:val="both"/>
        <w:rPr>
          <w:rFonts w:ascii="Calibri" w:hAnsi="Calibri" w:cs="Calibri"/>
          <w:b/>
          <w:bCs/>
          <w:sz w:val="20"/>
          <w:szCs w:val="20"/>
        </w:rPr>
      </w:pPr>
    </w:p>
    <w:p w14:paraId="551C37C6" w14:textId="77777777" w:rsidR="007D20B4" w:rsidRPr="00472C4D" w:rsidRDefault="00337062" w:rsidP="008B355C">
      <w:pPr>
        <w:spacing w:after="0" w:line="240" w:lineRule="auto"/>
        <w:jc w:val="both"/>
        <w:rPr>
          <w:rFonts w:ascii="Calibri" w:hAnsi="Calibri" w:cs="Calibri"/>
          <w:b/>
          <w:bCs/>
        </w:rPr>
      </w:pPr>
      <w:r w:rsidRPr="00472C4D">
        <w:rPr>
          <w:rFonts w:ascii="Calibri" w:hAnsi="Calibri" w:cs="Calibri"/>
          <w:b/>
          <w:bCs/>
        </w:rPr>
        <w:t>2.2.1 Promet</w:t>
      </w:r>
    </w:p>
    <w:p w14:paraId="36948723" w14:textId="77777777" w:rsidR="00337062" w:rsidRPr="00472C4D" w:rsidRDefault="00337062" w:rsidP="008B355C">
      <w:pPr>
        <w:spacing w:after="0" w:line="240" w:lineRule="auto"/>
        <w:jc w:val="both"/>
        <w:rPr>
          <w:rFonts w:ascii="Calibri" w:hAnsi="Calibri" w:cs="Calibri"/>
        </w:rPr>
      </w:pPr>
    </w:p>
    <w:p w14:paraId="7B112C3E" w14:textId="59F861EF" w:rsidR="00714842" w:rsidRDefault="00463951" w:rsidP="008B355C">
      <w:pPr>
        <w:spacing w:after="0" w:line="240" w:lineRule="auto"/>
        <w:jc w:val="both"/>
        <w:rPr>
          <w:rFonts w:ascii="Calibri" w:hAnsi="Calibri" w:cs="Calibri"/>
        </w:rPr>
      </w:pPr>
      <w:r w:rsidRPr="00472C4D">
        <w:rPr>
          <w:rFonts w:ascii="Calibri" w:hAnsi="Calibri" w:cs="Calibri"/>
        </w:rPr>
        <w:t>Indikativni cilj za sektor promet v OP TGP 2020 določa, da se emisije TGP do leta 2020, glede na leto 2005, ne bodo povečale za več kot 27</w:t>
      </w:r>
      <w:r w:rsidR="008D0C92">
        <w:rPr>
          <w:rFonts w:ascii="Calibri" w:hAnsi="Calibri" w:cs="Calibri"/>
        </w:rPr>
        <w:t xml:space="preserve"> </w:t>
      </w:r>
      <w:r w:rsidRPr="00472C4D">
        <w:rPr>
          <w:rFonts w:ascii="Calibri" w:hAnsi="Calibri" w:cs="Calibri"/>
        </w:rPr>
        <w:t xml:space="preserve">%. </w:t>
      </w:r>
    </w:p>
    <w:p w14:paraId="4D0C3B4F" w14:textId="77777777" w:rsidR="006E290B" w:rsidRPr="00472C4D" w:rsidRDefault="006E290B" w:rsidP="008B355C">
      <w:pPr>
        <w:spacing w:after="0" w:line="240" w:lineRule="auto"/>
        <w:jc w:val="both"/>
        <w:rPr>
          <w:rFonts w:ascii="Calibri" w:hAnsi="Calibri" w:cs="Calibri"/>
        </w:rPr>
      </w:pPr>
    </w:p>
    <w:p w14:paraId="5CDB4141" w14:textId="51F9FEB8" w:rsidR="00337062" w:rsidRPr="00472C4D" w:rsidRDefault="00B273B2" w:rsidP="008B355C">
      <w:pPr>
        <w:spacing w:after="0" w:line="240" w:lineRule="auto"/>
        <w:jc w:val="both"/>
        <w:rPr>
          <w:rFonts w:ascii="Calibri" w:hAnsi="Calibri" w:cs="Calibri"/>
        </w:rPr>
      </w:pPr>
      <w:r>
        <w:rPr>
          <w:rFonts w:ascii="Calibri" w:hAnsi="Calibri" w:cs="Calibri"/>
        </w:rPr>
        <w:t>V obdobju 2005-2018</w:t>
      </w:r>
      <w:r w:rsidR="0051603D" w:rsidRPr="00472C4D">
        <w:rPr>
          <w:rFonts w:ascii="Calibri" w:hAnsi="Calibri" w:cs="Calibri"/>
        </w:rPr>
        <w:t xml:space="preserve"> so se emisije v sektorju promet, predvsem na račun cestnega prometa, povečale </w:t>
      </w:r>
      <w:r w:rsidR="00463951" w:rsidRPr="00472C4D">
        <w:rPr>
          <w:rFonts w:ascii="Calibri" w:hAnsi="Calibri" w:cs="Calibri"/>
        </w:rPr>
        <w:t xml:space="preserve">že </w:t>
      </w:r>
      <w:r>
        <w:rPr>
          <w:rFonts w:ascii="Calibri" w:hAnsi="Calibri" w:cs="Calibri"/>
        </w:rPr>
        <w:t>za 31,9</w:t>
      </w:r>
      <w:r w:rsidR="008D0C92">
        <w:rPr>
          <w:rFonts w:ascii="Calibri" w:hAnsi="Calibri" w:cs="Calibri"/>
        </w:rPr>
        <w:t xml:space="preserve"> </w:t>
      </w:r>
      <w:r w:rsidR="0051603D" w:rsidRPr="00472C4D">
        <w:rPr>
          <w:rFonts w:ascii="Calibri" w:hAnsi="Calibri" w:cs="Calibri"/>
        </w:rPr>
        <w:t>%</w:t>
      </w:r>
      <w:r w:rsidR="00463951" w:rsidRPr="00472C4D">
        <w:rPr>
          <w:rFonts w:ascii="Calibri" w:hAnsi="Calibri" w:cs="Calibri"/>
        </w:rPr>
        <w:t>.</w:t>
      </w:r>
      <w:r w:rsidR="0051603D" w:rsidRPr="00472C4D">
        <w:rPr>
          <w:rFonts w:ascii="Calibri" w:hAnsi="Calibri" w:cs="Calibri"/>
        </w:rPr>
        <w:t xml:space="preserve"> </w:t>
      </w:r>
      <w:r w:rsidR="00B82A5D" w:rsidRPr="00472C4D">
        <w:rPr>
          <w:rFonts w:ascii="Calibri" w:hAnsi="Calibri" w:cs="Calibri"/>
        </w:rPr>
        <w:t>Tako je v</w:t>
      </w:r>
      <w:r w:rsidR="0051603D" w:rsidRPr="00472C4D">
        <w:rPr>
          <w:rFonts w:ascii="Calibri" w:hAnsi="Calibri" w:cs="Calibri"/>
        </w:rPr>
        <w:t xml:space="preserve"> letu 2005 delež </w:t>
      </w:r>
      <w:r w:rsidR="00B82A5D" w:rsidRPr="00472C4D">
        <w:rPr>
          <w:rFonts w:ascii="Calibri" w:hAnsi="Calibri" w:cs="Calibri"/>
        </w:rPr>
        <w:t xml:space="preserve">prometa </w:t>
      </w:r>
      <w:r w:rsidR="0051603D" w:rsidRPr="00472C4D">
        <w:rPr>
          <w:rFonts w:ascii="Calibri" w:hAnsi="Calibri" w:cs="Calibri"/>
        </w:rPr>
        <w:t>v ne</w:t>
      </w:r>
      <w:r w:rsidR="00FD0193">
        <w:rPr>
          <w:rFonts w:ascii="Calibri" w:hAnsi="Calibri" w:cs="Calibri"/>
        </w:rPr>
        <w:t>-</w:t>
      </w:r>
      <w:r w:rsidR="0051603D" w:rsidRPr="00472C4D">
        <w:rPr>
          <w:rFonts w:ascii="Calibri" w:hAnsi="Calibri" w:cs="Calibri"/>
        </w:rPr>
        <w:t>ETS sektorjih predstavljal 38</w:t>
      </w:r>
      <w:r w:rsidR="008D0C92">
        <w:rPr>
          <w:rFonts w:ascii="Calibri" w:hAnsi="Calibri" w:cs="Calibri"/>
        </w:rPr>
        <w:t xml:space="preserve"> </w:t>
      </w:r>
      <w:r>
        <w:rPr>
          <w:rFonts w:ascii="Calibri" w:hAnsi="Calibri" w:cs="Calibri"/>
        </w:rPr>
        <w:t>%, v letu 2017</w:t>
      </w:r>
      <w:r w:rsidR="0051603D" w:rsidRPr="00472C4D">
        <w:rPr>
          <w:rFonts w:ascii="Calibri" w:hAnsi="Calibri" w:cs="Calibri"/>
        </w:rPr>
        <w:t xml:space="preserve"> </w:t>
      </w:r>
      <w:r w:rsidR="00CE4B3E">
        <w:rPr>
          <w:rFonts w:ascii="Calibri" w:hAnsi="Calibri" w:cs="Calibri"/>
        </w:rPr>
        <w:t xml:space="preserve">dobrih </w:t>
      </w:r>
      <w:r w:rsidR="0051603D" w:rsidRPr="00472C4D">
        <w:rPr>
          <w:rFonts w:ascii="Calibri" w:hAnsi="Calibri" w:cs="Calibri"/>
        </w:rPr>
        <w:t>51</w:t>
      </w:r>
      <w:r w:rsidR="008D0C92">
        <w:rPr>
          <w:rFonts w:ascii="Calibri" w:hAnsi="Calibri" w:cs="Calibri"/>
        </w:rPr>
        <w:t xml:space="preserve"> </w:t>
      </w:r>
      <w:r w:rsidR="0051603D" w:rsidRPr="00472C4D">
        <w:rPr>
          <w:rFonts w:ascii="Calibri" w:hAnsi="Calibri" w:cs="Calibri"/>
        </w:rPr>
        <w:t>%</w:t>
      </w:r>
      <w:r>
        <w:rPr>
          <w:rFonts w:ascii="Calibri" w:hAnsi="Calibri" w:cs="Calibri"/>
        </w:rPr>
        <w:t xml:space="preserve"> in v letu 2018 že skoraj 53 %</w:t>
      </w:r>
      <w:r w:rsidR="0051603D" w:rsidRPr="00472C4D">
        <w:rPr>
          <w:rFonts w:ascii="Calibri" w:hAnsi="Calibri" w:cs="Calibri"/>
        </w:rPr>
        <w:t xml:space="preserve">. </w:t>
      </w:r>
      <w:r w:rsidR="00B82A5D" w:rsidRPr="002C2F27">
        <w:rPr>
          <w:rFonts w:ascii="Calibri" w:hAnsi="Calibri" w:cs="Calibri"/>
        </w:rPr>
        <w:t xml:space="preserve">Povprečne emisije vseh vozil </w:t>
      </w:r>
      <w:r w:rsidR="005F247D">
        <w:rPr>
          <w:rFonts w:ascii="Calibri" w:hAnsi="Calibri" w:cs="Calibri"/>
        </w:rPr>
        <w:t xml:space="preserve">so </w:t>
      </w:r>
      <w:r w:rsidR="00B82A5D" w:rsidRPr="002C2F27">
        <w:rPr>
          <w:rFonts w:ascii="Calibri" w:hAnsi="Calibri" w:cs="Calibri"/>
        </w:rPr>
        <w:t xml:space="preserve">se </w:t>
      </w:r>
      <w:r w:rsidR="005F247D">
        <w:rPr>
          <w:rFonts w:ascii="Calibri" w:hAnsi="Calibri" w:cs="Calibri"/>
        </w:rPr>
        <w:t>v letu 2017,</w:t>
      </w:r>
      <w:r w:rsidR="00B82A5D" w:rsidRPr="002C2F27">
        <w:rPr>
          <w:rFonts w:ascii="Calibri" w:hAnsi="Calibri" w:cs="Calibri"/>
        </w:rPr>
        <w:t xml:space="preserve"> </w:t>
      </w:r>
      <w:r w:rsidR="005F247D" w:rsidRPr="002C2F27">
        <w:rPr>
          <w:rFonts w:ascii="Calibri" w:hAnsi="Calibri" w:cs="Calibri"/>
        </w:rPr>
        <w:t>glede na leto 2016</w:t>
      </w:r>
      <w:r w:rsidR="005F247D">
        <w:rPr>
          <w:rFonts w:ascii="Calibri" w:hAnsi="Calibri" w:cs="Calibri"/>
        </w:rPr>
        <w:t xml:space="preserve">, </w:t>
      </w:r>
      <w:r w:rsidR="00B82A5D" w:rsidRPr="002C2F27">
        <w:rPr>
          <w:rFonts w:ascii="Calibri" w:hAnsi="Calibri" w:cs="Calibri"/>
        </w:rPr>
        <w:t>zmanjš</w:t>
      </w:r>
      <w:r w:rsidR="005F247D">
        <w:rPr>
          <w:rFonts w:ascii="Calibri" w:hAnsi="Calibri" w:cs="Calibri"/>
        </w:rPr>
        <w:t>ale</w:t>
      </w:r>
      <w:r w:rsidR="00A63B4B" w:rsidRPr="002C2F27">
        <w:rPr>
          <w:rFonts w:ascii="Calibri" w:hAnsi="Calibri" w:cs="Calibri"/>
        </w:rPr>
        <w:t xml:space="preserve"> za 3,</w:t>
      </w:r>
      <w:r w:rsidR="005F247D">
        <w:rPr>
          <w:rFonts w:ascii="Calibri" w:hAnsi="Calibri" w:cs="Calibri"/>
        </w:rPr>
        <w:t>3</w:t>
      </w:r>
      <w:r w:rsidR="008D0C92" w:rsidRPr="002C2F27">
        <w:rPr>
          <w:rFonts w:ascii="Calibri" w:hAnsi="Calibri" w:cs="Calibri"/>
        </w:rPr>
        <w:t xml:space="preserve"> </w:t>
      </w:r>
      <w:r w:rsidR="00A63B4B" w:rsidRPr="002C2F27">
        <w:rPr>
          <w:rFonts w:ascii="Calibri" w:hAnsi="Calibri" w:cs="Calibri"/>
        </w:rPr>
        <w:t>%</w:t>
      </w:r>
      <w:r w:rsidR="00C95DFA" w:rsidRPr="002C2F27">
        <w:rPr>
          <w:rFonts w:ascii="Calibri" w:hAnsi="Calibri" w:cs="Calibri"/>
        </w:rPr>
        <w:t xml:space="preserve">, </w:t>
      </w:r>
      <w:r w:rsidR="005F247D">
        <w:rPr>
          <w:rFonts w:ascii="Calibri" w:hAnsi="Calibri" w:cs="Calibri"/>
        </w:rPr>
        <w:t>vendar</w:t>
      </w:r>
      <w:r w:rsidR="00B82A5D" w:rsidRPr="002C2F27">
        <w:rPr>
          <w:rFonts w:ascii="Calibri" w:hAnsi="Calibri" w:cs="Calibri"/>
        </w:rPr>
        <w:t xml:space="preserve"> </w:t>
      </w:r>
      <w:r w:rsidR="005F247D">
        <w:rPr>
          <w:rFonts w:ascii="Calibri" w:hAnsi="Calibri" w:cs="Calibri"/>
        </w:rPr>
        <w:t>so se v letu 2018, glede na leto 2017, povečale za 5,0 %</w:t>
      </w:r>
      <w:r w:rsidR="00714842" w:rsidRPr="002C2F27">
        <w:rPr>
          <w:rFonts w:ascii="Calibri" w:hAnsi="Calibri" w:cs="Calibri"/>
        </w:rPr>
        <w:t>.</w:t>
      </w:r>
      <w:r w:rsidR="005F247D">
        <w:rPr>
          <w:rFonts w:ascii="Calibri" w:hAnsi="Calibri" w:cs="Calibri"/>
        </w:rPr>
        <w:t xml:space="preserve"> Razlog za povišanje emisij je v povečani prometni aktivnosti in povečani prodaji goriva tujim vozilom</w:t>
      </w:r>
      <w:r w:rsidR="005267CC">
        <w:rPr>
          <w:rFonts w:ascii="Calibri" w:hAnsi="Calibri" w:cs="Calibri"/>
        </w:rPr>
        <w:t xml:space="preserve"> (tranzitni promet)</w:t>
      </w:r>
      <w:r w:rsidR="005F247D">
        <w:rPr>
          <w:rFonts w:ascii="Calibri" w:hAnsi="Calibri" w:cs="Calibri"/>
        </w:rPr>
        <w:t xml:space="preserve">. </w:t>
      </w:r>
    </w:p>
    <w:p w14:paraId="3818F1C5" w14:textId="77777777" w:rsidR="00A51971" w:rsidRDefault="00A51971" w:rsidP="008B355C">
      <w:pPr>
        <w:spacing w:after="0" w:line="240" w:lineRule="auto"/>
        <w:jc w:val="both"/>
        <w:rPr>
          <w:rFonts w:ascii="Calibri" w:hAnsi="Calibri" w:cs="Calibri"/>
        </w:rPr>
      </w:pPr>
    </w:p>
    <w:p w14:paraId="31051A97" w14:textId="77777777" w:rsidR="007D20B4" w:rsidRPr="00472C4D" w:rsidRDefault="007A05BF" w:rsidP="008B355C">
      <w:pPr>
        <w:spacing w:after="0" w:line="240" w:lineRule="auto"/>
        <w:jc w:val="both"/>
        <w:rPr>
          <w:rFonts w:ascii="Calibri" w:hAnsi="Calibri" w:cs="Calibri"/>
          <w:b/>
          <w:bCs/>
        </w:rPr>
      </w:pPr>
      <w:r w:rsidRPr="00472C4D">
        <w:rPr>
          <w:rFonts w:ascii="Calibri" w:hAnsi="Calibri" w:cs="Calibri"/>
          <w:b/>
          <w:bCs/>
        </w:rPr>
        <w:t>2.2.2 Kmetijstvo</w:t>
      </w:r>
    </w:p>
    <w:p w14:paraId="2BD9EA00" w14:textId="77777777" w:rsidR="007A05BF" w:rsidRPr="00472C4D" w:rsidRDefault="007A05BF" w:rsidP="008B355C">
      <w:pPr>
        <w:spacing w:after="0" w:line="240" w:lineRule="auto"/>
        <w:jc w:val="both"/>
        <w:rPr>
          <w:rFonts w:ascii="Calibri" w:hAnsi="Calibri" w:cs="Calibri"/>
        </w:rPr>
      </w:pPr>
    </w:p>
    <w:p w14:paraId="50CA7B7B" w14:textId="77777777" w:rsidR="00232402" w:rsidRPr="00472C4D" w:rsidRDefault="00ED6E1F" w:rsidP="00232402">
      <w:pPr>
        <w:spacing w:after="0" w:line="240" w:lineRule="auto"/>
        <w:jc w:val="both"/>
        <w:rPr>
          <w:rFonts w:ascii="Calibri" w:hAnsi="Calibri" w:cs="Calibri"/>
        </w:rPr>
      </w:pPr>
      <w:r w:rsidRPr="00472C4D">
        <w:rPr>
          <w:rFonts w:ascii="Calibri" w:hAnsi="Calibri" w:cs="Calibri"/>
        </w:rPr>
        <w:t xml:space="preserve">Spremembe v sektorju kmetijstvo so počasne, a stabilne. </w:t>
      </w:r>
      <w:r w:rsidR="00232402" w:rsidRPr="00472C4D">
        <w:rPr>
          <w:rFonts w:ascii="Calibri" w:hAnsi="Calibri" w:cs="Calibri"/>
        </w:rPr>
        <w:t>Najpomembnejša toplogredna plina v kmetijskem sektorju sta metan in didušikov oksid. Prvi prispeva približno 70</w:t>
      </w:r>
      <w:r w:rsidR="00232402">
        <w:rPr>
          <w:rFonts w:ascii="Calibri" w:hAnsi="Calibri" w:cs="Calibri"/>
        </w:rPr>
        <w:t xml:space="preserve"> </w:t>
      </w:r>
      <w:r w:rsidR="00232402" w:rsidRPr="00472C4D">
        <w:rPr>
          <w:rFonts w:ascii="Calibri" w:hAnsi="Calibri" w:cs="Calibri"/>
        </w:rPr>
        <w:t>%, drugi 30</w:t>
      </w:r>
      <w:r w:rsidR="00232402">
        <w:rPr>
          <w:rFonts w:ascii="Calibri" w:hAnsi="Calibri" w:cs="Calibri"/>
        </w:rPr>
        <w:t xml:space="preserve"> </w:t>
      </w:r>
      <w:r w:rsidR="00232402" w:rsidRPr="00472C4D">
        <w:rPr>
          <w:rFonts w:ascii="Calibri" w:hAnsi="Calibri" w:cs="Calibri"/>
        </w:rPr>
        <w:t>% toplogrednega učinka sektorja. Metan iz prebavil rejnih živali prispeva približno 55</w:t>
      </w:r>
      <w:r w:rsidR="00232402">
        <w:rPr>
          <w:rFonts w:ascii="Calibri" w:hAnsi="Calibri" w:cs="Calibri"/>
        </w:rPr>
        <w:t xml:space="preserve"> </w:t>
      </w:r>
      <w:r w:rsidR="00232402" w:rsidRPr="00472C4D">
        <w:rPr>
          <w:rFonts w:ascii="Calibri" w:hAnsi="Calibri" w:cs="Calibri"/>
        </w:rPr>
        <w:t xml:space="preserve">% vseh emisij TGP v kmetijstvu.       </w:t>
      </w:r>
    </w:p>
    <w:p w14:paraId="61F2BEFD" w14:textId="53FC6BCA" w:rsidR="00474031" w:rsidRDefault="00474031" w:rsidP="00474031">
      <w:pPr>
        <w:spacing w:after="0" w:line="240" w:lineRule="auto"/>
        <w:jc w:val="both"/>
        <w:rPr>
          <w:rFonts w:ascii="Calibri" w:hAnsi="Calibri" w:cs="Calibri"/>
        </w:rPr>
      </w:pPr>
      <w:r w:rsidRPr="00472C4D">
        <w:rPr>
          <w:rFonts w:ascii="Calibri" w:hAnsi="Calibri" w:cs="Calibri"/>
        </w:rPr>
        <w:t>Indikativni cilj za ta sektor v OP TGP 2020 določa, da se emisije TGP do leta 2020, glede na leto 2005, ne bodo povečale za več kot 5</w:t>
      </w:r>
      <w:r w:rsidR="008D0C92">
        <w:rPr>
          <w:rFonts w:ascii="Calibri" w:hAnsi="Calibri" w:cs="Calibri"/>
        </w:rPr>
        <w:t xml:space="preserve"> </w:t>
      </w:r>
      <w:r w:rsidRPr="00472C4D">
        <w:rPr>
          <w:rFonts w:ascii="Calibri" w:hAnsi="Calibri" w:cs="Calibri"/>
        </w:rPr>
        <w:t xml:space="preserve">%. </w:t>
      </w:r>
    </w:p>
    <w:p w14:paraId="16D0384A" w14:textId="77777777" w:rsidR="006E290B" w:rsidRPr="00472C4D" w:rsidRDefault="006E290B" w:rsidP="00474031">
      <w:pPr>
        <w:spacing w:after="0" w:line="240" w:lineRule="auto"/>
        <w:jc w:val="both"/>
        <w:rPr>
          <w:rFonts w:ascii="Calibri" w:hAnsi="Calibri" w:cs="Calibri"/>
        </w:rPr>
      </w:pPr>
    </w:p>
    <w:p w14:paraId="66177195" w14:textId="2A397844" w:rsidR="00EF4290" w:rsidRDefault="00CE3D29" w:rsidP="00474031">
      <w:pPr>
        <w:spacing w:after="0" w:line="240" w:lineRule="auto"/>
        <w:jc w:val="both"/>
        <w:rPr>
          <w:rFonts w:ascii="Calibri" w:hAnsi="Calibri" w:cs="Calibri"/>
        </w:rPr>
      </w:pPr>
      <w:r w:rsidRPr="00472C4D">
        <w:rPr>
          <w:rFonts w:ascii="Calibri" w:hAnsi="Calibri" w:cs="Calibri"/>
        </w:rPr>
        <w:t xml:space="preserve">V </w:t>
      </w:r>
      <w:r w:rsidR="0029320E">
        <w:rPr>
          <w:rFonts w:ascii="Calibri" w:hAnsi="Calibri" w:cs="Calibri"/>
        </w:rPr>
        <w:t>obdobju 201</w:t>
      </w:r>
      <w:r w:rsidR="00FD05A0">
        <w:rPr>
          <w:rFonts w:ascii="Calibri" w:hAnsi="Calibri" w:cs="Calibri"/>
        </w:rPr>
        <w:t>3</w:t>
      </w:r>
      <w:r w:rsidR="0029320E">
        <w:rPr>
          <w:rFonts w:ascii="Calibri" w:hAnsi="Calibri" w:cs="Calibri"/>
        </w:rPr>
        <w:t>-2016 so emisije</w:t>
      </w:r>
      <w:r w:rsidRPr="00472C4D">
        <w:rPr>
          <w:rFonts w:ascii="Calibri" w:hAnsi="Calibri" w:cs="Calibri"/>
        </w:rPr>
        <w:t xml:space="preserve"> v kmet</w:t>
      </w:r>
      <w:r w:rsidR="002D70C9">
        <w:rPr>
          <w:rFonts w:ascii="Calibri" w:hAnsi="Calibri" w:cs="Calibri"/>
        </w:rPr>
        <w:t>ijstvu naraščale, v letu 2017</w:t>
      </w:r>
      <w:r w:rsidRPr="00472C4D">
        <w:rPr>
          <w:rFonts w:ascii="Calibri" w:hAnsi="Calibri" w:cs="Calibri"/>
        </w:rPr>
        <w:t xml:space="preserve"> so se zmanjšale za 2</w:t>
      </w:r>
      <w:r w:rsidR="008D0C92">
        <w:rPr>
          <w:rFonts w:ascii="Calibri" w:hAnsi="Calibri" w:cs="Calibri"/>
        </w:rPr>
        <w:t xml:space="preserve"> </w:t>
      </w:r>
      <w:r w:rsidRPr="00472C4D">
        <w:rPr>
          <w:rFonts w:ascii="Calibri" w:hAnsi="Calibri" w:cs="Calibri"/>
        </w:rPr>
        <w:t>%</w:t>
      </w:r>
      <w:r w:rsidR="00B45D8A" w:rsidRPr="00472C4D">
        <w:rPr>
          <w:rFonts w:ascii="Calibri" w:hAnsi="Calibri" w:cs="Calibri"/>
        </w:rPr>
        <w:t xml:space="preserve">. </w:t>
      </w:r>
      <w:r w:rsidR="00D74688">
        <w:rPr>
          <w:rFonts w:ascii="Calibri" w:hAnsi="Calibri" w:cs="Calibri"/>
        </w:rPr>
        <w:t>V letu 2018 so emisije znašale 1.722 kt CO</w:t>
      </w:r>
      <w:r w:rsidR="00D74688">
        <w:rPr>
          <w:rFonts w:ascii="Calibri" w:hAnsi="Calibri" w:cs="Calibri"/>
          <w:vertAlign w:val="subscript"/>
        </w:rPr>
        <w:t>2</w:t>
      </w:r>
      <w:r w:rsidR="00D74688">
        <w:rPr>
          <w:rFonts w:ascii="Calibri" w:hAnsi="Calibri" w:cs="Calibri"/>
        </w:rPr>
        <w:t xml:space="preserve"> ekv, kar je </w:t>
      </w:r>
      <w:r w:rsidR="00CE4B3E">
        <w:rPr>
          <w:rFonts w:ascii="Calibri" w:hAnsi="Calibri" w:cs="Calibri"/>
        </w:rPr>
        <w:t xml:space="preserve">praktično </w:t>
      </w:r>
      <w:r w:rsidR="00D74688">
        <w:rPr>
          <w:rFonts w:ascii="Calibri" w:hAnsi="Calibri" w:cs="Calibri"/>
        </w:rPr>
        <w:t xml:space="preserve">enaka raven kot leto prej. </w:t>
      </w:r>
    </w:p>
    <w:p w14:paraId="78870AB7" w14:textId="71CDAE84" w:rsidR="00EF4290" w:rsidRDefault="00CE3D29" w:rsidP="00474031">
      <w:pPr>
        <w:spacing w:after="0" w:line="240" w:lineRule="auto"/>
        <w:jc w:val="both"/>
        <w:rPr>
          <w:rFonts w:ascii="Calibri" w:hAnsi="Calibri" w:cs="Calibri"/>
        </w:rPr>
      </w:pPr>
      <w:r w:rsidRPr="00472C4D">
        <w:rPr>
          <w:rFonts w:ascii="Calibri" w:hAnsi="Calibri" w:cs="Calibri"/>
        </w:rPr>
        <w:t>Gled</w:t>
      </w:r>
      <w:r w:rsidR="00EF4290">
        <w:rPr>
          <w:rFonts w:ascii="Calibri" w:hAnsi="Calibri" w:cs="Calibri"/>
        </w:rPr>
        <w:t>e na leto 2005 so se emisije v kmetijstvu v letu 2017</w:t>
      </w:r>
      <w:r w:rsidRPr="00472C4D">
        <w:rPr>
          <w:rFonts w:ascii="Calibri" w:hAnsi="Calibri" w:cs="Calibri"/>
        </w:rPr>
        <w:t xml:space="preserve"> zmanjšale za </w:t>
      </w:r>
      <w:r w:rsidR="00EF4290">
        <w:rPr>
          <w:rFonts w:ascii="Calibri" w:hAnsi="Calibri" w:cs="Calibri"/>
        </w:rPr>
        <w:t>0,6</w:t>
      </w:r>
      <w:r w:rsidR="008D0C92">
        <w:rPr>
          <w:rFonts w:ascii="Calibri" w:hAnsi="Calibri" w:cs="Calibri"/>
        </w:rPr>
        <w:t xml:space="preserve"> </w:t>
      </w:r>
      <w:r w:rsidR="00CE4B3E">
        <w:rPr>
          <w:rFonts w:ascii="Calibri" w:hAnsi="Calibri" w:cs="Calibri"/>
        </w:rPr>
        <w:t xml:space="preserve">% in </w:t>
      </w:r>
      <w:r w:rsidR="00690833">
        <w:rPr>
          <w:rFonts w:ascii="Calibri" w:hAnsi="Calibri" w:cs="Calibri"/>
        </w:rPr>
        <w:t xml:space="preserve">so </w:t>
      </w:r>
      <w:r w:rsidR="00CE4B3E">
        <w:rPr>
          <w:rFonts w:ascii="Calibri" w:hAnsi="Calibri" w:cs="Calibri"/>
        </w:rPr>
        <w:t>predstavlja</w:t>
      </w:r>
      <w:r w:rsidR="00690833">
        <w:rPr>
          <w:rFonts w:ascii="Calibri" w:hAnsi="Calibri" w:cs="Calibri"/>
        </w:rPr>
        <w:t>le</w:t>
      </w:r>
      <w:r w:rsidR="00CE4B3E">
        <w:rPr>
          <w:rFonts w:ascii="Calibri" w:hAnsi="Calibri" w:cs="Calibri"/>
        </w:rPr>
        <w:t xml:space="preserve"> 15,9</w:t>
      </w:r>
      <w:r w:rsidR="008D0C92">
        <w:rPr>
          <w:rFonts w:ascii="Calibri" w:hAnsi="Calibri" w:cs="Calibri"/>
        </w:rPr>
        <w:t xml:space="preserve"> </w:t>
      </w:r>
      <w:r w:rsidRPr="00472C4D">
        <w:rPr>
          <w:rFonts w:ascii="Calibri" w:hAnsi="Calibri" w:cs="Calibri"/>
        </w:rPr>
        <w:t>% med ne</w:t>
      </w:r>
      <w:r w:rsidR="00FD0193">
        <w:rPr>
          <w:rFonts w:ascii="Calibri" w:hAnsi="Calibri" w:cs="Calibri"/>
        </w:rPr>
        <w:t>-</w:t>
      </w:r>
      <w:r w:rsidRPr="00472C4D">
        <w:rPr>
          <w:rFonts w:ascii="Calibri" w:hAnsi="Calibri" w:cs="Calibri"/>
        </w:rPr>
        <w:t>ETS sektorji.</w:t>
      </w:r>
      <w:r w:rsidR="00EF4290">
        <w:rPr>
          <w:rFonts w:ascii="Calibri" w:hAnsi="Calibri" w:cs="Calibri"/>
        </w:rPr>
        <w:t xml:space="preserve"> </w:t>
      </w:r>
      <w:r w:rsidR="00690833">
        <w:rPr>
          <w:rFonts w:ascii="Calibri" w:hAnsi="Calibri" w:cs="Calibri"/>
        </w:rPr>
        <w:t xml:space="preserve">V letu 2018 so emisije v kmetijstvu med ne-ETS sektorji predstavljale 15,6 %.  </w:t>
      </w:r>
      <w:r w:rsidR="00B45D8A" w:rsidRPr="00472C4D">
        <w:rPr>
          <w:rFonts w:ascii="Calibri" w:hAnsi="Calibri" w:cs="Calibri"/>
        </w:rPr>
        <w:t>Največ</w:t>
      </w:r>
      <w:r w:rsidR="00690833">
        <w:rPr>
          <w:rFonts w:ascii="Calibri" w:hAnsi="Calibri" w:cs="Calibri"/>
        </w:rPr>
        <w:t xml:space="preserve"> </w:t>
      </w:r>
      <w:r w:rsidR="00B45D8A" w:rsidRPr="00472C4D">
        <w:rPr>
          <w:rFonts w:ascii="Calibri" w:hAnsi="Calibri" w:cs="Calibri"/>
        </w:rPr>
        <w:t xml:space="preserve">emisij prispeva fermentacija v </w:t>
      </w:r>
      <w:r w:rsidR="00FE33C8" w:rsidRPr="00472C4D">
        <w:rPr>
          <w:rFonts w:ascii="Calibri" w:hAnsi="Calibri" w:cs="Calibri"/>
        </w:rPr>
        <w:t>p</w:t>
      </w:r>
      <w:r w:rsidR="00B45D8A" w:rsidRPr="00472C4D">
        <w:rPr>
          <w:rFonts w:ascii="Calibri" w:hAnsi="Calibri" w:cs="Calibri"/>
        </w:rPr>
        <w:t xml:space="preserve">rebavilih, </w:t>
      </w:r>
      <w:r w:rsidR="00690833">
        <w:rPr>
          <w:rFonts w:ascii="Calibri" w:hAnsi="Calibri" w:cs="Calibri"/>
        </w:rPr>
        <w:t>sledijo</w:t>
      </w:r>
      <w:r w:rsidR="00B45D8A" w:rsidRPr="00472C4D">
        <w:rPr>
          <w:rFonts w:ascii="Calibri" w:hAnsi="Calibri" w:cs="Calibri"/>
        </w:rPr>
        <w:t xml:space="preserve"> ravnanje z gnojem, kmetijska zemljišča</w:t>
      </w:r>
      <w:r w:rsidR="00690833">
        <w:rPr>
          <w:rFonts w:ascii="Calibri" w:hAnsi="Calibri" w:cs="Calibri"/>
        </w:rPr>
        <w:t>.</w:t>
      </w:r>
      <w:r w:rsidR="00FE33C8" w:rsidRPr="00472C4D">
        <w:rPr>
          <w:rFonts w:ascii="Calibri" w:hAnsi="Calibri" w:cs="Calibri"/>
        </w:rPr>
        <w:t xml:space="preserve"> </w:t>
      </w:r>
    </w:p>
    <w:p w14:paraId="0A48742E" w14:textId="39B8A45E" w:rsidR="001D54BB" w:rsidRDefault="001D54BB" w:rsidP="008B355C">
      <w:pPr>
        <w:spacing w:after="0" w:line="240" w:lineRule="auto"/>
        <w:jc w:val="both"/>
      </w:pPr>
    </w:p>
    <w:p w14:paraId="7B868748" w14:textId="7300CCE4" w:rsidR="00136978" w:rsidRDefault="00136978" w:rsidP="008B355C">
      <w:pPr>
        <w:spacing w:after="0" w:line="240" w:lineRule="auto"/>
        <w:jc w:val="both"/>
      </w:pPr>
    </w:p>
    <w:p w14:paraId="00C12ADD" w14:textId="0D960048" w:rsidR="00136978" w:rsidRDefault="00136978" w:rsidP="008B355C">
      <w:pPr>
        <w:spacing w:after="0" w:line="240" w:lineRule="auto"/>
        <w:jc w:val="both"/>
      </w:pPr>
    </w:p>
    <w:p w14:paraId="4E959323" w14:textId="5B3A87E8" w:rsidR="00136978" w:rsidRDefault="00136978" w:rsidP="008B355C">
      <w:pPr>
        <w:spacing w:after="0" w:line="240" w:lineRule="auto"/>
        <w:jc w:val="both"/>
      </w:pPr>
    </w:p>
    <w:p w14:paraId="6F7CBDDF" w14:textId="1F8D181D" w:rsidR="00136978" w:rsidRDefault="00136978" w:rsidP="008B355C">
      <w:pPr>
        <w:spacing w:after="0" w:line="240" w:lineRule="auto"/>
        <w:jc w:val="both"/>
      </w:pPr>
    </w:p>
    <w:p w14:paraId="02E2CD02" w14:textId="51DF693E" w:rsidR="00136978" w:rsidRDefault="00136978" w:rsidP="008B355C">
      <w:pPr>
        <w:spacing w:after="0" w:line="240" w:lineRule="auto"/>
        <w:jc w:val="both"/>
      </w:pPr>
    </w:p>
    <w:p w14:paraId="02D54D1E" w14:textId="4BFC16FE" w:rsidR="00136978" w:rsidRDefault="00136978" w:rsidP="008B355C">
      <w:pPr>
        <w:spacing w:after="0" w:line="240" w:lineRule="auto"/>
        <w:jc w:val="both"/>
      </w:pPr>
    </w:p>
    <w:p w14:paraId="210AF6BA" w14:textId="77777777" w:rsidR="00136978" w:rsidRDefault="00136978" w:rsidP="008B355C">
      <w:pPr>
        <w:spacing w:after="0" w:line="240" w:lineRule="auto"/>
        <w:jc w:val="both"/>
      </w:pPr>
    </w:p>
    <w:p w14:paraId="40EE9B90" w14:textId="2CE54B52" w:rsidR="006952BB" w:rsidRPr="00472C4D" w:rsidRDefault="006952BB" w:rsidP="008B355C">
      <w:pPr>
        <w:spacing w:after="0" w:line="240" w:lineRule="auto"/>
        <w:jc w:val="both"/>
        <w:rPr>
          <w:rFonts w:ascii="Calibri" w:hAnsi="Calibri" w:cs="Calibri"/>
          <w:b/>
          <w:bCs/>
        </w:rPr>
      </w:pPr>
      <w:r w:rsidRPr="00472C4D">
        <w:rPr>
          <w:rFonts w:ascii="Calibri" w:hAnsi="Calibri" w:cs="Calibri"/>
          <w:b/>
          <w:bCs/>
        </w:rPr>
        <w:lastRenderedPageBreak/>
        <w:t xml:space="preserve">2.2.3 </w:t>
      </w:r>
      <w:r w:rsidR="002E7A5F" w:rsidRPr="00472C4D">
        <w:rPr>
          <w:rFonts w:ascii="Calibri" w:hAnsi="Calibri" w:cs="Calibri"/>
          <w:b/>
          <w:bCs/>
        </w:rPr>
        <w:t>Š</w:t>
      </w:r>
      <w:r w:rsidRPr="00472C4D">
        <w:rPr>
          <w:rFonts w:ascii="Calibri" w:hAnsi="Calibri" w:cs="Calibri"/>
          <w:b/>
          <w:bCs/>
        </w:rPr>
        <w:t>iroka raba</w:t>
      </w:r>
      <w:r w:rsidR="002E7A5F" w:rsidRPr="00472C4D">
        <w:rPr>
          <w:rFonts w:ascii="Calibri" w:hAnsi="Calibri" w:cs="Calibri"/>
          <w:b/>
          <w:bCs/>
        </w:rPr>
        <w:t xml:space="preserve"> – stavbe</w:t>
      </w:r>
    </w:p>
    <w:p w14:paraId="71F75D06" w14:textId="77777777" w:rsidR="00136978" w:rsidRDefault="00136978" w:rsidP="009C3F0F">
      <w:pPr>
        <w:spacing w:after="0" w:line="240" w:lineRule="auto"/>
        <w:jc w:val="both"/>
        <w:rPr>
          <w:rFonts w:ascii="Calibri" w:hAnsi="Calibri" w:cs="Calibri"/>
        </w:rPr>
      </w:pPr>
    </w:p>
    <w:p w14:paraId="52075749" w14:textId="46A63977" w:rsidR="000C23DB" w:rsidRDefault="00D474FA" w:rsidP="009C3F0F">
      <w:pPr>
        <w:spacing w:after="0" w:line="240" w:lineRule="auto"/>
        <w:jc w:val="both"/>
        <w:rPr>
          <w:rFonts w:ascii="Calibri" w:hAnsi="Calibri" w:cs="Calibri"/>
        </w:rPr>
      </w:pPr>
      <w:r w:rsidRPr="00472C4D">
        <w:rPr>
          <w:rFonts w:ascii="Calibri" w:hAnsi="Calibri" w:cs="Calibri"/>
        </w:rPr>
        <w:t>Široka raba vključuje zgorevanje goriv v gospodinjstvih, storitvenih dejavnostih in kmetijstvu</w:t>
      </w:r>
      <w:r>
        <w:rPr>
          <w:rStyle w:val="Sprotnaopomba-sklic"/>
          <w:rFonts w:ascii="Calibri" w:hAnsi="Calibri" w:cs="Calibri"/>
        </w:rPr>
        <w:footnoteReference w:id="7"/>
      </w:r>
      <w:r w:rsidRPr="00472C4D">
        <w:rPr>
          <w:rFonts w:ascii="Calibri" w:hAnsi="Calibri" w:cs="Calibri"/>
        </w:rPr>
        <w:t>.</w:t>
      </w:r>
      <w:r>
        <w:rPr>
          <w:sz w:val="16"/>
          <w:szCs w:val="16"/>
        </w:rPr>
        <w:t xml:space="preserve"> </w:t>
      </w:r>
      <w:r>
        <w:t xml:space="preserve"> </w:t>
      </w:r>
      <w:r w:rsidRPr="00472C4D">
        <w:rPr>
          <w:rFonts w:ascii="Calibri" w:hAnsi="Calibri" w:cs="Calibri"/>
        </w:rPr>
        <w:t xml:space="preserve"> </w:t>
      </w:r>
      <w:r w:rsidR="009C3F0F" w:rsidRPr="00472C4D">
        <w:rPr>
          <w:rFonts w:ascii="Calibri" w:hAnsi="Calibri" w:cs="Calibri"/>
        </w:rPr>
        <w:t>Indikativni cilj za sektor široka raba v OP TGP 2020 določa, da se emisije TGP do leta 2020, glede na leto 2005, zmanjšajo za 53</w:t>
      </w:r>
      <w:r w:rsidR="008D0C92">
        <w:rPr>
          <w:rFonts w:ascii="Calibri" w:hAnsi="Calibri" w:cs="Calibri"/>
        </w:rPr>
        <w:t xml:space="preserve"> </w:t>
      </w:r>
      <w:r w:rsidR="009C3F0F" w:rsidRPr="00472C4D">
        <w:rPr>
          <w:rFonts w:ascii="Calibri" w:hAnsi="Calibri" w:cs="Calibri"/>
        </w:rPr>
        <w:t>%.</w:t>
      </w:r>
      <w:r w:rsidR="00681CD5">
        <w:rPr>
          <w:rFonts w:ascii="Calibri" w:hAnsi="Calibri" w:cs="Calibri"/>
        </w:rPr>
        <w:t xml:space="preserve"> </w:t>
      </w:r>
    </w:p>
    <w:p w14:paraId="491DC9B6" w14:textId="77777777" w:rsidR="006E290B" w:rsidRDefault="006E290B" w:rsidP="009C3F0F">
      <w:pPr>
        <w:spacing w:after="0" w:line="240" w:lineRule="auto"/>
        <w:jc w:val="both"/>
        <w:rPr>
          <w:rFonts w:ascii="Calibri" w:hAnsi="Calibri" w:cs="Calibri"/>
        </w:rPr>
      </w:pPr>
    </w:p>
    <w:p w14:paraId="1F3F3685" w14:textId="62FDEE9E" w:rsidR="00B44300" w:rsidRPr="00472C4D" w:rsidRDefault="00BF69EA" w:rsidP="009C3F0F">
      <w:pPr>
        <w:spacing w:after="0" w:line="240" w:lineRule="auto"/>
        <w:jc w:val="both"/>
        <w:rPr>
          <w:rFonts w:ascii="Calibri" w:hAnsi="Calibri" w:cs="Calibri"/>
        </w:rPr>
      </w:pPr>
      <w:r>
        <w:rPr>
          <w:rFonts w:ascii="Calibri" w:hAnsi="Calibri" w:cs="Calibri"/>
        </w:rPr>
        <w:t xml:space="preserve">V letu 2017 </w:t>
      </w:r>
      <w:r w:rsidR="0021250E" w:rsidRPr="00472C4D">
        <w:rPr>
          <w:rFonts w:ascii="Calibri" w:hAnsi="Calibri" w:cs="Calibri"/>
        </w:rPr>
        <w:t>so te emisije k ne</w:t>
      </w:r>
      <w:r w:rsidR="00FD0193">
        <w:rPr>
          <w:rFonts w:ascii="Calibri" w:hAnsi="Calibri" w:cs="Calibri"/>
        </w:rPr>
        <w:t>-</w:t>
      </w:r>
      <w:r w:rsidR="0021250E" w:rsidRPr="00472C4D">
        <w:rPr>
          <w:rFonts w:ascii="Calibri" w:hAnsi="Calibri" w:cs="Calibri"/>
        </w:rPr>
        <w:t>ETS sektorjem prispevale 13,</w:t>
      </w:r>
      <w:r w:rsidR="00136978">
        <w:rPr>
          <w:rFonts w:ascii="Calibri" w:hAnsi="Calibri" w:cs="Calibri"/>
        </w:rPr>
        <w:t>2</w:t>
      </w:r>
      <w:r w:rsidR="008D0C92">
        <w:rPr>
          <w:rFonts w:ascii="Calibri" w:hAnsi="Calibri" w:cs="Calibri"/>
        </w:rPr>
        <w:t xml:space="preserve"> </w:t>
      </w:r>
      <w:r w:rsidR="0021250E" w:rsidRPr="00472C4D">
        <w:rPr>
          <w:rFonts w:ascii="Calibri" w:hAnsi="Calibri" w:cs="Calibri"/>
        </w:rPr>
        <w:t>%</w:t>
      </w:r>
      <w:r w:rsidR="000C23DB">
        <w:rPr>
          <w:rFonts w:ascii="Calibri" w:hAnsi="Calibri" w:cs="Calibri"/>
        </w:rPr>
        <w:t xml:space="preserve">. </w:t>
      </w:r>
      <w:r>
        <w:rPr>
          <w:rFonts w:ascii="Calibri" w:hAnsi="Calibri" w:cs="Calibri"/>
        </w:rPr>
        <w:t xml:space="preserve">Glede na leto 2016 so se zmanjšale za 8,3 </w:t>
      </w:r>
      <w:r w:rsidRPr="00472C4D">
        <w:rPr>
          <w:rFonts w:ascii="Calibri" w:hAnsi="Calibri" w:cs="Calibri"/>
        </w:rPr>
        <w:t xml:space="preserve">%. </w:t>
      </w:r>
      <w:r w:rsidR="000A71A7" w:rsidRPr="00472C4D">
        <w:rPr>
          <w:rFonts w:ascii="Calibri" w:hAnsi="Calibri" w:cs="Calibri"/>
        </w:rPr>
        <w:t xml:space="preserve">Emisije iz rabe goriv v gospodinjstvih so </w:t>
      </w:r>
      <w:r w:rsidR="00743CCB">
        <w:rPr>
          <w:rFonts w:ascii="Calibri" w:hAnsi="Calibri" w:cs="Calibri"/>
        </w:rPr>
        <w:t xml:space="preserve">znotraj sektorja </w:t>
      </w:r>
      <w:r w:rsidR="000A71A7" w:rsidRPr="00472C4D">
        <w:rPr>
          <w:rFonts w:ascii="Calibri" w:hAnsi="Calibri" w:cs="Calibri"/>
        </w:rPr>
        <w:t xml:space="preserve">predstavljale </w:t>
      </w:r>
      <w:r w:rsidR="00743CCB">
        <w:rPr>
          <w:rFonts w:ascii="Calibri" w:hAnsi="Calibri" w:cs="Calibri"/>
        </w:rPr>
        <w:t>približno 60</w:t>
      </w:r>
      <w:r w:rsidR="008D0C92">
        <w:rPr>
          <w:rFonts w:ascii="Calibri" w:hAnsi="Calibri" w:cs="Calibri"/>
        </w:rPr>
        <w:t xml:space="preserve"> </w:t>
      </w:r>
      <w:r w:rsidR="000A71A7" w:rsidRPr="00472C4D">
        <w:rPr>
          <w:rFonts w:ascii="Calibri" w:hAnsi="Calibri" w:cs="Calibri"/>
        </w:rPr>
        <w:t xml:space="preserve">%, emisije v storitvenih dejavnostih (institucionalni in komercialni sektor) pa </w:t>
      </w:r>
      <w:r w:rsidR="00743CCB">
        <w:rPr>
          <w:rFonts w:ascii="Calibri" w:hAnsi="Calibri" w:cs="Calibri"/>
        </w:rPr>
        <w:t>25</w:t>
      </w:r>
      <w:r w:rsidR="008D0C92">
        <w:rPr>
          <w:rFonts w:ascii="Calibri" w:hAnsi="Calibri" w:cs="Calibri"/>
        </w:rPr>
        <w:t xml:space="preserve"> </w:t>
      </w:r>
      <w:r w:rsidR="000A71A7" w:rsidRPr="00472C4D">
        <w:rPr>
          <w:rFonts w:ascii="Calibri" w:hAnsi="Calibri" w:cs="Calibri"/>
        </w:rPr>
        <w:t xml:space="preserve">%. </w:t>
      </w:r>
    </w:p>
    <w:p w14:paraId="45343896" w14:textId="5CB70ED8" w:rsidR="00681CD5" w:rsidRDefault="00BF69EA" w:rsidP="00681CD5">
      <w:pPr>
        <w:spacing w:after="0" w:line="240" w:lineRule="auto"/>
        <w:jc w:val="both"/>
        <w:rPr>
          <w:rFonts w:ascii="Calibri" w:hAnsi="Calibri" w:cs="Calibri"/>
        </w:rPr>
      </w:pPr>
      <w:r>
        <w:rPr>
          <w:rFonts w:ascii="Calibri" w:hAnsi="Calibri" w:cs="Calibri"/>
        </w:rPr>
        <w:t>V obdobju 2005−2018</w:t>
      </w:r>
      <w:r w:rsidRPr="00472C4D">
        <w:rPr>
          <w:rFonts w:ascii="Calibri" w:hAnsi="Calibri" w:cs="Calibri"/>
        </w:rPr>
        <w:t xml:space="preserve"> so se emisije v široki rabi zmanjšale najbolj me</w:t>
      </w:r>
      <w:r>
        <w:rPr>
          <w:rFonts w:ascii="Calibri" w:hAnsi="Calibri" w:cs="Calibri"/>
        </w:rPr>
        <w:t xml:space="preserve">d vsemi sektorji, in sicer za </w:t>
      </w:r>
      <w:r w:rsidR="00136978">
        <w:rPr>
          <w:rFonts w:ascii="Calibri" w:hAnsi="Calibri" w:cs="Calibri"/>
        </w:rPr>
        <w:t xml:space="preserve">dobrih </w:t>
      </w:r>
      <w:r>
        <w:rPr>
          <w:rFonts w:ascii="Calibri" w:hAnsi="Calibri" w:cs="Calibri"/>
        </w:rPr>
        <w:t xml:space="preserve">51 %. </w:t>
      </w:r>
      <w:r w:rsidR="00B752CA">
        <w:rPr>
          <w:rFonts w:ascii="Calibri" w:hAnsi="Calibri" w:cs="Calibri"/>
        </w:rPr>
        <w:t xml:space="preserve">V letu 2018 so se emisije zmanjšale za 8,3 %. </w:t>
      </w:r>
      <w:r w:rsidR="00681CD5" w:rsidRPr="00472C4D">
        <w:rPr>
          <w:rFonts w:ascii="Calibri" w:hAnsi="Calibri" w:cs="Calibri"/>
        </w:rPr>
        <w:t>Večina emisij nastaja pri rabi goriv za ogrevanje stavb, zato je vzrok za zmanjšanje emisij v investicijah za izboljšanje toplotnih lastnosti stavb in drugih ukrepih učinkovite rabe energije ter zamenjavi kurilnega olja</w:t>
      </w:r>
      <w:r w:rsidR="00681CD5" w:rsidRPr="00BF69EA">
        <w:t xml:space="preserve"> </w:t>
      </w:r>
      <w:r w:rsidR="00681CD5">
        <w:t>z nizkoogljičnimi viri energije</w:t>
      </w:r>
      <w:r w:rsidR="00681CD5" w:rsidRPr="00472C4D">
        <w:rPr>
          <w:rFonts w:ascii="Calibri" w:hAnsi="Calibri" w:cs="Calibri"/>
        </w:rPr>
        <w:t>.</w:t>
      </w:r>
      <w:r w:rsidR="004D56E9">
        <w:rPr>
          <w:rFonts w:ascii="Calibri" w:hAnsi="Calibri" w:cs="Calibri"/>
        </w:rPr>
        <w:t xml:space="preserve"> </w:t>
      </w:r>
    </w:p>
    <w:p w14:paraId="4A8580F9" w14:textId="77777777" w:rsidR="00B752CA" w:rsidRDefault="00B752CA" w:rsidP="00681CD5">
      <w:pPr>
        <w:spacing w:after="0" w:line="240" w:lineRule="auto"/>
        <w:jc w:val="both"/>
      </w:pPr>
    </w:p>
    <w:p w14:paraId="5147C900" w14:textId="2F233F3C" w:rsidR="004D56E9" w:rsidRDefault="00B752CA" w:rsidP="00681CD5">
      <w:pPr>
        <w:spacing w:after="0" w:line="240" w:lineRule="auto"/>
        <w:jc w:val="both"/>
      </w:pPr>
      <w:r>
        <w:t>E</w:t>
      </w:r>
      <w:r w:rsidR="004D56E9">
        <w:t xml:space="preserve">misije na področju stavb </w:t>
      </w:r>
      <w:r>
        <w:t xml:space="preserve">predstavljajo 9,7 % vseh emisij v ne-ETS sektorjih, od tega </w:t>
      </w:r>
      <w:r w:rsidR="004D56E9">
        <w:t>6,9-odstotni delež</w:t>
      </w:r>
      <w:r>
        <w:t xml:space="preserve"> predstavljajo emisije iz rabe goriv v gospodinjstvih,</w:t>
      </w:r>
      <w:r w:rsidR="004D56E9">
        <w:t xml:space="preserve"> emisije iz rabe goriv v institucionalnem in komercialnem sektorju </w:t>
      </w:r>
      <w:r>
        <w:t>pa</w:t>
      </w:r>
      <w:r w:rsidR="004D56E9">
        <w:t xml:space="preserve"> 2,8-odstotni delež. </w:t>
      </w:r>
      <w:r w:rsidR="00F57578">
        <w:t>Ker</w:t>
      </w:r>
      <w:r w:rsidR="00780846">
        <w:t xml:space="preserve"> </w:t>
      </w:r>
      <w:r w:rsidR="00F57578">
        <w:t xml:space="preserve">večina </w:t>
      </w:r>
      <w:r w:rsidR="004D56E9">
        <w:t>emisij nastaja pri rabi goriv za ogrevanje stavb, so emisije v posameznem letu odvisne tudi od podnebnih razmer</w:t>
      </w:r>
      <w:r w:rsidR="006701CC">
        <w:t xml:space="preserve">, kar </w:t>
      </w:r>
      <w:r w:rsidR="00780846">
        <w:t>se odraža</w:t>
      </w:r>
      <w:r w:rsidR="00920523">
        <w:t>lo</w:t>
      </w:r>
      <w:r w:rsidR="00780846">
        <w:t xml:space="preserve"> v </w:t>
      </w:r>
      <w:r w:rsidR="006701CC">
        <w:t>povečanj</w:t>
      </w:r>
      <w:r w:rsidR="00780846">
        <w:t>u</w:t>
      </w:r>
      <w:r w:rsidR="006701CC">
        <w:t xml:space="preserve"> emisij</w:t>
      </w:r>
      <w:r w:rsidR="00780846">
        <w:t xml:space="preserve"> v letih 2015 in 2016 ter zmanjšanju v letih 2017 in 2018.</w:t>
      </w:r>
      <w:r w:rsidR="004D56E9">
        <w:t xml:space="preserve"> </w:t>
      </w:r>
    </w:p>
    <w:p w14:paraId="65C3882E" w14:textId="194C38AF" w:rsidR="0078315B" w:rsidRPr="00472C4D" w:rsidRDefault="0078315B" w:rsidP="00B44300">
      <w:pPr>
        <w:spacing w:after="0" w:line="240" w:lineRule="auto"/>
        <w:jc w:val="both"/>
        <w:rPr>
          <w:rFonts w:ascii="Calibri" w:hAnsi="Calibri" w:cs="Calibri"/>
        </w:rPr>
      </w:pPr>
    </w:p>
    <w:p w14:paraId="1C27619A" w14:textId="0749E15D" w:rsidR="0078315B" w:rsidRPr="00472C4D" w:rsidRDefault="0078315B" w:rsidP="00B44300">
      <w:pPr>
        <w:spacing w:after="0" w:line="240" w:lineRule="auto"/>
        <w:jc w:val="both"/>
        <w:rPr>
          <w:rFonts w:ascii="Calibri" w:hAnsi="Calibri" w:cs="Calibri"/>
          <w:b/>
          <w:bCs/>
        </w:rPr>
      </w:pPr>
      <w:r w:rsidRPr="00472C4D">
        <w:rPr>
          <w:rFonts w:ascii="Calibri" w:hAnsi="Calibri" w:cs="Calibri"/>
          <w:b/>
          <w:bCs/>
        </w:rPr>
        <w:t>2.2.4 Industrija ne</w:t>
      </w:r>
      <w:r w:rsidR="00FD0193">
        <w:rPr>
          <w:rFonts w:ascii="Calibri" w:hAnsi="Calibri" w:cs="Calibri"/>
          <w:b/>
          <w:bCs/>
        </w:rPr>
        <w:t>-</w:t>
      </w:r>
      <w:r w:rsidRPr="00472C4D">
        <w:rPr>
          <w:rFonts w:ascii="Calibri" w:hAnsi="Calibri" w:cs="Calibri"/>
          <w:b/>
          <w:bCs/>
        </w:rPr>
        <w:t>ETS</w:t>
      </w:r>
    </w:p>
    <w:p w14:paraId="3CC12601" w14:textId="58DBDACB" w:rsidR="0078315B" w:rsidRPr="00472C4D" w:rsidRDefault="0078315B" w:rsidP="00B44300">
      <w:pPr>
        <w:spacing w:after="0" w:line="240" w:lineRule="auto"/>
        <w:jc w:val="both"/>
        <w:rPr>
          <w:rFonts w:ascii="Calibri" w:hAnsi="Calibri" w:cs="Calibri"/>
        </w:rPr>
      </w:pPr>
    </w:p>
    <w:p w14:paraId="3AA5200D" w14:textId="23244947" w:rsidR="001A358E" w:rsidRDefault="000103C6" w:rsidP="001A358E">
      <w:pPr>
        <w:spacing w:after="0" w:line="240" w:lineRule="auto"/>
        <w:jc w:val="both"/>
        <w:rPr>
          <w:rFonts w:ascii="Calibri" w:hAnsi="Calibri" w:cs="Calibri"/>
        </w:rPr>
      </w:pPr>
      <w:r>
        <w:rPr>
          <w:rFonts w:ascii="Calibri" w:hAnsi="Calibri" w:cs="Calibri"/>
        </w:rPr>
        <w:t xml:space="preserve">Industrija ne-ETS vključuje emisije iz zgorevanja goriv v industriji in gradbeništvu ter procesne emisije. </w:t>
      </w:r>
      <w:r w:rsidR="001A358E" w:rsidRPr="00472C4D">
        <w:rPr>
          <w:rFonts w:ascii="Calibri" w:hAnsi="Calibri" w:cs="Calibri"/>
        </w:rPr>
        <w:t xml:space="preserve">Indikativni cilj za sektor </w:t>
      </w:r>
      <w:r w:rsidR="004D1583" w:rsidRPr="00472C4D">
        <w:rPr>
          <w:rFonts w:ascii="Calibri" w:hAnsi="Calibri" w:cs="Calibri"/>
        </w:rPr>
        <w:t>industrija, ki je zunaj sheme EU-ETS,</w:t>
      </w:r>
      <w:r w:rsidR="001A358E" w:rsidRPr="00472C4D">
        <w:rPr>
          <w:rFonts w:ascii="Calibri" w:hAnsi="Calibri" w:cs="Calibri"/>
        </w:rPr>
        <w:t xml:space="preserve"> v OP TGP 2020 določa, da se emisije TGP do leta 2020, glede na leto 2005, zmanjšajo za 42</w:t>
      </w:r>
      <w:r w:rsidR="008D0C92">
        <w:rPr>
          <w:rFonts w:ascii="Calibri" w:hAnsi="Calibri" w:cs="Calibri"/>
        </w:rPr>
        <w:t xml:space="preserve"> </w:t>
      </w:r>
      <w:r w:rsidR="001A358E" w:rsidRPr="00472C4D">
        <w:rPr>
          <w:rFonts w:ascii="Calibri" w:hAnsi="Calibri" w:cs="Calibri"/>
        </w:rPr>
        <w:t>%.</w:t>
      </w:r>
    </w:p>
    <w:p w14:paraId="3376E7A1" w14:textId="77777777" w:rsidR="000C57B4" w:rsidRPr="00472C4D" w:rsidRDefault="000C57B4" w:rsidP="001A358E">
      <w:pPr>
        <w:spacing w:after="0" w:line="240" w:lineRule="auto"/>
        <w:jc w:val="both"/>
        <w:rPr>
          <w:rFonts w:ascii="Calibri" w:hAnsi="Calibri" w:cs="Calibri"/>
        </w:rPr>
      </w:pPr>
    </w:p>
    <w:p w14:paraId="0A9ECA31" w14:textId="757B0D77" w:rsidR="004A691F" w:rsidRDefault="000B0F5C" w:rsidP="00DF33E9">
      <w:pPr>
        <w:spacing w:after="0" w:line="240" w:lineRule="auto"/>
        <w:jc w:val="both"/>
        <w:rPr>
          <w:rFonts w:ascii="Calibri" w:hAnsi="Calibri" w:cs="Calibri"/>
        </w:rPr>
      </w:pPr>
      <w:r w:rsidRPr="00472C4D">
        <w:rPr>
          <w:rFonts w:ascii="Calibri" w:hAnsi="Calibri" w:cs="Calibri"/>
        </w:rPr>
        <w:t xml:space="preserve">V letu 2017 so </w:t>
      </w:r>
      <w:r w:rsidR="00533EA4">
        <w:rPr>
          <w:rFonts w:ascii="Calibri" w:hAnsi="Calibri" w:cs="Calibri"/>
        </w:rPr>
        <w:t xml:space="preserve">v skupnem deležu ne-ETS emisij </w:t>
      </w:r>
      <w:r w:rsidRPr="00472C4D">
        <w:rPr>
          <w:rFonts w:ascii="Calibri" w:hAnsi="Calibri" w:cs="Calibri"/>
        </w:rPr>
        <w:t>emisije iz zgorevanja goriv predstavljale 10,</w:t>
      </w:r>
      <w:r w:rsidR="0095743E">
        <w:rPr>
          <w:rFonts w:ascii="Calibri" w:hAnsi="Calibri" w:cs="Calibri"/>
        </w:rPr>
        <w:t>3</w:t>
      </w:r>
      <w:r w:rsidR="008D0C92">
        <w:rPr>
          <w:rFonts w:ascii="Calibri" w:hAnsi="Calibri" w:cs="Calibri"/>
        </w:rPr>
        <w:t xml:space="preserve"> </w:t>
      </w:r>
      <w:r w:rsidRPr="00472C4D">
        <w:rPr>
          <w:rFonts w:ascii="Calibri" w:hAnsi="Calibri" w:cs="Calibri"/>
        </w:rPr>
        <w:t>%</w:t>
      </w:r>
      <w:r w:rsidR="00533EA4">
        <w:rPr>
          <w:rFonts w:ascii="Calibri" w:hAnsi="Calibri" w:cs="Calibri"/>
        </w:rPr>
        <w:t>,</w:t>
      </w:r>
      <w:r w:rsidRPr="00472C4D">
        <w:rPr>
          <w:rFonts w:ascii="Calibri" w:hAnsi="Calibri" w:cs="Calibri"/>
        </w:rPr>
        <w:t xml:space="preserve"> </w:t>
      </w:r>
      <w:r w:rsidR="00533EA4">
        <w:rPr>
          <w:rFonts w:ascii="Calibri" w:hAnsi="Calibri" w:cs="Calibri"/>
        </w:rPr>
        <w:t>v letu 2018 pa 10,9 %</w:t>
      </w:r>
      <w:r w:rsidR="009A7115">
        <w:rPr>
          <w:rFonts w:ascii="Calibri" w:hAnsi="Calibri" w:cs="Calibri"/>
        </w:rPr>
        <w:t xml:space="preserve"> (e</w:t>
      </w:r>
      <w:r w:rsidR="00533EA4" w:rsidRPr="00472C4D">
        <w:rPr>
          <w:rFonts w:ascii="Calibri" w:hAnsi="Calibri" w:cs="Calibri"/>
        </w:rPr>
        <w:t xml:space="preserve">misije v industriji in gradbeništvu </w:t>
      </w:r>
      <w:r w:rsidR="00533EA4">
        <w:rPr>
          <w:rFonts w:ascii="Calibri" w:hAnsi="Calibri" w:cs="Calibri"/>
        </w:rPr>
        <w:t>6</w:t>
      </w:r>
      <w:r w:rsidR="00533EA4" w:rsidRPr="00472C4D">
        <w:rPr>
          <w:rFonts w:ascii="Calibri" w:hAnsi="Calibri" w:cs="Calibri"/>
        </w:rPr>
        <w:t>,7</w:t>
      </w:r>
      <w:r w:rsidR="00533EA4">
        <w:rPr>
          <w:rFonts w:ascii="Calibri" w:hAnsi="Calibri" w:cs="Calibri"/>
        </w:rPr>
        <w:t xml:space="preserve"> </w:t>
      </w:r>
      <w:r w:rsidR="00533EA4" w:rsidRPr="00472C4D">
        <w:rPr>
          <w:rFonts w:ascii="Calibri" w:hAnsi="Calibri" w:cs="Calibri"/>
        </w:rPr>
        <w:t>%, procesne emisije 4,</w:t>
      </w:r>
      <w:r w:rsidR="00533EA4">
        <w:rPr>
          <w:rFonts w:ascii="Calibri" w:hAnsi="Calibri" w:cs="Calibri"/>
        </w:rPr>
        <w:t xml:space="preserve">1 </w:t>
      </w:r>
      <w:r w:rsidR="00533EA4" w:rsidRPr="00472C4D">
        <w:rPr>
          <w:rFonts w:ascii="Calibri" w:hAnsi="Calibri" w:cs="Calibri"/>
        </w:rPr>
        <w:t>%</w:t>
      </w:r>
      <w:r w:rsidR="009A7115">
        <w:rPr>
          <w:rFonts w:ascii="Calibri" w:hAnsi="Calibri" w:cs="Calibri"/>
        </w:rPr>
        <w:t>)</w:t>
      </w:r>
      <w:r w:rsidR="006C30B9">
        <w:rPr>
          <w:rStyle w:val="Sprotnaopomba-sklic"/>
          <w:rFonts w:ascii="Calibri" w:hAnsi="Calibri" w:cs="Calibri"/>
        </w:rPr>
        <w:footnoteReference w:id="8"/>
      </w:r>
      <w:r w:rsidR="00533EA4" w:rsidRPr="00472C4D">
        <w:rPr>
          <w:rFonts w:ascii="Calibri" w:hAnsi="Calibri" w:cs="Calibri"/>
        </w:rPr>
        <w:t>.</w:t>
      </w:r>
      <w:r w:rsidR="00533EA4">
        <w:rPr>
          <w:rFonts w:ascii="Calibri" w:hAnsi="Calibri" w:cs="Calibri"/>
        </w:rPr>
        <w:t xml:space="preserve"> </w:t>
      </w:r>
    </w:p>
    <w:p w14:paraId="7C275500" w14:textId="089F90AD" w:rsidR="00EA5336" w:rsidRDefault="00EA5336" w:rsidP="00DF33E9">
      <w:pPr>
        <w:spacing w:after="0" w:line="240" w:lineRule="auto"/>
        <w:jc w:val="both"/>
        <w:rPr>
          <w:rFonts w:ascii="Calibri" w:hAnsi="Calibri" w:cs="Calibri"/>
        </w:rPr>
      </w:pPr>
      <w:r>
        <w:rPr>
          <w:rFonts w:ascii="Calibri" w:hAnsi="Calibri" w:cs="Calibri"/>
        </w:rPr>
        <w:t>V obdobju 2005-2018</w:t>
      </w:r>
      <w:r w:rsidR="000B0F5C" w:rsidRPr="00472C4D">
        <w:rPr>
          <w:rFonts w:ascii="Calibri" w:hAnsi="Calibri" w:cs="Calibri"/>
        </w:rPr>
        <w:t xml:space="preserve"> so se emisije </w:t>
      </w:r>
      <w:r w:rsidR="00533EA4">
        <w:rPr>
          <w:rFonts w:ascii="Calibri" w:hAnsi="Calibri" w:cs="Calibri"/>
        </w:rPr>
        <w:t xml:space="preserve">sicer </w:t>
      </w:r>
      <w:r w:rsidR="000B0F5C" w:rsidRPr="00472C4D">
        <w:rPr>
          <w:rFonts w:ascii="Calibri" w:hAnsi="Calibri" w:cs="Calibri"/>
        </w:rPr>
        <w:t>zmanjšale za 2</w:t>
      </w:r>
      <w:r>
        <w:rPr>
          <w:rFonts w:ascii="Calibri" w:hAnsi="Calibri" w:cs="Calibri"/>
        </w:rPr>
        <w:t>2,5</w:t>
      </w:r>
      <w:r w:rsidR="008D0C92">
        <w:rPr>
          <w:rFonts w:ascii="Calibri" w:hAnsi="Calibri" w:cs="Calibri"/>
        </w:rPr>
        <w:t xml:space="preserve"> </w:t>
      </w:r>
      <w:r w:rsidR="000B0F5C" w:rsidRPr="00472C4D">
        <w:rPr>
          <w:rFonts w:ascii="Calibri" w:hAnsi="Calibri" w:cs="Calibri"/>
        </w:rPr>
        <w:t xml:space="preserve">%, toda se </w:t>
      </w:r>
      <w:r w:rsidR="00533EA4">
        <w:rPr>
          <w:rFonts w:ascii="Calibri" w:hAnsi="Calibri" w:cs="Calibri"/>
        </w:rPr>
        <w:t>od leta 2013</w:t>
      </w:r>
      <w:r w:rsidR="000B0F5C" w:rsidRPr="00472C4D">
        <w:rPr>
          <w:rFonts w:ascii="Calibri" w:hAnsi="Calibri" w:cs="Calibri"/>
        </w:rPr>
        <w:t xml:space="preserve"> povečujejo in oddaljujejo od indikativnega cilja OP TGP</w:t>
      </w:r>
      <w:r w:rsidR="008C014E" w:rsidRPr="00472C4D">
        <w:rPr>
          <w:rFonts w:ascii="Calibri" w:hAnsi="Calibri" w:cs="Calibri"/>
        </w:rPr>
        <w:t xml:space="preserve"> 2020</w:t>
      </w:r>
      <w:r w:rsidR="000B0F5C" w:rsidRPr="00472C4D">
        <w:rPr>
          <w:rFonts w:ascii="Calibri" w:hAnsi="Calibri" w:cs="Calibri"/>
        </w:rPr>
        <w:t xml:space="preserve">. </w:t>
      </w:r>
      <w:r w:rsidR="00533EA4">
        <w:rPr>
          <w:rFonts w:ascii="Calibri" w:hAnsi="Calibri" w:cs="Calibri"/>
        </w:rPr>
        <w:t>Le v letu 2018 so se emisije iz tega sektorja povečale za 7,5 %. Večje emisije so posledica večjih emisij pri rabi energije v predelovalnih dejavnostih. Raba energije se je v veliki meri povečala tudi zaradi izboljšanja zajema statističnih podatkov.</w:t>
      </w:r>
      <w:r w:rsidR="00533EA4" w:rsidRPr="00533EA4">
        <w:rPr>
          <w:rFonts w:ascii="Calibri" w:hAnsi="Calibri" w:cs="Calibri"/>
        </w:rPr>
        <w:t xml:space="preserve"> </w:t>
      </w:r>
    </w:p>
    <w:p w14:paraId="4B5C660D" w14:textId="77777777" w:rsidR="00EA5336" w:rsidRDefault="00EA5336" w:rsidP="00DF33E9">
      <w:pPr>
        <w:spacing w:after="0" w:line="240" w:lineRule="auto"/>
        <w:jc w:val="both"/>
        <w:rPr>
          <w:rFonts w:ascii="Calibri" w:hAnsi="Calibri" w:cs="Calibri"/>
        </w:rPr>
      </w:pPr>
    </w:p>
    <w:p w14:paraId="7A40231D" w14:textId="44E5DD53" w:rsidR="00DB73B7" w:rsidRPr="00472C4D" w:rsidRDefault="006E290B" w:rsidP="00B44300">
      <w:pPr>
        <w:spacing w:after="0" w:line="240" w:lineRule="auto"/>
        <w:jc w:val="both"/>
        <w:rPr>
          <w:rFonts w:ascii="Calibri" w:hAnsi="Calibri" w:cs="Calibri"/>
          <w:b/>
          <w:bCs/>
        </w:rPr>
      </w:pPr>
      <w:r>
        <w:rPr>
          <w:rFonts w:ascii="Calibri" w:hAnsi="Calibri" w:cs="Calibri"/>
          <w:b/>
          <w:bCs/>
        </w:rPr>
        <w:t>2.2.5</w:t>
      </w:r>
      <w:r w:rsidR="00DB73B7" w:rsidRPr="00472C4D">
        <w:rPr>
          <w:rFonts w:ascii="Calibri" w:hAnsi="Calibri" w:cs="Calibri"/>
          <w:b/>
          <w:bCs/>
        </w:rPr>
        <w:t xml:space="preserve"> Energetika ne</w:t>
      </w:r>
      <w:r w:rsidR="00FD0193">
        <w:rPr>
          <w:rFonts w:ascii="Calibri" w:hAnsi="Calibri" w:cs="Calibri"/>
          <w:b/>
          <w:bCs/>
        </w:rPr>
        <w:t>-</w:t>
      </w:r>
      <w:r w:rsidR="00DB73B7" w:rsidRPr="00472C4D">
        <w:rPr>
          <w:rFonts w:ascii="Calibri" w:hAnsi="Calibri" w:cs="Calibri"/>
          <w:b/>
          <w:bCs/>
        </w:rPr>
        <w:t>ETS</w:t>
      </w:r>
    </w:p>
    <w:p w14:paraId="3826F20F" w14:textId="4920F7C0" w:rsidR="00E211D7" w:rsidRPr="00472C4D" w:rsidRDefault="00E211D7" w:rsidP="00B44300">
      <w:pPr>
        <w:spacing w:after="0" w:line="240" w:lineRule="auto"/>
        <w:jc w:val="both"/>
        <w:rPr>
          <w:rFonts w:ascii="Calibri" w:hAnsi="Calibri" w:cs="Calibri"/>
        </w:rPr>
      </w:pPr>
    </w:p>
    <w:p w14:paraId="7CBCFF24" w14:textId="66030CDB" w:rsidR="009868F4" w:rsidRDefault="00FA69B0" w:rsidP="009868F4">
      <w:pPr>
        <w:spacing w:after="0" w:line="240" w:lineRule="auto"/>
        <w:jc w:val="both"/>
        <w:rPr>
          <w:rFonts w:ascii="Calibri" w:hAnsi="Calibri" w:cs="Calibri"/>
        </w:rPr>
      </w:pPr>
      <w:r w:rsidRPr="00472C4D">
        <w:rPr>
          <w:rFonts w:ascii="Calibri" w:hAnsi="Calibri" w:cs="Calibri"/>
        </w:rPr>
        <w:t>Emisije zajete v energetiki ne</w:t>
      </w:r>
      <w:r>
        <w:rPr>
          <w:rFonts w:ascii="Calibri" w:hAnsi="Calibri" w:cs="Calibri"/>
        </w:rPr>
        <w:t>-</w:t>
      </w:r>
      <w:r w:rsidRPr="00472C4D">
        <w:rPr>
          <w:rFonts w:ascii="Calibri" w:hAnsi="Calibri" w:cs="Calibri"/>
        </w:rPr>
        <w:t>ETS večinoma predstavljajo emisije iz sistemov daljinskega ogrevanja in ubežne emisije.</w:t>
      </w:r>
      <w:r>
        <w:rPr>
          <w:rFonts w:ascii="Calibri" w:hAnsi="Calibri" w:cs="Calibri"/>
        </w:rPr>
        <w:t xml:space="preserve"> </w:t>
      </w:r>
      <w:r w:rsidR="009868F4" w:rsidRPr="00472C4D">
        <w:rPr>
          <w:rFonts w:ascii="Calibri" w:hAnsi="Calibri" w:cs="Calibri"/>
        </w:rPr>
        <w:t xml:space="preserve">Indikativni cilj za sektor </w:t>
      </w:r>
      <w:r w:rsidR="00BC7581" w:rsidRPr="00472C4D">
        <w:rPr>
          <w:rFonts w:ascii="Calibri" w:hAnsi="Calibri" w:cs="Calibri"/>
        </w:rPr>
        <w:t>energetika</w:t>
      </w:r>
      <w:r w:rsidR="009868F4" w:rsidRPr="00472C4D">
        <w:rPr>
          <w:rFonts w:ascii="Calibri" w:hAnsi="Calibri" w:cs="Calibri"/>
        </w:rPr>
        <w:t xml:space="preserve">, ki je zunaj sheme EU-ETS, v OP TGP 2020 določa, da se emisije TGP do leta 2020, glede na leto 2005, </w:t>
      </w:r>
      <w:r w:rsidR="00BC7581" w:rsidRPr="00472C4D">
        <w:rPr>
          <w:rFonts w:ascii="Calibri" w:hAnsi="Calibri" w:cs="Calibri"/>
        </w:rPr>
        <w:t>ne smejo povečati za več kot 6</w:t>
      </w:r>
      <w:r w:rsidR="008D0C92">
        <w:rPr>
          <w:rFonts w:ascii="Calibri" w:hAnsi="Calibri" w:cs="Calibri"/>
        </w:rPr>
        <w:t xml:space="preserve"> </w:t>
      </w:r>
      <w:r w:rsidR="009868F4" w:rsidRPr="00472C4D">
        <w:rPr>
          <w:rFonts w:ascii="Calibri" w:hAnsi="Calibri" w:cs="Calibri"/>
        </w:rPr>
        <w:t>%.</w:t>
      </w:r>
      <w:r w:rsidR="00700284" w:rsidRPr="00472C4D">
        <w:rPr>
          <w:rFonts w:ascii="Calibri" w:hAnsi="Calibri" w:cs="Calibri"/>
        </w:rPr>
        <w:t xml:space="preserve"> </w:t>
      </w:r>
    </w:p>
    <w:p w14:paraId="7DB02303" w14:textId="77777777" w:rsidR="000C57B4" w:rsidRPr="00472C4D" w:rsidRDefault="000C57B4" w:rsidP="009868F4">
      <w:pPr>
        <w:spacing w:after="0" w:line="240" w:lineRule="auto"/>
        <w:jc w:val="both"/>
        <w:rPr>
          <w:rFonts w:ascii="Calibri" w:hAnsi="Calibri" w:cs="Calibri"/>
        </w:rPr>
      </w:pPr>
    </w:p>
    <w:p w14:paraId="14566EEB" w14:textId="5CAEE7B7" w:rsidR="00731A73" w:rsidRDefault="00700284" w:rsidP="009868F4">
      <w:pPr>
        <w:spacing w:after="0" w:line="240" w:lineRule="auto"/>
        <w:jc w:val="both"/>
        <w:rPr>
          <w:rFonts w:ascii="Calibri" w:hAnsi="Calibri" w:cs="Calibri"/>
        </w:rPr>
      </w:pPr>
      <w:r w:rsidRPr="00472C4D">
        <w:rPr>
          <w:rFonts w:ascii="Calibri" w:hAnsi="Calibri" w:cs="Calibri"/>
        </w:rPr>
        <w:t>V letu 2017 so</w:t>
      </w:r>
      <w:r w:rsidR="00195E14" w:rsidRPr="00472C4D">
        <w:rPr>
          <w:rFonts w:ascii="Calibri" w:hAnsi="Calibri" w:cs="Calibri"/>
        </w:rPr>
        <w:t xml:space="preserve"> se</w:t>
      </w:r>
      <w:r w:rsidR="001646DE">
        <w:rPr>
          <w:rFonts w:ascii="Calibri" w:hAnsi="Calibri" w:cs="Calibri"/>
        </w:rPr>
        <w:t xml:space="preserve"> emisije povečale za </w:t>
      </w:r>
      <w:r w:rsidR="00234C19">
        <w:rPr>
          <w:rFonts w:ascii="Calibri" w:hAnsi="Calibri" w:cs="Calibri"/>
        </w:rPr>
        <w:t>5,9</w:t>
      </w:r>
      <w:r w:rsidR="008D0C92">
        <w:rPr>
          <w:rFonts w:ascii="Calibri" w:hAnsi="Calibri" w:cs="Calibri"/>
        </w:rPr>
        <w:t xml:space="preserve"> </w:t>
      </w:r>
      <w:r w:rsidR="00DE36CF" w:rsidRPr="00472C4D">
        <w:rPr>
          <w:rFonts w:ascii="Calibri" w:hAnsi="Calibri" w:cs="Calibri"/>
        </w:rPr>
        <w:t>%</w:t>
      </w:r>
      <w:r w:rsidR="001646DE">
        <w:rPr>
          <w:rFonts w:ascii="Calibri" w:hAnsi="Calibri" w:cs="Calibri"/>
        </w:rPr>
        <w:t xml:space="preserve">, v letu 2018 za </w:t>
      </w:r>
      <w:r w:rsidR="003A74E4">
        <w:rPr>
          <w:rFonts w:ascii="Calibri" w:hAnsi="Calibri" w:cs="Calibri"/>
        </w:rPr>
        <w:t xml:space="preserve">1,3 </w:t>
      </w:r>
      <w:r w:rsidR="001646DE">
        <w:rPr>
          <w:rFonts w:ascii="Calibri" w:hAnsi="Calibri" w:cs="Calibri"/>
        </w:rPr>
        <w:t xml:space="preserve">%. V obeh letih so emisije </w:t>
      </w:r>
      <w:r w:rsidR="00DE36CF" w:rsidRPr="00472C4D">
        <w:rPr>
          <w:rFonts w:ascii="Calibri" w:hAnsi="Calibri" w:cs="Calibri"/>
        </w:rPr>
        <w:t>v skupnem deležu ne</w:t>
      </w:r>
      <w:r w:rsidR="00FD0193">
        <w:rPr>
          <w:rFonts w:ascii="Calibri" w:hAnsi="Calibri" w:cs="Calibri"/>
        </w:rPr>
        <w:t>-</w:t>
      </w:r>
      <w:r w:rsidR="00DE36CF" w:rsidRPr="00472C4D">
        <w:rPr>
          <w:rFonts w:ascii="Calibri" w:hAnsi="Calibri" w:cs="Calibri"/>
        </w:rPr>
        <w:t xml:space="preserve">ETS sektorjev </w:t>
      </w:r>
      <w:r w:rsidRPr="00472C4D">
        <w:rPr>
          <w:rFonts w:ascii="Calibri" w:hAnsi="Calibri" w:cs="Calibri"/>
        </w:rPr>
        <w:t>predstavljale 4,7</w:t>
      </w:r>
      <w:r w:rsidR="008D0C92">
        <w:rPr>
          <w:rFonts w:ascii="Calibri" w:hAnsi="Calibri" w:cs="Calibri"/>
        </w:rPr>
        <w:t xml:space="preserve"> </w:t>
      </w:r>
      <w:r w:rsidRPr="00472C4D">
        <w:rPr>
          <w:rFonts w:ascii="Calibri" w:hAnsi="Calibri" w:cs="Calibri"/>
        </w:rPr>
        <w:t xml:space="preserve">%. </w:t>
      </w:r>
      <w:r w:rsidR="00DE36CF" w:rsidRPr="00472C4D">
        <w:rPr>
          <w:rFonts w:ascii="Calibri" w:hAnsi="Calibri" w:cs="Calibri"/>
        </w:rPr>
        <w:t>Kljub temu, da se emisije o</w:t>
      </w:r>
      <w:r w:rsidRPr="00472C4D">
        <w:rPr>
          <w:rFonts w:ascii="Calibri" w:hAnsi="Calibri" w:cs="Calibri"/>
        </w:rPr>
        <w:t>d leta 201</w:t>
      </w:r>
      <w:r w:rsidR="00234C19">
        <w:rPr>
          <w:rFonts w:ascii="Calibri" w:hAnsi="Calibri" w:cs="Calibri"/>
        </w:rPr>
        <w:t>4</w:t>
      </w:r>
      <w:r w:rsidR="00DE36CF" w:rsidRPr="00472C4D">
        <w:rPr>
          <w:rFonts w:ascii="Calibri" w:hAnsi="Calibri" w:cs="Calibri"/>
        </w:rPr>
        <w:t xml:space="preserve"> </w:t>
      </w:r>
      <w:r w:rsidRPr="00472C4D">
        <w:rPr>
          <w:rFonts w:ascii="Calibri" w:hAnsi="Calibri" w:cs="Calibri"/>
        </w:rPr>
        <w:t>povečujejo</w:t>
      </w:r>
      <w:r w:rsidR="001646DE">
        <w:rPr>
          <w:rFonts w:ascii="Calibri" w:hAnsi="Calibri" w:cs="Calibri"/>
        </w:rPr>
        <w:t>, so se v obdobju 2005-2018</w:t>
      </w:r>
      <w:r w:rsidR="00DE36CF" w:rsidRPr="00472C4D">
        <w:rPr>
          <w:rFonts w:ascii="Calibri" w:hAnsi="Calibri" w:cs="Calibri"/>
        </w:rPr>
        <w:t xml:space="preserve"> emisije zmanjšale za </w:t>
      </w:r>
      <w:r w:rsidR="001646DE">
        <w:rPr>
          <w:rFonts w:ascii="Calibri" w:hAnsi="Calibri" w:cs="Calibri"/>
        </w:rPr>
        <w:t>12,</w:t>
      </w:r>
      <w:r w:rsidR="003A74E4">
        <w:rPr>
          <w:rFonts w:ascii="Calibri" w:hAnsi="Calibri" w:cs="Calibri"/>
        </w:rPr>
        <w:t>8</w:t>
      </w:r>
      <w:r w:rsidR="001646DE">
        <w:rPr>
          <w:rFonts w:ascii="Calibri" w:hAnsi="Calibri" w:cs="Calibri"/>
        </w:rPr>
        <w:t xml:space="preserve"> </w:t>
      </w:r>
      <w:r w:rsidR="00DE36CF" w:rsidRPr="00472C4D">
        <w:rPr>
          <w:rFonts w:ascii="Calibri" w:hAnsi="Calibri" w:cs="Calibri"/>
        </w:rPr>
        <w:t xml:space="preserve">% in so </w:t>
      </w:r>
      <w:r w:rsidR="001646DE">
        <w:rPr>
          <w:rFonts w:ascii="Calibri" w:hAnsi="Calibri" w:cs="Calibri"/>
        </w:rPr>
        <w:t xml:space="preserve">bile v letu 2018 </w:t>
      </w:r>
      <w:r w:rsidR="00DE36CF" w:rsidRPr="00472C4D">
        <w:rPr>
          <w:rFonts w:ascii="Calibri" w:hAnsi="Calibri" w:cs="Calibri"/>
        </w:rPr>
        <w:t xml:space="preserve">za </w:t>
      </w:r>
      <w:r w:rsidR="00893456">
        <w:rPr>
          <w:rFonts w:ascii="Calibri" w:hAnsi="Calibri" w:cs="Calibri"/>
        </w:rPr>
        <w:t>17,7 %</w:t>
      </w:r>
      <w:r w:rsidR="00DE36CF" w:rsidRPr="00472C4D">
        <w:rPr>
          <w:rFonts w:ascii="Calibri" w:hAnsi="Calibri" w:cs="Calibri"/>
        </w:rPr>
        <w:t xml:space="preserve"> nižje od </w:t>
      </w:r>
      <w:r w:rsidR="001646DE">
        <w:rPr>
          <w:rFonts w:ascii="Calibri" w:hAnsi="Calibri" w:cs="Calibri"/>
        </w:rPr>
        <w:t xml:space="preserve">indikativnega sektorskega </w:t>
      </w:r>
      <w:r w:rsidR="00DE36CF" w:rsidRPr="00472C4D">
        <w:rPr>
          <w:rFonts w:ascii="Calibri" w:hAnsi="Calibri" w:cs="Calibri"/>
        </w:rPr>
        <w:t xml:space="preserve">cilja za leto 2020.  </w:t>
      </w:r>
    </w:p>
    <w:p w14:paraId="36E98CC8" w14:textId="38CAA6DA" w:rsidR="00DF22A4" w:rsidRDefault="00DF22A4" w:rsidP="009868F4">
      <w:pPr>
        <w:spacing w:after="0" w:line="240" w:lineRule="auto"/>
        <w:jc w:val="both"/>
        <w:rPr>
          <w:rFonts w:ascii="Calibri" w:hAnsi="Calibri" w:cs="Calibri"/>
        </w:rPr>
      </w:pPr>
    </w:p>
    <w:p w14:paraId="516FDD00" w14:textId="0FEE7C74" w:rsidR="00DF22A4" w:rsidRDefault="00DF22A4" w:rsidP="009868F4">
      <w:pPr>
        <w:spacing w:after="0" w:line="240" w:lineRule="auto"/>
        <w:jc w:val="both"/>
        <w:rPr>
          <w:rFonts w:ascii="Calibri" w:hAnsi="Calibri" w:cs="Calibri"/>
        </w:rPr>
      </w:pPr>
    </w:p>
    <w:p w14:paraId="4B29176D" w14:textId="77777777" w:rsidR="009A7115" w:rsidRDefault="009A7115" w:rsidP="009868F4">
      <w:pPr>
        <w:spacing w:after="0" w:line="240" w:lineRule="auto"/>
        <w:jc w:val="both"/>
        <w:rPr>
          <w:rFonts w:ascii="Calibri" w:hAnsi="Calibri" w:cs="Calibri"/>
        </w:rPr>
      </w:pPr>
    </w:p>
    <w:p w14:paraId="631660F2" w14:textId="77777777" w:rsidR="00530F5C" w:rsidRDefault="00530F5C" w:rsidP="009868F4">
      <w:pPr>
        <w:spacing w:after="0" w:line="240" w:lineRule="auto"/>
        <w:jc w:val="both"/>
        <w:rPr>
          <w:rFonts w:ascii="Calibri" w:hAnsi="Calibri" w:cs="Calibri"/>
        </w:rPr>
      </w:pPr>
    </w:p>
    <w:p w14:paraId="5D8F0699" w14:textId="3E687A04" w:rsidR="006E290B" w:rsidRPr="00472C4D" w:rsidRDefault="006E290B" w:rsidP="006E290B">
      <w:pPr>
        <w:spacing w:after="0" w:line="240" w:lineRule="auto"/>
        <w:jc w:val="both"/>
        <w:rPr>
          <w:rFonts w:ascii="Calibri" w:hAnsi="Calibri" w:cs="Calibri"/>
          <w:b/>
          <w:bCs/>
        </w:rPr>
      </w:pPr>
      <w:r>
        <w:rPr>
          <w:rFonts w:ascii="Calibri" w:hAnsi="Calibri" w:cs="Calibri"/>
          <w:b/>
          <w:bCs/>
        </w:rPr>
        <w:lastRenderedPageBreak/>
        <w:t>2.2.6</w:t>
      </w:r>
      <w:r w:rsidRPr="00472C4D">
        <w:rPr>
          <w:rFonts w:ascii="Calibri" w:hAnsi="Calibri" w:cs="Calibri"/>
          <w:b/>
          <w:bCs/>
        </w:rPr>
        <w:t xml:space="preserve"> Odpadki</w:t>
      </w:r>
    </w:p>
    <w:p w14:paraId="52FD0AED" w14:textId="77777777" w:rsidR="006E290B" w:rsidRPr="00472C4D" w:rsidRDefault="006E290B" w:rsidP="006E290B">
      <w:pPr>
        <w:spacing w:after="0" w:line="240" w:lineRule="auto"/>
        <w:jc w:val="both"/>
        <w:rPr>
          <w:rFonts w:ascii="Calibri" w:hAnsi="Calibri" w:cs="Calibri"/>
        </w:rPr>
      </w:pPr>
    </w:p>
    <w:p w14:paraId="5098FCCA" w14:textId="77777777" w:rsidR="006E290B" w:rsidRDefault="006E290B" w:rsidP="006E290B">
      <w:pPr>
        <w:spacing w:after="0" w:line="240" w:lineRule="auto"/>
        <w:jc w:val="both"/>
        <w:rPr>
          <w:rFonts w:ascii="Calibri" w:hAnsi="Calibri" w:cs="Calibri"/>
        </w:rPr>
      </w:pPr>
      <w:r w:rsidRPr="00472C4D">
        <w:rPr>
          <w:rFonts w:ascii="Calibri" w:hAnsi="Calibri" w:cs="Calibri"/>
        </w:rPr>
        <w:t>Indikativni cilj za sektor odpadki v OP TGP 2020 določa, da se emisije TGP do leta 2020, glede na leto 2005, zmanjšajo za 44</w:t>
      </w:r>
      <w:r>
        <w:rPr>
          <w:rFonts w:ascii="Calibri" w:hAnsi="Calibri" w:cs="Calibri"/>
        </w:rPr>
        <w:t xml:space="preserve"> </w:t>
      </w:r>
      <w:r w:rsidRPr="00472C4D">
        <w:rPr>
          <w:rFonts w:ascii="Calibri" w:hAnsi="Calibri" w:cs="Calibri"/>
        </w:rPr>
        <w:t>%.</w:t>
      </w:r>
    </w:p>
    <w:p w14:paraId="73A0DFA1" w14:textId="77777777" w:rsidR="000C57B4" w:rsidRPr="00472C4D" w:rsidRDefault="000C57B4" w:rsidP="006E290B">
      <w:pPr>
        <w:spacing w:after="0" w:line="240" w:lineRule="auto"/>
        <w:jc w:val="both"/>
        <w:rPr>
          <w:rFonts w:ascii="Calibri" w:hAnsi="Calibri" w:cs="Calibri"/>
        </w:rPr>
      </w:pPr>
    </w:p>
    <w:p w14:paraId="6E150901" w14:textId="4222A497" w:rsidR="00900A66" w:rsidRDefault="006E290B" w:rsidP="006E290B">
      <w:pPr>
        <w:spacing w:after="0" w:line="240" w:lineRule="auto"/>
        <w:jc w:val="both"/>
        <w:rPr>
          <w:rFonts w:ascii="Calibri" w:hAnsi="Calibri" w:cs="Calibri"/>
        </w:rPr>
      </w:pPr>
      <w:r w:rsidRPr="00472C4D">
        <w:rPr>
          <w:rFonts w:ascii="Calibri" w:hAnsi="Calibri" w:cs="Calibri"/>
        </w:rPr>
        <w:t xml:space="preserve">V letu 2017 so </w:t>
      </w:r>
      <w:r w:rsidR="00510057" w:rsidRPr="00472C4D">
        <w:rPr>
          <w:rFonts w:ascii="Calibri" w:hAnsi="Calibri" w:cs="Calibri"/>
        </w:rPr>
        <w:t>v skupnem deležu ne</w:t>
      </w:r>
      <w:r w:rsidR="00510057">
        <w:rPr>
          <w:rFonts w:ascii="Calibri" w:hAnsi="Calibri" w:cs="Calibri"/>
        </w:rPr>
        <w:t>-</w:t>
      </w:r>
      <w:r w:rsidR="00510057" w:rsidRPr="00472C4D">
        <w:rPr>
          <w:rFonts w:ascii="Calibri" w:hAnsi="Calibri" w:cs="Calibri"/>
        </w:rPr>
        <w:t xml:space="preserve">ETS sektorjev </w:t>
      </w:r>
      <w:r w:rsidRPr="00472C4D">
        <w:rPr>
          <w:rFonts w:ascii="Calibri" w:hAnsi="Calibri" w:cs="Calibri"/>
        </w:rPr>
        <w:t xml:space="preserve">emisije iz ravnanja z odpadki predstavljale </w:t>
      </w:r>
      <w:r w:rsidR="009A7115">
        <w:rPr>
          <w:rFonts w:ascii="Calibri" w:hAnsi="Calibri" w:cs="Calibri"/>
        </w:rPr>
        <w:t>4</w:t>
      </w:r>
      <w:r w:rsidRPr="00472C4D">
        <w:rPr>
          <w:rFonts w:ascii="Calibri" w:hAnsi="Calibri" w:cs="Calibri"/>
        </w:rPr>
        <w:t>,</w:t>
      </w:r>
      <w:r w:rsidR="009A7115">
        <w:rPr>
          <w:rFonts w:ascii="Calibri" w:hAnsi="Calibri" w:cs="Calibri"/>
        </w:rPr>
        <w:t>4</w:t>
      </w:r>
      <w:r>
        <w:rPr>
          <w:rFonts w:ascii="Calibri" w:hAnsi="Calibri" w:cs="Calibri"/>
        </w:rPr>
        <w:t xml:space="preserve"> </w:t>
      </w:r>
      <w:r w:rsidRPr="00472C4D">
        <w:rPr>
          <w:rFonts w:ascii="Calibri" w:hAnsi="Calibri" w:cs="Calibri"/>
        </w:rPr>
        <w:t>%</w:t>
      </w:r>
      <w:r w:rsidR="009A7115">
        <w:rPr>
          <w:rFonts w:ascii="Calibri" w:hAnsi="Calibri" w:cs="Calibri"/>
        </w:rPr>
        <w:t>,</w:t>
      </w:r>
      <w:r w:rsidR="00900A66">
        <w:rPr>
          <w:rFonts w:ascii="Calibri" w:hAnsi="Calibri" w:cs="Calibri"/>
        </w:rPr>
        <w:t xml:space="preserve"> v letu 2018 le še 4,0 </w:t>
      </w:r>
      <w:r w:rsidR="001F4580">
        <w:rPr>
          <w:rFonts w:ascii="Calibri" w:hAnsi="Calibri" w:cs="Calibri"/>
        </w:rPr>
        <w:t xml:space="preserve">% </w:t>
      </w:r>
      <w:r w:rsidR="00900A66">
        <w:rPr>
          <w:rFonts w:ascii="Calibri" w:hAnsi="Calibri" w:cs="Calibri"/>
        </w:rPr>
        <w:t>(</w:t>
      </w:r>
      <w:r w:rsidR="00900A66" w:rsidRPr="00472C4D">
        <w:rPr>
          <w:rFonts w:ascii="Calibri" w:hAnsi="Calibri" w:cs="Calibri"/>
        </w:rPr>
        <w:t xml:space="preserve">odlaganje trdnih odpadkov </w:t>
      </w:r>
      <w:r w:rsidR="00900A66">
        <w:rPr>
          <w:rFonts w:ascii="Calibri" w:hAnsi="Calibri" w:cs="Calibri"/>
        </w:rPr>
        <w:t xml:space="preserve">2,5 </w:t>
      </w:r>
      <w:r w:rsidR="00900A66" w:rsidRPr="00472C4D">
        <w:rPr>
          <w:rFonts w:ascii="Calibri" w:hAnsi="Calibri" w:cs="Calibri"/>
        </w:rPr>
        <w:t>%, odvajanje in čiščenje odpadnih voda 1,</w:t>
      </w:r>
      <w:r w:rsidR="00900A66">
        <w:rPr>
          <w:rFonts w:ascii="Calibri" w:hAnsi="Calibri" w:cs="Calibri"/>
        </w:rPr>
        <w:t xml:space="preserve">5 </w:t>
      </w:r>
      <w:r w:rsidR="00900A66" w:rsidRPr="00472C4D">
        <w:rPr>
          <w:rFonts w:ascii="Calibri" w:hAnsi="Calibri" w:cs="Calibri"/>
        </w:rPr>
        <w:t>%</w:t>
      </w:r>
      <w:r w:rsidR="00900A66">
        <w:rPr>
          <w:rFonts w:ascii="Calibri" w:hAnsi="Calibri" w:cs="Calibri"/>
        </w:rPr>
        <w:t xml:space="preserve">). </w:t>
      </w:r>
    </w:p>
    <w:p w14:paraId="1826B14B" w14:textId="5391368C" w:rsidR="006E290B" w:rsidRPr="00472C4D" w:rsidRDefault="00900A66" w:rsidP="006E290B">
      <w:pPr>
        <w:spacing w:after="0" w:line="240" w:lineRule="auto"/>
        <w:jc w:val="both"/>
        <w:rPr>
          <w:rFonts w:ascii="Calibri" w:hAnsi="Calibri" w:cs="Calibri"/>
        </w:rPr>
      </w:pPr>
      <w:r>
        <w:rPr>
          <w:rFonts w:ascii="Calibri" w:hAnsi="Calibri" w:cs="Calibri"/>
        </w:rPr>
        <w:t>V obdobju 2005-2018</w:t>
      </w:r>
      <w:r w:rsidR="006E290B" w:rsidRPr="00472C4D">
        <w:rPr>
          <w:rFonts w:ascii="Calibri" w:hAnsi="Calibri" w:cs="Calibri"/>
        </w:rPr>
        <w:t xml:space="preserve"> so se emisije zmanjšale za </w:t>
      </w:r>
      <w:r>
        <w:rPr>
          <w:rFonts w:ascii="Calibri" w:hAnsi="Calibri" w:cs="Calibri"/>
        </w:rPr>
        <w:t>40</w:t>
      </w:r>
      <w:r w:rsidR="006E290B" w:rsidRPr="00472C4D">
        <w:rPr>
          <w:rFonts w:ascii="Calibri" w:hAnsi="Calibri" w:cs="Calibri"/>
        </w:rPr>
        <w:t>,4</w:t>
      </w:r>
      <w:r w:rsidR="006E290B">
        <w:rPr>
          <w:rFonts w:ascii="Calibri" w:hAnsi="Calibri" w:cs="Calibri"/>
        </w:rPr>
        <w:t xml:space="preserve"> </w:t>
      </w:r>
      <w:r w:rsidR="006E290B" w:rsidRPr="00472C4D">
        <w:rPr>
          <w:rFonts w:ascii="Calibri" w:hAnsi="Calibri" w:cs="Calibri"/>
        </w:rPr>
        <w:t>%</w:t>
      </w:r>
      <w:r w:rsidR="00D459AF">
        <w:rPr>
          <w:rFonts w:ascii="Calibri" w:hAnsi="Calibri" w:cs="Calibri"/>
        </w:rPr>
        <w:t xml:space="preserve"> in so bile v letu 2018 za 6,5 </w:t>
      </w:r>
      <w:r w:rsidR="00D459AF" w:rsidRPr="00472C4D">
        <w:rPr>
          <w:rFonts w:ascii="Calibri" w:hAnsi="Calibri" w:cs="Calibri"/>
        </w:rPr>
        <w:t>% višje od cilja v letu 2020</w:t>
      </w:r>
      <w:r w:rsidR="00D459AF">
        <w:rPr>
          <w:rFonts w:ascii="Calibri" w:hAnsi="Calibri" w:cs="Calibri"/>
        </w:rPr>
        <w:t xml:space="preserve">. </w:t>
      </w:r>
      <w:r w:rsidR="006E290B" w:rsidRPr="00472C4D">
        <w:rPr>
          <w:rFonts w:ascii="Calibri" w:hAnsi="Calibri" w:cs="Calibri"/>
        </w:rPr>
        <w:t>V letu 2017 so se emisije zmanjšale za 2,</w:t>
      </w:r>
      <w:r w:rsidR="0068391D">
        <w:rPr>
          <w:rFonts w:ascii="Calibri" w:hAnsi="Calibri" w:cs="Calibri"/>
        </w:rPr>
        <w:t>2</w:t>
      </w:r>
      <w:r w:rsidR="006E290B">
        <w:rPr>
          <w:rFonts w:ascii="Calibri" w:hAnsi="Calibri" w:cs="Calibri"/>
        </w:rPr>
        <w:t xml:space="preserve"> </w:t>
      </w:r>
      <w:r w:rsidR="006E290B" w:rsidRPr="00472C4D">
        <w:rPr>
          <w:rFonts w:ascii="Calibri" w:hAnsi="Calibri" w:cs="Calibri"/>
        </w:rPr>
        <w:t xml:space="preserve">%, </w:t>
      </w:r>
      <w:r>
        <w:rPr>
          <w:rFonts w:ascii="Calibri" w:hAnsi="Calibri" w:cs="Calibri"/>
        </w:rPr>
        <w:t>v letu 2018 za 7,4</w:t>
      </w:r>
      <w:r w:rsidR="00510057">
        <w:rPr>
          <w:rFonts w:ascii="Calibri" w:hAnsi="Calibri" w:cs="Calibri"/>
        </w:rPr>
        <w:t xml:space="preserve"> %</w:t>
      </w:r>
      <w:r w:rsidR="006E290B" w:rsidRPr="00472C4D">
        <w:rPr>
          <w:rFonts w:ascii="Calibri" w:hAnsi="Calibri" w:cs="Calibri"/>
        </w:rPr>
        <w:t xml:space="preserve">. Zaradi nižje količine odloženih biorazgradljivih odpadkov se bodo emisije zmanjševale, zato je cilj za leto 2020 dosegljiv.  </w:t>
      </w:r>
    </w:p>
    <w:p w14:paraId="1F6C50E8" w14:textId="77777777" w:rsidR="006E290B" w:rsidRPr="00472C4D" w:rsidRDefault="006E290B" w:rsidP="006E290B">
      <w:pPr>
        <w:spacing w:after="0" w:line="240" w:lineRule="auto"/>
        <w:jc w:val="both"/>
        <w:rPr>
          <w:rFonts w:ascii="Calibri" w:hAnsi="Calibri" w:cs="Calibri"/>
        </w:rPr>
      </w:pPr>
    </w:p>
    <w:p w14:paraId="196892C6" w14:textId="2ABC410E" w:rsidR="006E290B" w:rsidRPr="00472C4D" w:rsidRDefault="006E290B" w:rsidP="006E290B">
      <w:pPr>
        <w:spacing w:after="0" w:line="240" w:lineRule="auto"/>
        <w:jc w:val="both"/>
        <w:rPr>
          <w:rFonts w:ascii="Calibri" w:hAnsi="Calibri" w:cs="Calibri"/>
        </w:rPr>
      </w:pPr>
      <w:r w:rsidRPr="00472C4D">
        <w:rPr>
          <w:rFonts w:ascii="Calibri" w:hAnsi="Calibri" w:cs="Calibri"/>
        </w:rPr>
        <w:t>Povečevanje deleža naprednejših sistemov čiščenja odpadnih voda prispeva k nižjim emisi</w:t>
      </w:r>
      <w:r w:rsidR="00F5759E">
        <w:rPr>
          <w:rFonts w:ascii="Calibri" w:hAnsi="Calibri" w:cs="Calibri"/>
        </w:rPr>
        <w:t>jam, kar se odraža pri skoraj 32</w:t>
      </w:r>
      <w:r>
        <w:rPr>
          <w:rFonts w:ascii="Calibri" w:hAnsi="Calibri" w:cs="Calibri"/>
        </w:rPr>
        <w:t xml:space="preserve"> </w:t>
      </w:r>
      <w:r w:rsidRPr="00472C4D">
        <w:rPr>
          <w:rFonts w:ascii="Calibri" w:hAnsi="Calibri" w:cs="Calibri"/>
        </w:rPr>
        <w:t xml:space="preserve">% zmanjšanju emisij glede na leto 2005. </w:t>
      </w:r>
    </w:p>
    <w:p w14:paraId="62C5D529" w14:textId="77777777" w:rsidR="00542926" w:rsidRDefault="00542926" w:rsidP="00B44300">
      <w:pPr>
        <w:spacing w:after="0" w:line="240" w:lineRule="auto"/>
        <w:jc w:val="both"/>
        <w:rPr>
          <w:rFonts w:ascii="Arial" w:hAnsi="Arial" w:cs="Arial"/>
          <w:sz w:val="24"/>
          <w:szCs w:val="24"/>
        </w:rPr>
      </w:pPr>
    </w:p>
    <w:p w14:paraId="1700D7B4" w14:textId="77777777" w:rsidR="00F326B2" w:rsidRPr="007740D2" w:rsidRDefault="00F326B2" w:rsidP="00F326B2">
      <w:pPr>
        <w:spacing w:after="0" w:line="240" w:lineRule="auto"/>
        <w:jc w:val="both"/>
        <w:rPr>
          <w:b/>
        </w:rPr>
      </w:pPr>
      <w:r w:rsidRPr="00F326B2">
        <w:rPr>
          <w:rFonts w:cstheme="minorHAnsi"/>
          <w:b/>
        </w:rPr>
        <w:t>2.2.7</w:t>
      </w:r>
      <w:r>
        <w:rPr>
          <w:rFonts w:ascii="Arial" w:hAnsi="Arial" w:cs="Arial"/>
          <w:sz w:val="24"/>
          <w:szCs w:val="24"/>
        </w:rPr>
        <w:t xml:space="preserve"> </w:t>
      </w:r>
      <w:r w:rsidRPr="007740D2">
        <w:rPr>
          <w:rFonts w:ascii="Calibri" w:hAnsi="Calibri" w:cs="Calibri"/>
          <w:b/>
        </w:rPr>
        <w:t xml:space="preserve">LULUCF – </w:t>
      </w:r>
      <w:r w:rsidRPr="007740D2">
        <w:rPr>
          <w:b/>
        </w:rPr>
        <w:t>raba zemljišč, sprememba rabe zemljišč in gozdarstvo</w:t>
      </w:r>
    </w:p>
    <w:p w14:paraId="165FDD39" w14:textId="77777777" w:rsidR="00F326B2" w:rsidRDefault="00F326B2" w:rsidP="00F326B2">
      <w:pPr>
        <w:spacing w:after="0" w:line="240" w:lineRule="auto"/>
        <w:jc w:val="both"/>
      </w:pPr>
    </w:p>
    <w:p w14:paraId="76B69C76" w14:textId="77777777" w:rsidR="00F326B2" w:rsidRDefault="00F326B2" w:rsidP="00F326B2">
      <w:pPr>
        <w:spacing w:after="0" w:line="240" w:lineRule="auto"/>
        <w:jc w:val="both"/>
      </w:pPr>
      <w:r>
        <w:t>Državni cilji v obdobju do leta 2020 po Odločbi 406/2009/ES ne vključujejo emisij in ponorov toplogrednih plinov. V OP TGP 2020 so ukrepi v LULUCF sektorju prednostno usmerjeni v nadgradnjo inventurnega sistema ter razvoj metodologije za spremljanje ponorov in emisij CO</w:t>
      </w:r>
      <w:r>
        <w:rPr>
          <w:vertAlign w:val="subscript"/>
        </w:rPr>
        <w:t>2</w:t>
      </w:r>
      <w:r>
        <w:t xml:space="preserve">. </w:t>
      </w:r>
    </w:p>
    <w:p w14:paraId="569D4304" w14:textId="77777777" w:rsidR="00F326B2" w:rsidRDefault="00F326B2" w:rsidP="00F326B2">
      <w:pPr>
        <w:spacing w:after="0" w:line="240" w:lineRule="auto"/>
        <w:jc w:val="both"/>
      </w:pPr>
    </w:p>
    <w:p w14:paraId="6A20DCDF" w14:textId="77777777" w:rsidR="00F326B2" w:rsidRDefault="00F326B2" w:rsidP="00F326B2">
      <w:pPr>
        <w:spacing w:after="0" w:line="240" w:lineRule="auto"/>
        <w:jc w:val="both"/>
      </w:pPr>
      <w:r>
        <w:t>V obdobju 2005-2013 ter leta 2015 so bili ponori večji kot emisije, medtem ko je v letih 2014, 2016 in 2018 LULUCF sektor deloval kot neto emitent. V letu 2018 so neto emisije znašale 243 kt CO</w:t>
      </w:r>
      <w:r>
        <w:rPr>
          <w:vertAlign w:val="subscript"/>
        </w:rPr>
        <w:t>2</w:t>
      </w:r>
      <w:r>
        <w:t xml:space="preserve"> ekv. Razlog za upad ponora v sektorju so naravne ujme (žledolom leta 2014, napad podlubnikov v letih 2015 in 2016, vetrolom v letih 2017 in 2018) in z njimi povezane sanitarne sečnje. V letu 2018 so glavni vir emisij predstavljala gozdna zemljišča s 715 kt CO2 ekv ali 294 % glede na skupno vrednost emisij, ki jim sledijo naselja s 178 kt CO2 ekv oz. 73 %, druga zemljišča s 5,2 kt CO2 ekv ali 2 % in mokrišča z 2,4 kt CO2 ekv ali 1 %. Vse ostale kategorije - travinje, njivske površine in pridobljeni lesni proizvodi so v sektorju delovale kot ponor.</w:t>
      </w:r>
    </w:p>
    <w:p w14:paraId="09C650D9" w14:textId="77777777" w:rsidR="00F326B2" w:rsidRDefault="00F326B2" w:rsidP="00F326B2">
      <w:pPr>
        <w:spacing w:after="0" w:line="240" w:lineRule="auto"/>
        <w:jc w:val="both"/>
      </w:pPr>
      <w:r>
        <w:t xml:space="preserve">Emisije TGP zaradi spremembe rabe zemljišč kažejo padajoč trend.  V letu 2018 so se emisije zaradi krčitev gozdov glede na leto prej zmanjšale za 1,3 %, emisije zaradi sprememb rabe zemljišč v pozidana in sorodna zemljišča pa za 6,4 %. Največji delež emisij - 49 % je prispevalo širjenje pozidanih in sorodnih zemljišč na kmetijska zemljišča. </w:t>
      </w:r>
    </w:p>
    <w:p w14:paraId="2C7304F3" w14:textId="77777777" w:rsidR="00F326B2" w:rsidRDefault="00F326B2" w:rsidP="00B44300">
      <w:pPr>
        <w:spacing w:after="0" w:line="240" w:lineRule="auto"/>
        <w:jc w:val="both"/>
        <w:rPr>
          <w:rFonts w:ascii="Arial" w:hAnsi="Arial" w:cs="Arial"/>
          <w:sz w:val="24"/>
          <w:szCs w:val="24"/>
        </w:rPr>
      </w:pPr>
    </w:p>
    <w:p w14:paraId="76D81A14" w14:textId="77777777" w:rsidR="00D86BC3" w:rsidRDefault="00D86BC3" w:rsidP="00B44300">
      <w:pPr>
        <w:spacing w:after="0" w:line="240" w:lineRule="auto"/>
        <w:jc w:val="both"/>
        <w:rPr>
          <w:rFonts w:ascii="Arial" w:hAnsi="Arial" w:cs="Arial"/>
          <w:sz w:val="24"/>
          <w:szCs w:val="24"/>
        </w:rPr>
      </w:pPr>
    </w:p>
    <w:p w14:paraId="2E6E0A89" w14:textId="4D5A8BBF" w:rsidR="00176271" w:rsidRPr="00E7520C" w:rsidRDefault="00176271" w:rsidP="00B44300">
      <w:pPr>
        <w:spacing w:after="0" w:line="240" w:lineRule="auto"/>
        <w:jc w:val="both"/>
        <w:rPr>
          <w:rFonts w:ascii="Calibri" w:hAnsi="Calibri" w:cs="Calibri"/>
          <w:b/>
          <w:bCs/>
        </w:rPr>
      </w:pPr>
      <w:r w:rsidRPr="00E7520C">
        <w:rPr>
          <w:rFonts w:ascii="Calibri" w:hAnsi="Calibri" w:cs="Calibri"/>
          <w:b/>
          <w:bCs/>
        </w:rPr>
        <w:t>2.</w:t>
      </w:r>
      <w:r w:rsidR="00F326B2">
        <w:rPr>
          <w:rFonts w:ascii="Calibri" w:hAnsi="Calibri" w:cs="Calibri"/>
          <w:b/>
          <w:bCs/>
        </w:rPr>
        <w:t>2.8</w:t>
      </w:r>
      <w:r w:rsidRPr="00E7520C">
        <w:rPr>
          <w:rFonts w:ascii="Calibri" w:hAnsi="Calibri" w:cs="Calibri"/>
          <w:b/>
          <w:bCs/>
        </w:rPr>
        <w:t xml:space="preserve"> Pr</w:t>
      </w:r>
      <w:r w:rsidR="000A4838" w:rsidRPr="00E7520C">
        <w:rPr>
          <w:rFonts w:ascii="Calibri" w:hAnsi="Calibri" w:cs="Calibri"/>
          <w:b/>
          <w:bCs/>
        </w:rPr>
        <w:t>ve ocene emisij TGP za let</w:t>
      </w:r>
      <w:r w:rsidR="0031535A">
        <w:rPr>
          <w:rFonts w:ascii="Calibri" w:hAnsi="Calibri" w:cs="Calibri"/>
          <w:b/>
          <w:bCs/>
        </w:rPr>
        <w:t>o</w:t>
      </w:r>
      <w:r w:rsidR="009F01A7" w:rsidRPr="00E7520C">
        <w:rPr>
          <w:rFonts w:ascii="Calibri" w:hAnsi="Calibri" w:cs="Calibri"/>
          <w:b/>
          <w:bCs/>
        </w:rPr>
        <w:t xml:space="preserve"> 2019</w:t>
      </w:r>
    </w:p>
    <w:p w14:paraId="3D319EC3" w14:textId="33A47CF3" w:rsidR="00176271" w:rsidRPr="00472C4D" w:rsidRDefault="00176271" w:rsidP="00B44300">
      <w:pPr>
        <w:spacing w:after="0" w:line="240" w:lineRule="auto"/>
        <w:jc w:val="both"/>
        <w:rPr>
          <w:rFonts w:ascii="Calibri" w:hAnsi="Calibri" w:cs="Calibri"/>
        </w:rPr>
      </w:pPr>
    </w:p>
    <w:p w14:paraId="4A2A45B1" w14:textId="37A5D24D" w:rsidR="00115856" w:rsidRPr="00472C4D" w:rsidRDefault="00B71711" w:rsidP="00C52E4C">
      <w:pPr>
        <w:spacing w:after="0" w:line="240" w:lineRule="auto"/>
        <w:jc w:val="both"/>
        <w:rPr>
          <w:rFonts w:ascii="Calibri" w:hAnsi="Calibri" w:cs="Calibri"/>
        </w:rPr>
      </w:pPr>
      <w:r>
        <w:rPr>
          <w:rFonts w:ascii="Calibri" w:hAnsi="Calibri" w:cs="Calibri"/>
        </w:rPr>
        <w:t>Cilj v letu 2020 ni ogrožen, saj p</w:t>
      </w:r>
      <w:r w:rsidR="003F5CB9">
        <w:rPr>
          <w:rFonts w:ascii="Calibri" w:hAnsi="Calibri" w:cs="Calibri"/>
        </w:rPr>
        <w:t>rve ocene za leto 2019</w:t>
      </w:r>
      <w:r w:rsidR="00F11AF6" w:rsidRPr="00472C4D">
        <w:rPr>
          <w:rFonts w:ascii="Calibri" w:hAnsi="Calibri" w:cs="Calibri"/>
        </w:rPr>
        <w:t xml:space="preserve"> kažejo, da</w:t>
      </w:r>
      <w:r w:rsidR="008760B7" w:rsidRPr="00472C4D">
        <w:rPr>
          <w:rFonts w:ascii="Calibri" w:hAnsi="Calibri" w:cs="Calibri"/>
        </w:rPr>
        <w:t xml:space="preserve"> se bodo emisije</w:t>
      </w:r>
      <w:r w:rsidR="00F11AF6" w:rsidRPr="00472C4D">
        <w:rPr>
          <w:rFonts w:ascii="Calibri" w:hAnsi="Calibri" w:cs="Calibri"/>
        </w:rPr>
        <w:t xml:space="preserve"> TGP</w:t>
      </w:r>
      <w:r w:rsidR="008760B7" w:rsidRPr="00472C4D">
        <w:rPr>
          <w:rFonts w:ascii="Calibri" w:hAnsi="Calibri" w:cs="Calibri"/>
        </w:rPr>
        <w:t xml:space="preserve"> </w:t>
      </w:r>
      <w:r w:rsidR="003F5CB9">
        <w:rPr>
          <w:rFonts w:ascii="Calibri" w:hAnsi="Calibri" w:cs="Calibri"/>
        </w:rPr>
        <w:t>zmanjšale</w:t>
      </w:r>
      <w:r>
        <w:rPr>
          <w:rFonts w:ascii="Calibri" w:hAnsi="Calibri" w:cs="Calibri"/>
        </w:rPr>
        <w:t xml:space="preserve"> za 3,4 %, </w:t>
      </w:r>
      <w:r w:rsidR="00C52DDA">
        <w:rPr>
          <w:rFonts w:ascii="Calibri" w:hAnsi="Calibri" w:cs="Calibri"/>
        </w:rPr>
        <w:t xml:space="preserve">prav tako se bodo emisije zmanjšale </w:t>
      </w:r>
      <w:r>
        <w:rPr>
          <w:rFonts w:ascii="Calibri" w:hAnsi="Calibri" w:cs="Calibri"/>
        </w:rPr>
        <w:t>v letu 2020</w:t>
      </w:r>
      <w:r w:rsidR="00C52DDA">
        <w:rPr>
          <w:rFonts w:ascii="Calibri" w:hAnsi="Calibri" w:cs="Calibri"/>
        </w:rPr>
        <w:t>, kar je predvsem posledica</w:t>
      </w:r>
      <w:r>
        <w:rPr>
          <w:rFonts w:ascii="Calibri" w:hAnsi="Calibri" w:cs="Calibri"/>
        </w:rPr>
        <w:t xml:space="preserve"> </w:t>
      </w:r>
      <w:r w:rsidR="00C52DDA">
        <w:rPr>
          <w:rFonts w:ascii="Calibri" w:hAnsi="Calibri" w:cs="Calibri"/>
        </w:rPr>
        <w:t xml:space="preserve">zmanjšanja obsega prometa zaradi </w:t>
      </w:r>
      <w:r>
        <w:rPr>
          <w:rFonts w:ascii="Calibri" w:hAnsi="Calibri" w:cs="Calibri"/>
        </w:rPr>
        <w:t>epidemije COVID-19. Toda po izhodu iz krize se pričakuje ponovno rast emisij TGP, kar bo v kombinaciji z bolj</w:t>
      </w:r>
      <w:r w:rsidR="00C52DDA">
        <w:rPr>
          <w:rFonts w:ascii="Calibri" w:hAnsi="Calibri" w:cs="Calibri"/>
        </w:rPr>
        <w:t xml:space="preserve"> ambicioznim ciljem v letu 2030</w:t>
      </w:r>
      <w:r>
        <w:rPr>
          <w:rFonts w:ascii="Calibri" w:hAnsi="Calibri" w:cs="Calibri"/>
        </w:rPr>
        <w:t xml:space="preserve"> zahtevalo okrepljeno izvajanje ukrepov v vseh sektorjih, zlasti pa v prometu. </w:t>
      </w:r>
    </w:p>
    <w:p w14:paraId="55D57670" w14:textId="3BEF101E" w:rsidR="00F844A5" w:rsidRDefault="005A1C50" w:rsidP="009D2CA4">
      <w:pPr>
        <w:spacing w:after="0" w:line="240" w:lineRule="auto"/>
        <w:jc w:val="center"/>
        <w:rPr>
          <w:rFonts w:ascii="Calibri" w:hAnsi="Calibri" w:cs="Calibri"/>
        </w:rPr>
      </w:pPr>
      <w:r>
        <w:rPr>
          <w:rFonts w:ascii="Calibri" w:hAnsi="Calibri" w:cs="Calibri"/>
          <w:noProof/>
          <w:lang w:eastAsia="sl-SI"/>
        </w:rPr>
        <w:lastRenderedPageBreak/>
        <w:drawing>
          <wp:inline distT="0" distB="0" distL="0" distR="0" wp14:anchorId="5D4A2584" wp14:editId="46C1EC1E">
            <wp:extent cx="4802588" cy="3238152"/>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a:xfrm>
                      <a:off x="0" y="0"/>
                      <a:ext cx="4831442" cy="3257607"/>
                    </a:xfrm>
                    <a:prstGeom prst="rect">
                      <a:avLst/>
                    </a:prstGeom>
                  </pic:spPr>
                </pic:pic>
              </a:graphicData>
            </a:graphic>
          </wp:inline>
        </w:drawing>
      </w:r>
    </w:p>
    <w:p w14:paraId="52582521" w14:textId="77777777" w:rsidR="005A1C50" w:rsidRPr="00472C4D" w:rsidRDefault="005A1C50" w:rsidP="009D2CA4">
      <w:pPr>
        <w:spacing w:after="0" w:line="240" w:lineRule="auto"/>
        <w:jc w:val="center"/>
        <w:rPr>
          <w:rFonts w:ascii="Calibri" w:hAnsi="Calibri" w:cs="Calibri"/>
        </w:rPr>
      </w:pPr>
    </w:p>
    <w:p w14:paraId="1869308B" w14:textId="0F374B24" w:rsidR="009D2CA4" w:rsidRDefault="005A1C50" w:rsidP="00C52E4C">
      <w:pPr>
        <w:spacing w:after="0" w:line="240" w:lineRule="auto"/>
        <w:jc w:val="both"/>
        <w:rPr>
          <w:b/>
          <w:bCs/>
          <w:sz w:val="20"/>
          <w:szCs w:val="20"/>
        </w:rPr>
      </w:pPr>
      <w:r>
        <w:rPr>
          <w:rFonts w:ascii="Calibri" w:hAnsi="Calibri" w:cs="Calibri"/>
          <w:b/>
          <w:bCs/>
          <w:sz w:val="20"/>
          <w:szCs w:val="20"/>
        </w:rPr>
        <w:t xml:space="preserve">Slika </w:t>
      </w:r>
      <w:r w:rsidR="00641EF9">
        <w:rPr>
          <w:rFonts w:ascii="Calibri" w:hAnsi="Calibri" w:cs="Calibri"/>
          <w:b/>
          <w:bCs/>
          <w:sz w:val="20"/>
          <w:szCs w:val="20"/>
        </w:rPr>
        <w:t>3</w:t>
      </w:r>
      <w:r w:rsidR="009D2CA4" w:rsidRPr="00472C4D">
        <w:rPr>
          <w:rFonts w:ascii="Calibri" w:hAnsi="Calibri" w:cs="Calibri"/>
          <w:b/>
          <w:bCs/>
          <w:sz w:val="20"/>
          <w:szCs w:val="20"/>
        </w:rPr>
        <w:t xml:space="preserve">: </w:t>
      </w:r>
      <w:r w:rsidRPr="005A1C50">
        <w:rPr>
          <w:b/>
          <w:bCs/>
          <w:sz w:val="20"/>
          <w:szCs w:val="20"/>
        </w:rPr>
        <w:t>Gibanje emisij ne-ETS po sektorjih v obdobju 2005−2018 v primerjavi s projekcijami za leto 2020 in linearno potjo do ciljev v obdobju 2012−2020 (črtkane črte) (Vir: IJS-CEU)</w:t>
      </w:r>
    </w:p>
    <w:p w14:paraId="1DD636AD" w14:textId="77777777" w:rsidR="000F79D2" w:rsidRDefault="000F79D2" w:rsidP="00C52E4C">
      <w:pPr>
        <w:spacing w:after="0" w:line="240" w:lineRule="auto"/>
        <w:jc w:val="both"/>
        <w:rPr>
          <w:b/>
          <w:bCs/>
          <w:sz w:val="20"/>
          <w:szCs w:val="20"/>
        </w:rPr>
      </w:pPr>
    </w:p>
    <w:p w14:paraId="3A5919DC" w14:textId="77777777" w:rsidR="00EF31AF" w:rsidRDefault="00EF31AF" w:rsidP="00C52E4C">
      <w:pPr>
        <w:spacing w:after="0" w:line="240" w:lineRule="auto"/>
        <w:jc w:val="both"/>
        <w:rPr>
          <w:b/>
          <w:bCs/>
          <w:sz w:val="20"/>
          <w:szCs w:val="20"/>
        </w:rPr>
      </w:pPr>
    </w:p>
    <w:p w14:paraId="7B03D960" w14:textId="77777777" w:rsidR="00F326B2" w:rsidRDefault="00F326B2" w:rsidP="00C52E4C">
      <w:pPr>
        <w:spacing w:after="0" w:line="240" w:lineRule="auto"/>
        <w:jc w:val="both"/>
        <w:rPr>
          <w:b/>
          <w:bCs/>
          <w:sz w:val="20"/>
          <w:szCs w:val="20"/>
        </w:rPr>
      </w:pPr>
    </w:p>
    <w:p w14:paraId="0147C7F5" w14:textId="77777777" w:rsidR="00F93B5D" w:rsidRDefault="00F93B5D" w:rsidP="00C52E4C">
      <w:pPr>
        <w:spacing w:after="0" w:line="240" w:lineRule="auto"/>
        <w:jc w:val="both"/>
        <w:rPr>
          <w:b/>
          <w:bCs/>
          <w:sz w:val="20"/>
          <w:szCs w:val="20"/>
        </w:rPr>
      </w:pPr>
    </w:p>
    <w:p w14:paraId="39CEACA4" w14:textId="77777777" w:rsidR="00F93B5D" w:rsidRDefault="00F93B5D" w:rsidP="00C52E4C">
      <w:pPr>
        <w:spacing w:after="0" w:line="240" w:lineRule="auto"/>
        <w:jc w:val="both"/>
        <w:rPr>
          <w:b/>
          <w:bCs/>
          <w:sz w:val="20"/>
          <w:szCs w:val="20"/>
        </w:rPr>
      </w:pPr>
    </w:p>
    <w:p w14:paraId="48C1D09E" w14:textId="77777777" w:rsidR="00F93B5D" w:rsidRDefault="00F93B5D" w:rsidP="00C52E4C">
      <w:pPr>
        <w:spacing w:after="0" w:line="240" w:lineRule="auto"/>
        <w:jc w:val="both"/>
        <w:rPr>
          <w:b/>
          <w:bCs/>
          <w:sz w:val="20"/>
          <w:szCs w:val="20"/>
        </w:rPr>
      </w:pPr>
    </w:p>
    <w:p w14:paraId="4E6D15D0" w14:textId="77777777" w:rsidR="00F93B5D" w:rsidRDefault="00F93B5D" w:rsidP="00C52E4C">
      <w:pPr>
        <w:spacing w:after="0" w:line="240" w:lineRule="auto"/>
        <w:jc w:val="both"/>
        <w:rPr>
          <w:b/>
          <w:bCs/>
          <w:sz w:val="20"/>
          <w:szCs w:val="20"/>
        </w:rPr>
      </w:pPr>
    </w:p>
    <w:p w14:paraId="49EAB34A" w14:textId="77777777" w:rsidR="00F93B5D" w:rsidRDefault="00F93B5D" w:rsidP="00C52E4C">
      <w:pPr>
        <w:spacing w:after="0" w:line="240" w:lineRule="auto"/>
        <w:jc w:val="both"/>
        <w:rPr>
          <w:b/>
          <w:bCs/>
          <w:sz w:val="20"/>
          <w:szCs w:val="20"/>
        </w:rPr>
      </w:pPr>
    </w:p>
    <w:p w14:paraId="4BECF8D8" w14:textId="77777777" w:rsidR="00F93B5D" w:rsidRDefault="00F93B5D" w:rsidP="00C52E4C">
      <w:pPr>
        <w:spacing w:after="0" w:line="240" w:lineRule="auto"/>
        <w:jc w:val="both"/>
        <w:rPr>
          <w:b/>
          <w:bCs/>
          <w:sz w:val="20"/>
          <w:szCs w:val="20"/>
        </w:rPr>
      </w:pPr>
    </w:p>
    <w:p w14:paraId="5D1363F0" w14:textId="77777777" w:rsidR="00F93B5D" w:rsidRDefault="00F93B5D" w:rsidP="00C52E4C">
      <w:pPr>
        <w:spacing w:after="0" w:line="240" w:lineRule="auto"/>
        <w:jc w:val="both"/>
        <w:rPr>
          <w:b/>
          <w:bCs/>
          <w:sz w:val="20"/>
          <w:szCs w:val="20"/>
        </w:rPr>
      </w:pPr>
    </w:p>
    <w:p w14:paraId="4BEDD67D" w14:textId="77777777" w:rsidR="00F93B5D" w:rsidRDefault="00F93B5D" w:rsidP="00C52E4C">
      <w:pPr>
        <w:spacing w:after="0" w:line="240" w:lineRule="auto"/>
        <w:jc w:val="both"/>
        <w:rPr>
          <w:b/>
          <w:bCs/>
          <w:sz w:val="20"/>
          <w:szCs w:val="20"/>
        </w:rPr>
      </w:pPr>
    </w:p>
    <w:p w14:paraId="7E4A4D40" w14:textId="77777777" w:rsidR="00F93B5D" w:rsidRDefault="00F93B5D" w:rsidP="00C52E4C">
      <w:pPr>
        <w:spacing w:after="0" w:line="240" w:lineRule="auto"/>
        <w:jc w:val="both"/>
        <w:rPr>
          <w:b/>
          <w:bCs/>
          <w:sz w:val="20"/>
          <w:szCs w:val="20"/>
        </w:rPr>
      </w:pPr>
    </w:p>
    <w:p w14:paraId="03829A46" w14:textId="77777777" w:rsidR="00F93B5D" w:rsidRDefault="00F93B5D" w:rsidP="00C52E4C">
      <w:pPr>
        <w:spacing w:after="0" w:line="240" w:lineRule="auto"/>
        <w:jc w:val="both"/>
        <w:rPr>
          <w:b/>
          <w:bCs/>
          <w:sz w:val="20"/>
          <w:szCs w:val="20"/>
        </w:rPr>
      </w:pPr>
    </w:p>
    <w:p w14:paraId="44651305" w14:textId="77777777" w:rsidR="00F93B5D" w:rsidRDefault="00F93B5D" w:rsidP="00C52E4C">
      <w:pPr>
        <w:spacing w:after="0" w:line="240" w:lineRule="auto"/>
        <w:jc w:val="both"/>
        <w:rPr>
          <w:b/>
          <w:bCs/>
          <w:sz w:val="20"/>
          <w:szCs w:val="20"/>
        </w:rPr>
      </w:pPr>
    </w:p>
    <w:p w14:paraId="74978B5E" w14:textId="77777777" w:rsidR="00F93B5D" w:rsidRDefault="00F93B5D" w:rsidP="00C52E4C">
      <w:pPr>
        <w:spacing w:after="0" w:line="240" w:lineRule="auto"/>
        <w:jc w:val="both"/>
        <w:rPr>
          <w:b/>
          <w:bCs/>
          <w:sz w:val="20"/>
          <w:szCs w:val="20"/>
        </w:rPr>
      </w:pPr>
    </w:p>
    <w:p w14:paraId="74CA8C35" w14:textId="77777777" w:rsidR="00F93B5D" w:rsidRDefault="00F93B5D" w:rsidP="00C52E4C">
      <w:pPr>
        <w:spacing w:after="0" w:line="240" w:lineRule="auto"/>
        <w:jc w:val="both"/>
        <w:rPr>
          <w:b/>
          <w:bCs/>
          <w:sz w:val="20"/>
          <w:szCs w:val="20"/>
        </w:rPr>
      </w:pPr>
    </w:p>
    <w:p w14:paraId="1971BF39" w14:textId="77777777" w:rsidR="00F93B5D" w:rsidRDefault="00F93B5D" w:rsidP="00C52E4C">
      <w:pPr>
        <w:spacing w:after="0" w:line="240" w:lineRule="auto"/>
        <w:jc w:val="both"/>
        <w:rPr>
          <w:b/>
          <w:bCs/>
          <w:sz w:val="20"/>
          <w:szCs w:val="20"/>
        </w:rPr>
      </w:pPr>
    </w:p>
    <w:p w14:paraId="3BC1ABD3" w14:textId="77777777" w:rsidR="00F93B5D" w:rsidRDefault="00F93B5D" w:rsidP="00C52E4C">
      <w:pPr>
        <w:spacing w:after="0" w:line="240" w:lineRule="auto"/>
        <w:jc w:val="both"/>
        <w:rPr>
          <w:b/>
          <w:bCs/>
          <w:sz w:val="20"/>
          <w:szCs w:val="20"/>
        </w:rPr>
      </w:pPr>
    </w:p>
    <w:p w14:paraId="0FE98763" w14:textId="77777777" w:rsidR="00F93B5D" w:rsidRDefault="00F93B5D" w:rsidP="00C52E4C">
      <w:pPr>
        <w:spacing w:after="0" w:line="240" w:lineRule="auto"/>
        <w:jc w:val="both"/>
        <w:rPr>
          <w:b/>
          <w:bCs/>
          <w:sz w:val="20"/>
          <w:szCs w:val="20"/>
        </w:rPr>
      </w:pPr>
    </w:p>
    <w:p w14:paraId="0CFB8A41" w14:textId="77777777" w:rsidR="00F93B5D" w:rsidRDefault="00F93B5D" w:rsidP="00C52E4C">
      <w:pPr>
        <w:spacing w:after="0" w:line="240" w:lineRule="auto"/>
        <w:jc w:val="both"/>
        <w:rPr>
          <w:b/>
          <w:bCs/>
          <w:sz w:val="20"/>
          <w:szCs w:val="20"/>
        </w:rPr>
      </w:pPr>
    </w:p>
    <w:p w14:paraId="28F39650" w14:textId="77777777" w:rsidR="00F93B5D" w:rsidRDefault="00F93B5D" w:rsidP="00C52E4C">
      <w:pPr>
        <w:spacing w:after="0" w:line="240" w:lineRule="auto"/>
        <w:jc w:val="both"/>
        <w:rPr>
          <w:b/>
          <w:bCs/>
          <w:sz w:val="20"/>
          <w:szCs w:val="20"/>
        </w:rPr>
      </w:pPr>
    </w:p>
    <w:p w14:paraId="23DA4578" w14:textId="77777777" w:rsidR="00F93B5D" w:rsidRDefault="00F93B5D" w:rsidP="00C52E4C">
      <w:pPr>
        <w:spacing w:after="0" w:line="240" w:lineRule="auto"/>
        <w:jc w:val="both"/>
        <w:rPr>
          <w:b/>
          <w:bCs/>
          <w:sz w:val="20"/>
          <w:szCs w:val="20"/>
        </w:rPr>
      </w:pPr>
    </w:p>
    <w:p w14:paraId="07A7CE3C" w14:textId="77777777" w:rsidR="00F93B5D" w:rsidRDefault="00F93B5D" w:rsidP="00C52E4C">
      <w:pPr>
        <w:spacing w:after="0" w:line="240" w:lineRule="auto"/>
        <w:jc w:val="both"/>
        <w:rPr>
          <w:b/>
          <w:bCs/>
          <w:sz w:val="20"/>
          <w:szCs w:val="20"/>
        </w:rPr>
      </w:pPr>
    </w:p>
    <w:p w14:paraId="4B9F8BC5" w14:textId="77777777" w:rsidR="00F93B5D" w:rsidRDefault="00F93B5D" w:rsidP="00C52E4C">
      <w:pPr>
        <w:spacing w:after="0" w:line="240" w:lineRule="auto"/>
        <w:jc w:val="both"/>
        <w:rPr>
          <w:b/>
          <w:bCs/>
          <w:sz w:val="20"/>
          <w:szCs w:val="20"/>
        </w:rPr>
      </w:pPr>
    </w:p>
    <w:p w14:paraId="42C1D258" w14:textId="77777777" w:rsidR="00F93B5D" w:rsidRDefault="00F93B5D" w:rsidP="00C52E4C">
      <w:pPr>
        <w:spacing w:after="0" w:line="240" w:lineRule="auto"/>
        <w:jc w:val="both"/>
        <w:rPr>
          <w:b/>
          <w:bCs/>
          <w:sz w:val="20"/>
          <w:szCs w:val="20"/>
        </w:rPr>
      </w:pPr>
    </w:p>
    <w:p w14:paraId="20AF4247" w14:textId="77777777" w:rsidR="00F93B5D" w:rsidRDefault="00F93B5D" w:rsidP="00C52E4C">
      <w:pPr>
        <w:spacing w:after="0" w:line="240" w:lineRule="auto"/>
        <w:jc w:val="both"/>
        <w:rPr>
          <w:b/>
          <w:bCs/>
          <w:sz w:val="20"/>
          <w:szCs w:val="20"/>
        </w:rPr>
      </w:pPr>
    </w:p>
    <w:p w14:paraId="7E8E5C21" w14:textId="77777777" w:rsidR="00F93B5D" w:rsidRDefault="00F93B5D" w:rsidP="00C52E4C">
      <w:pPr>
        <w:spacing w:after="0" w:line="240" w:lineRule="auto"/>
        <w:jc w:val="both"/>
        <w:rPr>
          <w:b/>
          <w:bCs/>
          <w:sz w:val="20"/>
          <w:szCs w:val="20"/>
        </w:rPr>
      </w:pPr>
    </w:p>
    <w:p w14:paraId="367162FD" w14:textId="77777777" w:rsidR="00F93B5D" w:rsidRDefault="00F93B5D" w:rsidP="00C52E4C">
      <w:pPr>
        <w:spacing w:after="0" w:line="240" w:lineRule="auto"/>
        <w:jc w:val="both"/>
        <w:rPr>
          <w:b/>
          <w:bCs/>
          <w:sz w:val="20"/>
          <w:szCs w:val="20"/>
        </w:rPr>
      </w:pPr>
    </w:p>
    <w:p w14:paraId="36EF4746" w14:textId="77777777" w:rsidR="00F93B5D" w:rsidRDefault="00F93B5D" w:rsidP="00C52E4C">
      <w:pPr>
        <w:spacing w:after="0" w:line="240" w:lineRule="auto"/>
        <w:jc w:val="both"/>
        <w:rPr>
          <w:b/>
          <w:bCs/>
          <w:sz w:val="20"/>
          <w:szCs w:val="20"/>
        </w:rPr>
      </w:pPr>
    </w:p>
    <w:p w14:paraId="148E0739" w14:textId="77777777" w:rsidR="00F93B5D" w:rsidRDefault="00F93B5D" w:rsidP="00C52E4C">
      <w:pPr>
        <w:spacing w:after="0" w:line="240" w:lineRule="auto"/>
        <w:jc w:val="both"/>
        <w:rPr>
          <w:b/>
          <w:bCs/>
          <w:sz w:val="20"/>
          <w:szCs w:val="20"/>
        </w:rPr>
      </w:pPr>
    </w:p>
    <w:p w14:paraId="27B7D16D" w14:textId="77777777" w:rsidR="00F93B5D" w:rsidRDefault="00F93B5D" w:rsidP="00C52E4C">
      <w:pPr>
        <w:spacing w:after="0" w:line="240" w:lineRule="auto"/>
        <w:jc w:val="both"/>
        <w:rPr>
          <w:b/>
          <w:bCs/>
          <w:sz w:val="20"/>
          <w:szCs w:val="20"/>
        </w:rPr>
      </w:pPr>
    </w:p>
    <w:p w14:paraId="51EA1385" w14:textId="77777777" w:rsidR="00F93B5D" w:rsidRDefault="00F93B5D" w:rsidP="00C52E4C">
      <w:pPr>
        <w:spacing w:after="0" w:line="240" w:lineRule="auto"/>
        <w:jc w:val="both"/>
        <w:rPr>
          <w:b/>
          <w:bCs/>
          <w:sz w:val="20"/>
          <w:szCs w:val="20"/>
        </w:rPr>
      </w:pPr>
    </w:p>
    <w:p w14:paraId="7C167799" w14:textId="229FE13E" w:rsidR="000A4838" w:rsidRPr="007A347E" w:rsidRDefault="00136BA3" w:rsidP="00C52E4C">
      <w:pPr>
        <w:spacing w:after="0" w:line="240" w:lineRule="auto"/>
        <w:jc w:val="both"/>
        <w:rPr>
          <w:rFonts w:cstheme="minorHAnsi"/>
          <w:b/>
          <w:sz w:val="26"/>
          <w:szCs w:val="26"/>
        </w:rPr>
      </w:pPr>
      <w:r w:rsidRPr="007A347E">
        <w:rPr>
          <w:rFonts w:cstheme="minorHAnsi"/>
          <w:b/>
          <w:sz w:val="26"/>
          <w:szCs w:val="26"/>
        </w:rPr>
        <w:lastRenderedPageBreak/>
        <w:t>3 Analiza glavnih kazalcev izvajanja OP TGP 2020</w:t>
      </w:r>
    </w:p>
    <w:p w14:paraId="353A2ABE" w14:textId="77777777" w:rsidR="005431A8" w:rsidRDefault="005431A8" w:rsidP="00C52E4C">
      <w:pPr>
        <w:spacing w:after="0" w:line="240" w:lineRule="auto"/>
        <w:jc w:val="both"/>
        <w:rPr>
          <w:rFonts w:cstheme="minorHAnsi"/>
          <w:b/>
          <w:sz w:val="24"/>
          <w:szCs w:val="24"/>
        </w:rPr>
      </w:pPr>
    </w:p>
    <w:p w14:paraId="13869BFC" w14:textId="147D94D6" w:rsidR="005431A8" w:rsidRDefault="00047B64" w:rsidP="00C52E4C">
      <w:pPr>
        <w:spacing w:after="0" w:line="240" w:lineRule="auto"/>
        <w:jc w:val="both"/>
        <w:rPr>
          <w:rFonts w:cstheme="minorHAnsi"/>
        </w:rPr>
      </w:pPr>
      <w:r>
        <w:rPr>
          <w:rFonts w:cstheme="minorHAnsi"/>
        </w:rPr>
        <w:t xml:space="preserve">V nadaljevanju je </w:t>
      </w:r>
      <w:r w:rsidR="00EE2B7D">
        <w:rPr>
          <w:rFonts w:cstheme="minorHAnsi"/>
        </w:rPr>
        <w:t xml:space="preserve">po sektorjih </w:t>
      </w:r>
      <w:r>
        <w:rPr>
          <w:rFonts w:cstheme="minorHAnsi"/>
        </w:rPr>
        <w:t>prikazana analiza glavnih kazalcev za spremljanje izvajanja OP TGP 2020.</w:t>
      </w:r>
      <w:r w:rsidR="006341BA">
        <w:rPr>
          <w:rFonts w:cstheme="minorHAnsi"/>
        </w:rPr>
        <w:t xml:space="preserve"> </w:t>
      </w:r>
    </w:p>
    <w:p w14:paraId="3B108971" w14:textId="77777777" w:rsidR="00210DCA" w:rsidRDefault="00210DCA" w:rsidP="00C52E4C">
      <w:pPr>
        <w:spacing w:after="0" w:line="240" w:lineRule="auto"/>
        <w:jc w:val="both"/>
        <w:rPr>
          <w:rFonts w:cstheme="minorHAnsi"/>
        </w:rPr>
      </w:pPr>
    </w:p>
    <w:p w14:paraId="047597B6" w14:textId="5F067891" w:rsidR="00210DCA" w:rsidRPr="00C27973" w:rsidRDefault="00210DCA" w:rsidP="00C52E4C">
      <w:pPr>
        <w:spacing w:after="0" w:line="240" w:lineRule="auto"/>
        <w:jc w:val="both"/>
        <w:rPr>
          <w:rFonts w:cstheme="minorHAnsi"/>
          <w:i/>
        </w:rPr>
      </w:pPr>
      <w:r w:rsidRPr="00C27973">
        <w:rPr>
          <w:rFonts w:cstheme="minorHAnsi"/>
          <w:i/>
        </w:rPr>
        <w:t>Legenda:</w:t>
      </w:r>
    </w:p>
    <w:tbl>
      <w:tblPr>
        <w:tblStyle w:val="Tabelamrea"/>
        <w:tblW w:w="0" w:type="auto"/>
        <w:tblLook w:val="04A0" w:firstRow="1" w:lastRow="0" w:firstColumn="1" w:lastColumn="0" w:noHBand="0" w:noVBand="1"/>
      </w:tblPr>
      <w:tblGrid>
        <w:gridCol w:w="534"/>
        <w:gridCol w:w="8632"/>
      </w:tblGrid>
      <w:tr w:rsidR="00210DCA" w14:paraId="306E6664" w14:textId="77777777" w:rsidTr="00210DCA">
        <w:tc>
          <w:tcPr>
            <w:tcW w:w="534" w:type="dxa"/>
            <w:shd w:val="clear" w:color="auto" w:fill="92D050"/>
          </w:tcPr>
          <w:p w14:paraId="2E42962B" w14:textId="7A0009A0" w:rsidR="00210DCA" w:rsidRDefault="00210DCA" w:rsidP="004675F0">
            <w:pPr>
              <w:spacing w:before="20" w:after="20"/>
              <w:jc w:val="center"/>
              <w:rPr>
                <w:rFonts w:ascii="Calibri" w:hAnsi="Calibri" w:cs="Calibri"/>
              </w:rPr>
            </w:pPr>
            <w:r w:rsidRPr="00EE2B7D">
              <w:rPr>
                <w:rFonts w:ascii="Calibri" w:hAnsi="Calibri" w:cs="Calibri"/>
                <w:b/>
              </w:rPr>
              <w:sym w:font="Wingdings" w:char="F04A"/>
            </w:r>
          </w:p>
        </w:tc>
        <w:tc>
          <w:tcPr>
            <w:tcW w:w="8632" w:type="dxa"/>
          </w:tcPr>
          <w:p w14:paraId="4B87B66E" w14:textId="75DEEFB3" w:rsidR="00210DCA" w:rsidRDefault="00210DCA" w:rsidP="002D52CA">
            <w:pPr>
              <w:jc w:val="both"/>
              <w:rPr>
                <w:rFonts w:ascii="Calibri" w:hAnsi="Calibri" w:cs="Calibri"/>
              </w:rPr>
            </w:pPr>
            <w:r>
              <w:t>Vsi pokazatelji kažejo na doseganj</w:t>
            </w:r>
            <w:r w:rsidR="002D52CA">
              <w:t>e</w:t>
            </w:r>
            <w:r>
              <w:t xml:space="preserve"> cilja v letu 2020 in dobre obete za nadalje.</w:t>
            </w:r>
          </w:p>
        </w:tc>
      </w:tr>
      <w:tr w:rsidR="00210DCA" w14:paraId="5268924F" w14:textId="77777777" w:rsidTr="007B3ED0">
        <w:tc>
          <w:tcPr>
            <w:tcW w:w="534" w:type="dxa"/>
            <w:shd w:val="clear" w:color="auto" w:fill="FFC000" w:themeFill="accent4"/>
          </w:tcPr>
          <w:p w14:paraId="165AC84C" w14:textId="21CFEFB7" w:rsidR="003056DA" w:rsidRPr="007B3ED0" w:rsidRDefault="003056DA" w:rsidP="004675F0">
            <w:pPr>
              <w:spacing w:before="20" w:after="20"/>
              <w:jc w:val="center"/>
              <w:rPr>
                <w:rFonts w:ascii="Calibri" w:hAnsi="Calibri" w:cs="Calibri"/>
                <w:b/>
              </w:rPr>
            </w:pPr>
            <w:r w:rsidRPr="007B3ED0">
              <w:rPr>
                <w:rFonts w:ascii="Calibri" w:hAnsi="Calibri" w:cs="Calibri"/>
                <w:b/>
              </w:rPr>
              <w:sym w:font="Wingdings" w:char="F04B"/>
            </w:r>
          </w:p>
        </w:tc>
        <w:tc>
          <w:tcPr>
            <w:tcW w:w="8632" w:type="dxa"/>
          </w:tcPr>
          <w:p w14:paraId="33C2C767" w14:textId="1D8F8186" w:rsidR="00210DCA" w:rsidRDefault="00210DCA" w:rsidP="007B3ED0">
            <w:pPr>
              <w:jc w:val="both"/>
              <w:rPr>
                <w:rFonts w:ascii="Calibri" w:hAnsi="Calibri" w:cs="Calibri"/>
              </w:rPr>
            </w:pPr>
            <w:r>
              <w:t xml:space="preserve">Nekaj pokazateljev kaže na to da bi bilo </w:t>
            </w:r>
            <w:r w:rsidR="007B3ED0">
              <w:t xml:space="preserve">lahko </w:t>
            </w:r>
            <w:r w:rsidR="002D52CA">
              <w:t>doseganje</w:t>
            </w:r>
            <w:r>
              <w:t xml:space="preserve"> cilja v letu 2020 in nadalje ogroženo.</w:t>
            </w:r>
          </w:p>
        </w:tc>
      </w:tr>
      <w:tr w:rsidR="00210DCA" w14:paraId="1AB18B9F" w14:textId="77777777" w:rsidTr="00210DCA">
        <w:tc>
          <w:tcPr>
            <w:tcW w:w="534" w:type="dxa"/>
            <w:shd w:val="clear" w:color="auto" w:fill="FF0000"/>
          </w:tcPr>
          <w:p w14:paraId="10C1BD04" w14:textId="521F308C" w:rsidR="00210DCA" w:rsidRDefault="00210DCA" w:rsidP="00747EE8">
            <w:pPr>
              <w:spacing w:before="120"/>
              <w:jc w:val="center"/>
              <w:rPr>
                <w:rFonts w:ascii="Calibri" w:hAnsi="Calibri" w:cs="Calibri"/>
              </w:rPr>
            </w:pPr>
            <w:r w:rsidRPr="00EE2B7D">
              <w:rPr>
                <w:rFonts w:ascii="Calibri" w:hAnsi="Calibri" w:cs="Calibri"/>
                <w:b/>
              </w:rPr>
              <w:sym w:font="Wingdings" w:char="F04C"/>
            </w:r>
          </w:p>
        </w:tc>
        <w:tc>
          <w:tcPr>
            <w:tcW w:w="8632" w:type="dxa"/>
          </w:tcPr>
          <w:p w14:paraId="737CED89" w14:textId="3A4444D3" w:rsidR="00210DCA" w:rsidRDefault="00210DCA" w:rsidP="002D52CA">
            <w:pPr>
              <w:jc w:val="both"/>
              <w:rPr>
                <w:rFonts w:ascii="Calibri" w:hAnsi="Calibri" w:cs="Calibri"/>
              </w:rPr>
            </w:pPr>
            <w:r>
              <w:t>Nekaj pokazateljev izrazito ali en pokazatelj zelo izrazito kaže, da bo doseganj</w:t>
            </w:r>
            <w:r w:rsidR="002D52CA">
              <w:t>e</w:t>
            </w:r>
            <w:r>
              <w:t xml:space="preserve"> cilja v letu 2020 in nadalje zelo ogroženo.</w:t>
            </w:r>
          </w:p>
        </w:tc>
      </w:tr>
    </w:tbl>
    <w:p w14:paraId="04F73048" w14:textId="77777777" w:rsidR="000A4838" w:rsidRDefault="000A4838" w:rsidP="00C52E4C">
      <w:pPr>
        <w:spacing w:after="0" w:line="240" w:lineRule="auto"/>
        <w:jc w:val="both"/>
        <w:rPr>
          <w:rFonts w:ascii="Calibri" w:hAnsi="Calibri" w:cs="Calibri"/>
        </w:rPr>
      </w:pPr>
    </w:p>
    <w:p w14:paraId="57EC7C1D" w14:textId="37A3FBFF" w:rsidR="00136BA3" w:rsidRDefault="00136BA3" w:rsidP="00136BA3">
      <w:pPr>
        <w:spacing w:after="0" w:line="240" w:lineRule="auto"/>
        <w:jc w:val="both"/>
        <w:rPr>
          <w:rFonts w:ascii="Calibri" w:hAnsi="Calibri" w:cs="Calibri"/>
          <w:b/>
          <w:bCs/>
        </w:rPr>
      </w:pPr>
      <w:r>
        <w:rPr>
          <w:rFonts w:ascii="Calibri" w:hAnsi="Calibri" w:cs="Calibri"/>
          <w:b/>
          <w:bCs/>
        </w:rPr>
        <w:t>3</w:t>
      </w:r>
      <w:r w:rsidRPr="00472C4D">
        <w:rPr>
          <w:rFonts w:ascii="Calibri" w:hAnsi="Calibri" w:cs="Calibri"/>
          <w:b/>
          <w:bCs/>
        </w:rPr>
        <w:t>.1 Promet</w:t>
      </w:r>
    </w:p>
    <w:p w14:paraId="42C3330E" w14:textId="77777777" w:rsidR="007B3ED0" w:rsidRDefault="007B3ED0" w:rsidP="00136BA3">
      <w:pPr>
        <w:spacing w:after="0" w:line="240" w:lineRule="auto"/>
        <w:jc w:val="both"/>
        <w:rPr>
          <w:rFonts w:ascii="Calibri" w:hAnsi="Calibri" w:cs="Calibri"/>
          <w:b/>
          <w:bCs/>
        </w:rPr>
      </w:pPr>
    </w:p>
    <w:tbl>
      <w:tblPr>
        <w:tblStyle w:val="Tabelamrea"/>
        <w:tblW w:w="0" w:type="auto"/>
        <w:tblLook w:val="04A0" w:firstRow="1" w:lastRow="0" w:firstColumn="1" w:lastColumn="0" w:noHBand="0" w:noVBand="1"/>
      </w:tblPr>
      <w:tblGrid>
        <w:gridCol w:w="7916"/>
        <w:gridCol w:w="663"/>
        <w:gridCol w:w="663"/>
      </w:tblGrid>
      <w:tr w:rsidR="005423C2" w14:paraId="51F04D34" w14:textId="77777777" w:rsidTr="005423C2">
        <w:tc>
          <w:tcPr>
            <w:tcW w:w="7916" w:type="dxa"/>
          </w:tcPr>
          <w:p w14:paraId="46F9BE31" w14:textId="47AB1600" w:rsidR="005423C2" w:rsidRDefault="005423C2" w:rsidP="00136BA3">
            <w:pPr>
              <w:jc w:val="both"/>
              <w:rPr>
                <w:rFonts w:ascii="Calibri" w:hAnsi="Calibri" w:cs="Calibri"/>
                <w:b/>
                <w:bCs/>
              </w:rPr>
            </w:pPr>
            <w:r>
              <w:rPr>
                <w:rFonts w:ascii="Calibri" w:hAnsi="Calibri" w:cs="Calibri"/>
                <w:b/>
              </w:rPr>
              <w:t xml:space="preserve">Doseganje ciljev OP TGP 2020 se spremlja s kazalci: </w:t>
            </w:r>
          </w:p>
        </w:tc>
        <w:tc>
          <w:tcPr>
            <w:tcW w:w="663" w:type="dxa"/>
          </w:tcPr>
          <w:p w14:paraId="76023E28" w14:textId="472B6C5B" w:rsidR="005423C2" w:rsidRDefault="005423C2" w:rsidP="00136BA3">
            <w:pPr>
              <w:jc w:val="both"/>
              <w:rPr>
                <w:rFonts w:ascii="Calibri" w:hAnsi="Calibri" w:cs="Calibri"/>
                <w:b/>
                <w:bCs/>
              </w:rPr>
            </w:pPr>
            <w:r>
              <w:rPr>
                <w:rFonts w:ascii="Calibri" w:hAnsi="Calibri" w:cs="Calibri"/>
                <w:b/>
                <w:bCs/>
              </w:rPr>
              <w:t>2017</w:t>
            </w:r>
          </w:p>
        </w:tc>
        <w:tc>
          <w:tcPr>
            <w:tcW w:w="663" w:type="dxa"/>
          </w:tcPr>
          <w:p w14:paraId="4F1774FF" w14:textId="67E8C050" w:rsidR="005423C2" w:rsidRDefault="005423C2" w:rsidP="00136BA3">
            <w:pPr>
              <w:jc w:val="both"/>
              <w:rPr>
                <w:rFonts w:ascii="Calibri" w:hAnsi="Calibri" w:cs="Calibri"/>
                <w:b/>
                <w:bCs/>
              </w:rPr>
            </w:pPr>
            <w:r>
              <w:rPr>
                <w:rFonts w:ascii="Calibri" w:hAnsi="Calibri" w:cs="Calibri"/>
                <w:b/>
                <w:bCs/>
              </w:rPr>
              <w:t>2018</w:t>
            </w:r>
          </w:p>
        </w:tc>
      </w:tr>
      <w:tr w:rsidR="005423C2" w14:paraId="7221DC11" w14:textId="77777777" w:rsidTr="00360158">
        <w:tc>
          <w:tcPr>
            <w:tcW w:w="7916" w:type="dxa"/>
          </w:tcPr>
          <w:p w14:paraId="0ACE9351" w14:textId="0354200B" w:rsidR="005423C2" w:rsidRDefault="00747EE8" w:rsidP="00136BA3">
            <w:pPr>
              <w:jc w:val="both"/>
              <w:rPr>
                <w:rFonts w:ascii="Calibri" w:hAnsi="Calibri" w:cs="Calibri"/>
                <w:b/>
                <w:bCs/>
              </w:rPr>
            </w:pPr>
            <w:r>
              <w:rPr>
                <w:rFonts w:ascii="Calibri" w:hAnsi="Calibri" w:cs="Calibri"/>
              </w:rPr>
              <w:t>Emisije CO</w:t>
            </w:r>
            <w:r>
              <w:rPr>
                <w:rFonts w:ascii="Calibri" w:hAnsi="Calibri" w:cs="Calibri"/>
                <w:vertAlign w:val="subscript"/>
              </w:rPr>
              <w:t xml:space="preserve">2 </w:t>
            </w:r>
            <w:r>
              <w:rPr>
                <w:rFonts w:ascii="Calibri" w:hAnsi="Calibri" w:cs="Calibri"/>
              </w:rPr>
              <w:t>iz novih in vseh osebnih vozil</w:t>
            </w:r>
          </w:p>
        </w:tc>
        <w:tc>
          <w:tcPr>
            <w:tcW w:w="663" w:type="dxa"/>
            <w:shd w:val="clear" w:color="auto" w:fill="FFC000"/>
          </w:tcPr>
          <w:p w14:paraId="31F65295" w14:textId="4AFBA0DF" w:rsidR="005423C2" w:rsidRDefault="00360158" w:rsidP="004675F0">
            <w:pPr>
              <w:spacing w:before="20" w:after="20"/>
              <w:jc w:val="center"/>
              <w:rPr>
                <w:rFonts w:ascii="Calibri" w:hAnsi="Calibri" w:cs="Calibri"/>
                <w:b/>
                <w:bCs/>
              </w:rPr>
            </w:pPr>
            <w:r w:rsidRPr="007B3ED0">
              <w:rPr>
                <w:rFonts w:ascii="Calibri" w:hAnsi="Calibri" w:cs="Calibri"/>
                <w:b/>
              </w:rPr>
              <w:sym w:font="Wingdings" w:char="F04B"/>
            </w:r>
          </w:p>
        </w:tc>
        <w:tc>
          <w:tcPr>
            <w:tcW w:w="663" w:type="dxa"/>
            <w:shd w:val="clear" w:color="auto" w:fill="FF0000"/>
          </w:tcPr>
          <w:p w14:paraId="51CAF4E5" w14:textId="4FB2BB1C" w:rsidR="005423C2" w:rsidRDefault="00360158" w:rsidP="004675F0">
            <w:pPr>
              <w:spacing w:before="20" w:after="20"/>
              <w:jc w:val="center"/>
              <w:rPr>
                <w:rFonts w:ascii="Calibri" w:hAnsi="Calibri" w:cs="Calibri"/>
                <w:b/>
                <w:bCs/>
              </w:rPr>
            </w:pPr>
            <w:r w:rsidRPr="00360158">
              <w:rPr>
                <w:rFonts w:ascii="Calibri" w:hAnsi="Calibri" w:cs="Calibri"/>
                <w:b/>
                <w:bCs/>
              </w:rPr>
              <w:sym w:font="Wingdings" w:char="F04C"/>
            </w:r>
          </w:p>
        </w:tc>
      </w:tr>
      <w:tr w:rsidR="00747EE8" w14:paraId="0E8CEE96" w14:textId="77777777" w:rsidTr="00360158">
        <w:tc>
          <w:tcPr>
            <w:tcW w:w="7916" w:type="dxa"/>
          </w:tcPr>
          <w:p w14:paraId="18046114" w14:textId="31A65C3F" w:rsidR="00747EE8" w:rsidRDefault="00747EE8" w:rsidP="00136BA3">
            <w:pPr>
              <w:jc w:val="both"/>
              <w:rPr>
                <w:rFonts w:ascii="Calibri" w:hAnsi="Calibri" w:cs="Calibri"/>
                <w:b/>
                <w:bCs/>
              </w:rPr>
            </w:pPr>
            <w:r>
              <w:rPr>
                <w:rFonts w:ascii="Calibri" w:hAnsi="Calibri" w:cs="Calibri"/>
              </w:rPr>
              <w:t>Delež OVE v energiji goriv za pogon vozil</w:t>
            </w:r>
          </w:p>
        </w:tc>
        <w:tc>
          <w:tcPr>
            <w:tcW w:w="663" w:type="dxa"/>
            <w:shd w:val="clear" w:color="auto" w:fill="FF0000"/>
          </w:tcPr>
          <w:p w14:paraId="7B0CFB21" w14:textId="7BC3B74B" w:rsidR="00360158" w:rsidRDefault="00360158" w:rsidP="004675F0">
            <w:pPr>
              <w:spacing w:before="20" w:after="20"/>
              <w:jc w:val="center"/>
              <w:rPr>
                <w:rFonts w:ascii="Calibri" w:hAnsi="Calibri" w:cs="Calibri"/>
                <w:b/>
                <w:bCs/>
              </w:rPr>
            </w:pPr>
            <w:r w:rsidRPr="00360158">
              <w:rPr>
                <w:rFonts w:ascii="Calibri" w:hAnsi="Calibri" w:cs="Calibri"/>
                <w:b/>
                <w:bCs/>
              </w:rPr>
              <w:sym w:font="Wingdings" w:char="F04C"/>
            </w:r>
          </w:p>
        </w:tc>
        <w:tc>
          <w:tcPr>
            <w:tcW w:w="663" w:type="dxa"/>
            <w:shd w:val="clear" w:color="auto" w:fill="FF0000"/>
          </w:tcPr>
          <w:p w14:paraId="3C0B0A0A" w14:textId="13184CB4" w:rsidR="00747EE8" w:rsidRDefault="00360158" w:rsidP="004675F0">
            <w:pPr>
              <w:spacing w:before="20" w:after="20"/>
              <w:jc w:val="center"/>
              <w:rPr>
                <w:rFonts w:ascii="Calibri" w:hAnsi="Calibri" w:cs="Calibri"/>
                <w:b/>
                <w:bCs/>
              </w:rPr>
            </w:pPr>
            <w:r w:rsidRPr="00360158">
              <w:rPr>
                <w:rFonts w:ascii="Calibri" w:hAnsi="Calibri" w:cs="Calibri"/>
                <w:b/>
                <w:bCs/>
              </w:rPr>
              <w:sym w:font="Wingdings" w:char="F04C"/>
            </w:r>
          </w:p>
        </w:tc>
      </w:tr>
      <w:tr w:rsidR="00747EE8" w14:paraId="4A2A9804" w14:textId="77777777" w:rsidTr="00360158">
        <w:tc>
          <w:tcPr>
            <w:tcW w:w="7916" w:type="dxa"/>
          </w:tcPr>
          <w:p w14:paraId="4FA9B8DF" w14:textId="10390C09" w:rsidR="00747EE8" w:rsidRDefault="00747EE8" w:rsidP="00136BA3">
            <w:pPr>
              <w:jc w:val="both"/>
              <w:rPr>
                <w:rFonts w:ascii="Calibri" w:hAnsi="Calibri" w:cs="Calibri"/>
                <w:b/>
                <w:bCs/>
              </w:rPr>
            </w:pPr>
            <w:r>
              <w:rPr>
                <w:rFonts w:ascii="Calibri" w:hAnsi="Calibri" w:cs="Calibri"/>
              </w:rPr>
              <w:t>Potniški kilometri v javnem potniškem prometu</w:t>
            </w:r>
            <w:r w:rsidR="00B01BE2">
              <w:rPr>
                <w:rFonts w:ascii="Calibri" w:hAnsi="Calibri" w:cs="Calibri"/>
              </w:rPr>
              <w:t xml:space="preserve"> (JPP)</w:t>
            </w:r>
          </w:p>
        </w:tc>
        <w:tc>
          <w:tcPr>
            <w:tcW w:w="663" w:type="dxa"/>
            <w:shd w:val="clear" w:color="auto" w:fill="FF0000"/>
          </w:tcPr>
          <w:p w14:paraId="3D262EAF" w14:textId="085EE788" w:rsidR="00747EE8" w:rsidRDefault="00360158" w:rsidP="004675F0">
            <w:pPr>
              <w:spacing w:before="20" w:after="20"/>
              <w:jc w:val="center"/>
              <w:rPr>
                <w:rFonts w:ascii="Calibri" w:hAnsi="Calibri" w:cs="Calibri"/>
                <w:b/>
                <w:bCs/>
              </w:rPr>
            </w:pPr>
            <w:r w:rsidRPr="00360158">
              <w:rPr>
                <w:rFonts w:ascii="Calibri" w:hAnsi="Calibri" w:cs="Calibri"/>
                <w:b/>
                <w:bCs/>
              </w:rPr>
              <w:sym w:font="Wingdings" w:char="F04C"/>
            </w:r>
          </w:p>
        </w:tc>
        <w:tc>
          <w:tcPr>
            <w:tcW w:w="663" w:type="dxa"/>
            <w:shd w:val="clear" w:color="auto" w:fill="FF0000"/>
          </w:tcPr>
          <w:p w14:paraId="7CD9CA16" w14:textId="215C8B09" w:rsidR="00747EE8" w:rsidRDefault="00360158" w:rsidP="004675F0">
            <w:pPr>
              <w:spacing w:before="20" w:after="20"/>
              <w:jc w:val="center"/>
              <w:rPr>
                <w:rFonts w:ascii="Calibri" w:hAnsi="Calibri" w:cs="Calibri"/>
                <w:b/>
                <w:bCs/>
              </w:rPr>
            </w:pPr>
            <w:r w:rsidRPr="00360158">
              <w:rPr>
                <w:rFonts w:ascii="Calibri" w:hAnsi="Calibri" w:cs="Calibri"/>
                <w:b/>
                <w:bCs/>
              </w:rPr>
              <w:sym w:font="Wingdings" w:char="F04C"/>
            </w:r>
          </w:p>
        </w:tc>
      </w:tr>
      <w:tr w:rsidR="00747EE8" w14:paraId="41D5EE80" w14:textId="77777777" w:rsidTr="00360158">
        <w:tc>
          <w:tcPr>
            <w:tcW w:w="7916" w:type="dxa"/>
          </w:tcPr>
          <w:p w14:paraId="5F16AC31" w14:textId="0A0FBB62" w:rsidR="00747EE8" w:rsidRDefault="00747EE8" w:rsidP="00136BA3">
            <w:pPr>
              <w:jc w:val="both"/>
              <w:rPr>
                <w:rFonts w:ascii="Calibri" w:hAnsi="Calibri" w:cs="Calibri"/>
                <w:b/>
                <w:bCs/>
              </w:rPr>
            </w:pPr>
            <w:r>
              <w:rPr>
                <w:rFonts w:ascii="Calibri" w:hAnsi="Calibri" w:cs="Calibri"/>
              </w:rPr>
              <w:t>Trajnostni tovorni promet</w:t>
            </w:r>
          </w:p>
        </w:tc>
        <w:tc>
          <w:tcPr>
            <w:tcW w:w="663" w:type="dxa"/>
            <w:shd w:val="clear" w:color="auto" w:fill="92D050"/>
          </w:tcPr>
          <w:p w14:paraId="03D8AC5F" w14:textId="5661BACB" w:rsidR="00747EE8" w:rsidRDefault="00360158" w:rsidP="004675F0">
            <w:pPr>
              <w:spacing w:before="20" w:after="20"/>
              <w:jc w:val="center"/>
              <w:rPr>
                <w:rFonts w:ascii="Calibri" w:hAnsi="Calibri" w:cs="Calibri"/>
                <w:b/>
                <w:bCs/>
              </w:rPr>
            </w:pPr>
            <w:r w:rsidRPr="00360158">
              <w:rPr>
                <w:rFonts w:ascii="Calibri" w:hAnsi="Calibri" w:cs="Calibri"/>
                <w:b/>
                <w:bCs/>
              </w:rPr>
              <w:sym w:font="Wingdings" w:char="F04A"/>
            </w:r>
          </w:p>
        </w:tc>
        <w:tc>
          <w:tcPr>
            <w:tcW w:w="663" w:type="dxa"/>
            <w:shd w:val="clear" w:color="auto" w:fill="92D050"/>
          </w:tcPr>
          <w:p w14:paraId="2A596073" w14:textId="62246856" w:rsidR="00747EE8" w:rsidRDefault="00360158" w:rsidP="004675F0">
            <w:pPr>
              <w:spacing w:before="20" w:after="20"/>
              <w:jc w:val="center"/>
              <w:rPr>
                <w:rFonts w:ascii="Calibri" w:hAnsi="Calibri" w:cs="Calibri"/>
                <w:b/>
                <w:bCs/>
              </w:rPr>
            </w:pPr>
            <w:r w:rsidRPr="00360158">
              <w:rPr>
                <w:rFonts w:ascii="Calibri" w:hAnsi="Calibri" w:cs="Calibri"/>
                <w:b/>
                <w:bCs/>
              </w:rPr>
              <w:sym w:font="Wingdings" w:char="F04A"/>
            </w:r>
          </w:p>
        </w:tc>
      </w:tr>
    </w:tbl>
    <w:p w14:paraId="0A852875" w14:textId="77777777" w:rsidR="00301A5D" w:rsidRDefault="00301A5D" w:rsidP="006E5A66">
      <w:pPr>
        <w:spacing w:after="0" w:line="240" w:lineRule="auto"/>
        <w:jc w:val="both"/>
        <w:rPr>
          <w:rFonts w:ascii="Calibri" w:hAnsi="Calibri" w:cs="Calibri"/>
        </w:rPr>
      </w:pPr>
    </w:p>
    <w:p w14:paraId="200C71F9" w14:textId="2532020B" w:rsidR="0039038C" w:rsidRDefault="0039038C" w:rsidP="006E5A66">
      <w:pPr>
        <w:spacing w:after="0" w:line="240" w:lineRule="auto"/>
        <w:jc w:val="both"/>
        <w:rPr>
          <w:rFonts w:ascii="Calibri" w:hAnsi="Calibri" w:cs="Calibri"/>
        </w:rPr>
      </w:pPr>
      <w:r>
        <w:rPr>
          <w:rFonts w:ascii="Calibri" w:hAnsi="Calibri" w:cs="Calibri"/>
        </w:rPr>
        <w:t xml:space="preserve">Povprečne emisije vseh vozil so se v letu 2017 zmanjšale, a so se v letu 2018 povečale. Enak trend velja za specifične emisije novih vozil, ki se oddaljujejo od zastavljenega cilja. </w:t>
      </w:r>
    </w:p>
    <w:p w14:paraId="11D1490F" w14:textId="77777777" w:rsidR="0039038C" w:rsidRDefault="0039038C" w:rsidP="006E5A66">
      <w:pPr>
        <w:spacing w:after="0" w:line="240" w:lineRule="auto"/>
        <w:jc w:val="both"/>
        <w:rPr>
          <w:rFonts w:ascii="Calibri" w:hAnsi="Calibri" w:cs="Calibri"/>
        </w:rPr>
      </w:pPr>
    </w:p>
    <w:p w14:paraId="006090D8" w14:textId="5D8CADE6" w:rsidR="00763958" w:rsidRDefault="00763958" w:rsidP="00763958">
      <w:pPr>
        <w:spacing w:after="0" w:line="240" w:lineRule="auto"/>
        <w:jc w:val="both"/>
        <w:rPr>
          <w:rFonts w:ascii="Calibri" w:hAnsi="Calibri" w:cs="Calibri"/>
        </w:rPr>
      </w:pPr>
      <w:r w:rsidRPr="006E5A66">
        <w:rPr>
          <w:rFonts w:ascii="Calibri" w:hAnsi="Calibri" w:cs="Calibri"/>
        </w:rPr>
        <w:t>V let</w:t>
      </w:r>
      <w:r>
        <w:rPr>
          <w:rFonts w:ascii="Calibri" w:hAnsi="Calibri" w:cs="Calibri"/>
        </w:rPr>
        <w:t>ih</w:t>
      </w:r>
      <w:r w:rsidRPr="006E5A66">
        <w:rPr>
          <w:rFonts w:ascii="Calibri" w:hAnsi="Calibri" w:cs="Calibri"/>
        </w:rPr>
        <w:t xml:space="preserve"> 2017</w:t>
      </w:r>
      <w:r>
        <w:rPr>
          <w:rFonts w:ascii="Calibri" w:hAnsi="Calibri" w:cs="Calibri"/>
        </w:rPr>
        <w:t xml:space="preserve"> in 2018</w:t>
      </w:r>
      <w:r w:rsidRPr="006E5A66">
        <w:rPr>
          <w:rFonts w:ascii="Calibri" w:hAnsi="Calibri" w:cs="Calibri"/>
        </w:rPr>
        <w:t xml:space="preserve"> se je delež OVE v prometu povečal in je znašal </w:t>
      </w:r>
      <w:r w:rsidRPr="00737351">
        <w:rPr>
          <w:rFonts w:ascii="Calibri" w:hAnsi="Calibri" w:cs="Calibri"/>
        </w:rPr>
        <w:t>2,</w:t>
      </w:r>
      <w:r w:rsidR="00737351" w:rsidRPr="00737351">
        <w:rPr>
          <w:rFonts w:ascii="Calibri" w:hAnsi="Calibri" w:cs="Calibri"/>
        </w:rPr>
        <w:t>6</w:t>
      </w:r>
      <w:r w:rsidRPr="00737351">
        <w:rPr>
          <w:rFonts w:ascii="Calibri" w:hAnsi="Calibri" w:cs="Calibri"/>
        </w:rPr>
        <w:t xml:space="preserve"> %</w:t>
      </w:r>
      <w:r>
        <w:rPr>
          <w:rFonts w:ascii="Calibri" w:hAnsi="Calibri" w:cs="Calibri"/>
        </w:rPr>
        <w:t xml:space="preserve"> ter 5,5 %,</w:t>
      </w:r>
      <w:r w:rsidRPr="006E5A66">
        <w:rPr>
          <w:rFonts w:ascii="Calibri" w:hAnsi="Calibri" w:cs="Calibri"/>
        </w:rPr>
        <w:t xml:space="preserve"> kar pa je </w:t>
      </w:r>
      <w:r w:rsidR="000A663F">
        <w:rPr>
          <w:rFonts w:ascii="Calibri" w:hAnsi="Calibri" w:cs="Calibri"/>
        </w:rPr>
        <w:t xml:space="preserve">še vedno </w:t>
      </w:r>
      <w:r>
        <w:rPr>
          <w:rFonts w:ascii="Calibri" w:hAnsi="Calibri" w:cs="Calibri"/>
        </w:rPr>
        <w:t>za 4,5 odstotne točke</w:t>
      </w:r>
      <w:r w:rsidRPr="006E5A66">
        <w:rPr>
          <w:rFonts w:ascii="Calibri" w:hAnsi="Calibri" w:cs="Calibri"/>
        </w:rPr>
        <w:t xml:space="preserve"> nižje od </w:t>
      </w:r>
      <w:r w:rsidR="00D95988">
        <w:rPr>
          <w:rFonts w:ascii="Calibri" w:hAnsi="Calibri" w:cs="Calibri"/>
        </w:rPr>
        <w:t>zastavljen</w:t>
      </w:r>
      <w:r w:rsidR="00A669D0">
        <w:rPr>
          <w:rFonts w:ascii="Calibri" w:hAnsi="Calibri" w:cs="Calibri"/>
        </w:rPr>
        <w:t xml:space="preserve">ega </w:t>
      </w:r>
      <w:r w:rsidRPr="006E5A66">
        <w:rPr>
          <w:rFonts w:ascii="Calibri" w:hAnsi="Calibri" w:cs="Calibri"/>
        </w:rPr>
        <w:t>cil</w:t>
      </w:r>
      <w:r>
        <w:rPr>
          <w:rFonts w:ascii="Calibri" w:hAnsi="Calibri" w:cs="Calibri"/>
        </w:rPr>
        <w:t>ja</w:t>
      </w:r>
      <w:r w:rsidRPr="006E5A66">
        <w:rPr>
          <w:rFonts w:ascii="Calibri" w:hAnsi="Calibri" w:cs="Calibri"/>
        </w:rPr>
        <w:t xml:space="preserve"> v AN OVE</w:t>
      </w:r>
      <w:r w:rsidRPr="00472C4D">
        <w:rPr>
          <w:rStyle w:val="Sprotnaopomba-sklic"/>
          <w:rFonts w:ascii="Calibri" w:hAnsi="Calibri" w:cs="Calibri"/>
        </w:rPr>
        <w:footnoteReference w:id="9"/>
      </w:r>
      <w:r w:rsidRPr="006E5A66">
        <w:rPr>
          <w:rFonts w:ascii="Calibri" w:hAnsi="Calibri" w:cs="Calibri"/>
        </w:rPr>
        <w:t>.</w:t>
      </w:r>
    </w:p>
    <w:p w14:paraId="76ADA977" w14:textId="77777777" w:rsidR="00E153D6" w:rsidRPr="006E5A66" w:rsidRDefault="00E153D6" w:rsidP="00763958">
      <w:pPr>
        <w:spacing w:after="0" w:line="240" w:lineRule="auto"/>
        <w:jc w:val="both"/>
        <w:rPr>
          <w:rFonts w:ascii="Calibri" w:hAnsi="Calibri" w:cs="Calibri"/>
        </w:rPr>
      </w:pPr>
    </w:p>
    <w:p w14:paraId="62179682" w14:textId="77777777" w:rsidR="00C41539" w:rsidRDefault="00B01BE2" w:rsidP="00A669D0">
      <w:pPr>
        <w:spacing w:after="0" w:line="240" w:lineRule="auto"/>
        <w:jc w:val="both"/>
        <w:rPr>
          <w:rFonts w:ascii="Calibri" w:hAnsi="Calibri" w:cs="Calibri"/>
        </w:rPr>
      </w:pPr>
      <w:r>
        <w:rPr>
          <w:rFonts w:ascii="Calibri" w:hAnsi="Calibri" w:cs="Calibri"/>
        </w:rPr>
        <w:t xml:space="preserve">V letu 2018 se je število </w:t>
      </w:r>
      <w:r w:rsidRPr="00B01BE2">
        <w:rPr>
          <w:rFonts w:ascii="Calibri" w:hAnsi="Calibri" w:cs="Calibri"/>
        </w:rPr>
        <w:t>skupnih</w:t>
      </w:r>
      <w:r>
        <w:rPr>
          <w:rFonts w:ascii="Calibri" w:hAnsi="Calibri" w:cs="Calibri"/>
        </w:rPr>
        <w:t xml:space="preserve"> potniških kilometrov </w:t>
      </w:r>
      <w:r w:rsidR="00A669D0" w:rsidRPr="006E5A66">
        <w:rPr>
          <w:rFonts w:ascii="Calibri" w:hAnsi="Calibri" w:cs="Calibri"/>
        </w:rPr>
        <w:t>v JPP</w:t>
      </w:r>
      <w:r>
        <w:rPr>
          <w:rFonts w:ascii="Calibri" w:hAnsi="Calibri" w:cs="Calibri"/>
        </w:rPr>
        <w:t xml:space="preserve"> po večletnem povečevanju zmanjšalo. </w:t>
      </w:r>
      <w:r w:rsidR="00A669D0" w:rsidRPr="006E5A66">
        <w:rPr>
          <w:rFonts w:ascii="Calibri" w:hAnsi="Calibri" w:cs="Calibri"/>
        </w:rPr>
        <w:t xml:space="preserve"> </w:t>
      </w:r>
    </w:p>
    <w:p w14:paraId="359FF248" w14:textId="77777777" w:rsidR="00C41539" w:rsidRDefault="00B01BE2" w:rsidP="00C41539">
      <w:pPr>
        <w:pStyle w:val="Odstavekseznama"/>
        <w:numPr>
          <w:ilvl w:val="0"/>
          <w:numId w:val="26"/>
        </w:numPr>
        <w:spacing w:after="0" w:line="240" w:lineRule="auto"/>
        <w:jc w:val="both"/>
        <w:rPr>
          <w:rFonts w:ascii="Calibri" w:hAnsi="Calibri" w:cs="Calibri"/>
        </w:rPr>
      </w:pPr>
      <w:r w:rsidRPr="00C41539">
        <w:rPr>
          <w:rFonts w:ascii="Calibri" w:hAnsi="Calibri" w:cs="Calibri"/>
        </w:rPr>
        <w:t xml:space="preserve">Na železnicah se je po dveh letih zmanjševanja število potniških kilometrov povečalo, in sicer za 0,9 %. </w:t>
      </w:r>
    </w:p>
    <w:p w14:paraId="341D5718" w14:textId="789DA95B" w:rsidR="00C41539" w:rsidRDefault="00C41539" w:rsidP="00C41539">
      <w:pPr>
        <w:pStyle w:val="Odstavekseznama"/>
        <w:numPr>
          <w:ilvl w:val="0"/>
          <w:numId w:val="26"/>
        </w:numPr>
        <w:spacing w:after="0" w:line="240" w:lineRule="auto"/>
        <w:jc w:val="both"/>
        <w:rPr>
          <w:rFonts w:ascii="Calibri" w:hAnsi="Calibri" w:cs="Calibri"/>
        </w:rPr>
      </w:pPr>
      <w:r w:rsidRPr="00C41539">
        <w:rPr>
          <w:rFonts w:ascii="Calibri" w:hAnsi="Calibri" w:cs="Calibri"/>
        </w:rPr>
        <w:t>V</w:t>
      </w:r>
      <w:r w:rsidR="00A669D0" w:rsidRPr="00C41539">
        <w:rPr>
          <w:rFonts w:ascii="Calibri" w:hAnsi="Calibri" w:cs="Calibri"/>
        </w:rPr>
        <w:t xml:space="preserve"> medkrajevnem avtobusnem prevozu </w:t>
      </w:r>
      <w:r w:rsidRPr="00C41539">
        <w:rPr>
          <w:rFonts w:ascii="Calibri" w:hAnsi="Calibri" w:cs="Calibri"/>
        </w:rPr>
        <w:t xml:space="preserve">so se potniški kilometri od leta 2013 </w:t>
      </w:r>
      <w:r w:rsidR="00A669D0" w:rsidRPr="00C41539">
        <w:rPr>
          <w:rFonts w:ascii="Calibri" w:hAnsi="Calibri" w:cs="Calibri"/>
        </w:rPr>
        <w:t>poveč</w:t>
      </w:r>
      <w:r w:rsidRPr="00C41539">
        <w:rPr>
          <w:rFonts w:ascii="Calibri" w:hAnsi="Calibri" w:cs="Calibri"/>
        </w:rPr>
        <w:t xml:space="preserve">evali, v letu 2018 so se zmanjšali, in sicer za 5,7 %. </w:t>
      </w:r>
    </w:p>
    <w:p w14:paraId="54AB7BB3" w14:textId="789ADCC1" w:rsidR="00A669D0" w:rsidRPr="00C41539" w:rsidRDefault="00A669D0" w:rsidP="00C41539">
      <w:pPr>
        <w:pStyle w:val="Odstavekseznama"/>
        <w:numPr>
          <w:ilvl w:val="0"/>
          <w:numId w:val="26"/>
        </w:numPr>
        <w:spacing w:after="0" w:line="240" w:lineRule="auto"/>
        <w:jc w:val="both"/>
        <w:rPr>
          <w:rFonts w:ascii="Calibri" w:hAnsi="Calibri" w:cs="Calibri"/>
        </w:rPr>
      </w:pPr>
      <w:r w:rsidRPr="00C41539">
        <w:rPr>
          <w:rFonts w:ascii="Calibri" w:hAnsi="Calibri" w:cs="Calibri"/>
        </w:rPr>
        <w:t xml:space="preserve">Prav tako </w:t>
      </w:r>
      <w:r w:rsidR="00C41539">
        <w:rPr>
          <w:rFonts w:ascii="Calibri" w:hAnsi="Calibri" w:cs="Calibri"/>
        </w:rPr>
        <w:t>se je po skoraj 23 % povečanju v letu 2017 zmanjšalo tudi</w:t>
      </w:r>
      <w:r w:rsidRPr="00C41539">
        <w:rPr>
          <w:rFonts w:ascii="Calibri" w:hAnsi="Calibri" w:cs="Calibri"/>
        </w:rPr>
        <w:t xml:space="preserve"> </w:t>
      </w:r>
      <w:r w:rsidR="00C41539">
        <w:rPr>
          <w:rFonts w:ascii="Calibri" w:hAnsi="Calibri" w:cs="Calibri"/>
        </w:rPr>
        <w:t>število potniških kilometrov v</w:t>
      </w:r>
      <w:r w:rsidRPr="00C41539">
        <w:rPr>
          <w:rFonts w:ascii="Calibri" w:hAnsi="Calibri" w:cs="Calibri"/>
        </w:rPr>
        <w:t xml:space="preserve"> mestnem potniškem prometu, in sicer za </w:t>
      </w:r>
      <w:r w:rsidR="00C41539">
        <w:rPr>
          <w:rFonts w:ascii="Calibri" w:hAnsi="Calibri" w:cs="Calibri"/>
        </w:rPr>
        <w:t>3</w:t>
      </w:r>
      <w:r w:rsidRPr="00C41539">
        <w:rPr>
          <w:rFonts w:ascii="Calibri" w:hAnsi="Calibri" w:cs="Calibri"/>
        </w:rPr>
        <w:t xml:space="preserve"> %.  </w:t>
      </w:r>
    </w:p>
    <w:p w14:paraId="33B79540" w14:textId="54C72BBA" w:rsidR="00763958" w:rsidRDefault="00763958" w:rsidP="006E5A66">
      <w:pPr>
        <w:spacing w:after="0" w:line="240" w:lineRule="auto"/>
        <w:jc w:val="both"/>
        <w:rPr>
          <w:rFonts w:ascii="Calibri" w:hAnsi="Calibri" w:cs="Calibri"/>
        </w:rPr>
      </w:pPr>
    </w:p>
    <w:p w14:paraId="646DD8D1" w14:textId="15D19AF2" w:rsidR="00136BA3" w:rsidRDefault="00136BA3" w:rsidP="006E5A66">
      <w:pPr>
        <w:spacing w:after="0" w:line="240" w:lineRule="auto"/>
        <w:jc w:val="both"/>
        <w:rPr>
          <w:rFonts w:ascii="Calibri" w:hAnsi="Calibri" w:cs="Calibri"/>
        </w:rPr>
      </w:pPr>
      <w:r w:rsidRPr="006E5A66">
        <w:rPr>
          <w:rFonts w:ascii="Calibri" w:hAnsi="Calibri" w:cs="Calibri"/>
        </w:rPr>
        <w:t>Železniški tovorni promet raste hitreje od cestnega</w:t>
      </w:r>
      <w:r w:rsidR="00301A5D">
        <w:rPr>
          <w:rFonts w:ascii="Calibri" w:hAnsi="Calibri" w:cs="Calibri"/>
        </w:rPr>
        <w:t>, kar je v skladu z zastavljenimi cilji.</w:t>
      </w:r>
      <w:r w:rsidRPr="00301A5D">
        <w:rPr>
          <w:rFonts w:cstheme="minorHAnsi"/>
        </w:rPr>
        <w:t xml:space="preserve"> </w:t>
      </w:r>
      <w:r w:rsidR="00301A5D" w:rsidRPr="00C41539">
        <w:rPr>
          <w:rFonts w:cstheme="minorHAnsi"/>
          <w:color w:val="000000"/>
        </w:rPr>
        <w:t>V obdobju 2011−2018 se je število prevoženih tonskih kilometrov v cestnem prevozu povečalo za 18,4 %, v železniškem prevozu pa za 30,4 %.</w:t>
      </w:r>
    </w:p>
    <w:p w14:paraId="7269BBD6" w14:textId="77777777" w:rsidR="00136BA3" w:rsidRPr="00472C4D" w:rsidRDefault="00136BA3" w:rsidP="00136BA3">
      <w:pPr>
        <w:spacing w:after="0" w:line="240" w:lineRule="auto"/>
        <w:jc w:val="both"/>
        <w:rPr>
          <w:rFonts w:ascii="Calibri" w:hAnsi="Calibri" w:cs="Calibri"/>
        </w:rPr>
      </w:pPr>
    </w:p>
    <w:p w14:paraId="5D57FA20" w14:textId="340FFE7A" w:rsidR="00136BA3" w:rsidRPr="00472C4D" w:rsidRDefault="00136BA3" w:rsidP="00136BA3">
      <w:pPr>
        <w:spacing w:after="0" w:line="240" w:lineRule="auto"/>
        <w:jc w:val="both"/>
        <w:rPr>
          <w:rFonts w:ascii="Calibri" w:hAnsi="Calibri" w:cs="Calibri"/>
          <w:b/>
          <w:bCs/>
        </w:rPr>
      </w:pPr>
      <w:r>
        <w:rPr>
          <w:rFonts w:ascii="Calibri" w:hAnsi="Calibri" w:cs="Calibri"/>
          <w:b/>
          <w:bCs/>
        </w:rPr>
        <w:t>3</w:t>
      </w:r>
      <w:r w:rsidRPr="00472C4D">
        <w:rPr>
          <w:rFonts w:ascii="Calibri" w:hAnsi="Calibri" w:cs="Calibri"/>
          <w:b/>
          <w:bCs/>
        </w:rPr>
        <w:t>.2 Kmetijstvo</w:t>
      </w:r>
    </w:p>
    <w:p w14:paraId="1323815C" w14:textId="77777777" w:rsidR="00136BA3" w:rsidRDefault="00136BA3" w:rsidP="00136BA3">
      <w:pPr>
        <w:spacing w:after="0" w:line="240" w:lineRule="auto"/>
        <w:jc w:val="both"/>
        <w:rPr>
          <w:rFonts w:ascii="Calibri" w:hAnsi="Calibri" w:cs="Calibri"/>
        </w:rPr>
      </w:pPr>
    </w:p>
    <w:tbl>
      <w:tblPr>
        <w:tblStyle w:val="Tabelamrea"/>
        <w:tblW w:w="0" w:type="auto"/>
        <w:tblLook w:val="04A0" w:firstRow="1" w:lastRow="0" w:firstColumn="1" w:lastColumn="0" w:noHBand="0" w:noVBand="1"/>
      </w:tblPr>
      <w:tblGrid>
        <w:gridCol w:w="7871"/>
        <w:gridCol w:w="708"/>
        <w:gridCol w:w="663"/>
      </w:tblGrid>
      <w:tr w:rsidR="00177E23" w14:paraId="11DED4E0" w14:textId="77777777" w:rsidTr="00177E23">
        <w:tc>
          <w:tcPr>
            <w:tcW w:w="7871" w:type="dxa"/>
          </w:tcPr>
          <w:p w14:paraId="16ADC016" w14:textId="0B401E32" w:rsidR="00177E23" w:rsidRDefault="00177E23" w:rsidP="00136BA3">
            <w:pPr>
              <w:jc w:val="both"/>
              <w:rPr>
                <w:rFonts w:ascii="Calibri" w:hAnsi="Calibri" w:cs="Calibri"/>
              </w:rPr>
            </w:pPr>
            <w:r>
              <w:rPr>
                <w:rFonts w:ascii="Calibri" w:hAnsi="Calibri" w:cs="Calibri"/>
                <w:b/>
              </w:rPr>
              <w:t>Doseganje ciljev OP TGP 2020 se spremlja s kazalci:</w:t>
            </w:r>
          </w:p>
        </w:tc>
        <w:tc>
          <w:tcPr>
            <w:tcW w:w="708" w:type="dxa"/>
          </w:tcPr>
          <w:p w14:paraId="22AEBAD3" w14:textId="17EE9BE3" w:rsidR="00177E23" w:rsidRPr="00177E23" w:rsidRDefault="00177E23" w:rsidP="00177E23">
            <w:pPr>
              <w:jc w:val="center"/>
              <w:rPr>
                <w:rFonts w:ascii="Calibri" w:hAnsi="Calibri" w:cs="Calibri"/>
                <w:b/>
              </w:rPr>
            </w:pPr>
            <w:r w:rsidRPr="00177E23">
              <w:rPr>
                <w:rFonts w:ascii="Calibri" w:hAnsi="Calibri" w:cs="Calibri"/>
                <w:b/>
              </w:rPr>
              <w:t>2017</w:t>
            </w:r>
          </w:p>
        </w:tc>
        <w:tc>
          <w:tcPr>
            <w:tcW w:w="663" w:type="dxa"/>
          </w:tcPr>
          <w:p w14:paraId="2441F849" w14:textId="6BF4AABD" w:rsidR="00177E23" w:rsidRPr="00177E23" w:rsidRDefault="00177E23" w:rsidP="00177E23">
            <w:pPr>
              <w:jc w:val="center"/>
              <w:rPr>
                <w:rFonts w:ascii="Calibri" w:hAnsi="Calibri" w:cs="Calibri"/>
                <w:b/>
              </w:rPr>
            </w:pPr>
            <w:r w:rsidRPr="00177E23">
              <w:rPr>
                <w:rFonts w:ascii="Calibri" w:hAnsi="Calibri" w:cs="Calibri"/>
                <w:b/>
              </w:rPr>
              <w:t>2018</w:t>
            </w:r>
          </w:p>
        </w:tc>
      </w:tr>
      <w:tr w:rsidR="00177E23" w14:paraId="54C6B163" w14:textId="77777777" w:rsidTr="00CA52FA">
        <w:tc>
          <w:tcPr>
            <w:tcW w:w="7871" w:type="dxa"/>
          </w:tcPr>
          <w:p w14:paraId="2C994C60" w14:textId="11FB23D9" w:rsidR="00177E23" w:rsidRDefault="00177E23" w:rsidP="00136BA3">
            <w:pPr>
              <w:jc w:val="both"/>
              <w:rPr>
                <w:rFonts w:ascii="Calibri" w:hAnsi="Calibri" w:cs="Calibri"/>
              </w:rPr>
            </w:pPr>
            <w:r w:rsidRPr="005423C2">
              <w:t>Povečanje učinkovitosti reje domačih živali</w:t>
            </w:r>
          </w:p>
        </w:tc>
        <w:tc>
          <w:tcPr>
            <w:tcW w:w="708" w:type="dxa"/>
            <w:shd w:val="clear" w:color="auto" w:fill="FFC000"/>
          </w:tcPr>
          <w:p w14:paraId="1013BECB" w14:textId="34A35744"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608B22E6" w14:textId="67AB00A6"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r>
      <w:tr w:rsidR="00177E23" w14:paraId="6EDF2CAC" w14:textId="77777777" w:rsidTr="00CA52FA">
        <w:tc>
          <w:tcPr>
            <w:tcW w:w="7871" w:type="dxa"/>
          </w:tcPr>
          <w:p w14:paraId="65900904" w14:textId="6479CD8B" w:rsidR="00177E23" w:rsidRDefault="00177E23" w:rsidP="00136BA3">
            <w:pPr>
              <w:jc w:val="both"/>
              <w:rPr>
                <w:rFonts w:ascii="Calibri" w:hAnsi="Calibri" w:cs="Calibri"/>
              </w:rPr>
            </w:pPr>
            <w:r w:rsidRPr="005423C2">
              <w:t>Racionalno gnojenje kmetijskih rastlin z dušikom</w:t>
            </w:r>
          </w:p>
        </w:tc>
        <w:tc>
          <w:tcPr>
            <w:tcW w:w="708" w:type="dxa"/>
            <w:shd w:val="clear" w:color="auto" w:fill="FFC000"/>
          </w:tcPr>
          <w:p w14:paraId="61B6C76D" w14:textId="0D3100DF"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3C0D8CCB" w14:textId="402ABB11"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r>
      <w:tr w:rsidR="00177E23" w14:paraId="2A4B818E" w14:textId="77777777" w:rsidTr="00CA52FA">
        <w:tc>
          <w:tcPr>
            <w:tcW w:w="7871" w:type="dxa"/>
          </w:tcPr>
          <w:p w14:paraId="02C1B607" w14:textId="1FA6FFDE" w:rsidR="00177E23" w:rsidRDefault="00177E23" w:rsidP="00136BA3">
            <w:pPr>
              <w:jc w:val="both"/>
              <w:rPr>
                <w:rFonts w:ascii="Calibri" w:hAnsi="Calibri" w:cs="Calibri"/>
              </w:rPr>
            </w:pPr>
            <w:r w:rsidRPr="005423C2">
              <w:rPr>
                <w:bCs/>
              </w:rPr>
              <w:t>Učinkovitejše kroženje dušika v kmetijstvu – bruto bilančni presežek dušika</w:t>
            </w:r>
          </w:p>
        </w:tc>
        <w:tc>
          <w:tcPr>
            <w:tcW w:w="708" w:type="dxa"/>
            <w:shd w:val="clear" w:color="auto" w:fill="FFC000"/>
          </w:tcPr>
          <w:p w14:paraId="5C70E19D" w14:textId="404FD574"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718C3148" w14:textId="4ACEB7EC" w:rsidR="00177E23" w:rsidRPr="00177E23" w:rsidRDefault="00177E23" w:rsidP="004675F0">
            <w:pPr>
              <w:spacing w:before="20" w:after="20"/>
              <w:jc w:val="center"/>
              <w:rPr>
                <w:rFonts w:ascii="Calibri" w:hAnsi="Calibri" w:cs="Calibri"/>
                <w:b/>
              </w:rPr>
            </w:pPr>
            <w:r w:rsidRPr="007B3ED0">
              <w:rPr>
                <w:rFonts w:ascii="Calibri" w:hAnsi="Calibri" w:cs="Calibri"/>
                <w:b/>
              </w:rPr>
              <w:sym w:font="Wingdings" w:char="F04B"/>
            </w:r>
          </w:p>
        </w:tc>
      </w:tr>
      <w:tr w:rsidR="00177E23" w14:paraId="429C146E" w14:textId="77777777" w:rsidTr="00CA52FA">
        <w:tc>
          <w:tcPr>
            <w:tcW w:w="7871" w:type="dxa"/>
          </w:tcPr>
          <w:p w14:paraId="2DB5FBBB" w14:textId="78EAB529" w:rsidR="00177E23" w:rsidRDefault="00177E23" w:rsidP="00136BA3">
            <w:pPr>
              <w:jc w:val="both"/>
              <w:rPr>
                <w:rFonts w:ascii="Calibri" w:hAnsi="Calibri" w:cs="Calibri"/>
              </w:rPr>
            </w:pPr>
            <w:r w:rsidRPr="005423C2">
              <w:rPr>
                <w:rFonts w:ascii="Calibri" w:hAnsi="Calibri" w:cs="Calibri"/>
              </w:rPr>
              <w:t>Učinkovitejše kroženje dušika v kmetijstvu – površina zemljišč v ukrepu Ekološko kmetovanje</w:t>
            </w:r>
          </w:p>
        </w:tc>
        <w:tc>
          <w:tcPr>
            <w:tcW w:w="708" w:type="dxa"/>
            <w:shd w:val="clear" w:color="auto" w:fill="92D050"/>
          </w:tcPr>
          <w:p w14:paraId="3986F1ED" w14:textId="276AB7B0" w:rsidR="00177E23" w:rsidRPr="00177E23" w:rsidRDefault="00177E23" w:rsidP="00CA52FA">
            <w:pPr>
              <w:spacing w:before="120"/>
              <w:jc w:val="center"/>
              <w:rPr>
                <w:rFonts w:ascii="Calibri" w:hAnsi="Calibri" w:cs="Calibri"/>
                <w:b/>
              </w:rPr>
            </w:pPr>
            <w:r w:rsidRPr="00177E23">
              <w:rPr>
                <w:rFonts w:ascii="Calibri" w:hAnsi="Calibri" w:cs="Calibri"/>
                <w:b/>
              </w:rPr>
              <w:sym w:font="Wingdings" w:char="F04A"/>
            </w:r>
          </w:p>
        </w:tc>
        <w:tc>
          <w:tcPr>
            <w:tcW w:w="663" w:type="dxa"/>
            <w:shd w:val="clear" w:color="auto" w:fill="92D050"/>
          </w:tcPr>
          <w:p w14:paraId="08FBE565" w14:textId="41F9284F" w:rsidR="00177E23" w:rsidRPr="00177E23" w:rsidRDefault="00177E23" w:rsidP="00CA52FA">
            <w:pPr>
              <w:spacing w:before="120"/>
              <w:jc w:val="center"/>
              <w:rPr>
                <w:rFonts w:ascii="Calibri" w:hAnsi="Calibri" w:cs="Calibri"/>
                <w:b/>
              </w:rPr>
            </w:pPr>
            <w:r w:rsidRPr="00177E23">
              <w:rPr>
                <w:rFonts w:ascii="Calibri" w:hAnsi="Calibri" w:cs="Calibri"/>
                <w:b/>
              </w:rPr>
              <w:sym w:font="Wingdings" w:char="F04A"/>
            </w:r>
          </w:p>
        </w:tc>
      </w:tr>
      <w:tr w:rsidR="00177E23" w14:paraId="60B31DDB" w14:textId="77777777" w:rsidTr="00CA52FA">
        <w:tc>
          <w:tcPr>
            <w:tcW w:w="7871" w:type="dxa"/>
          </w:tcPr>
          <w:p w14:paraId="78C89766" w14:textId="46B1FCA2" w:rsidR="00177E23" w:rsidRDefault="00177E23" w:rsidP="00136BA3">
            <w:pPr>
              <w:jc w:val="both"/>
              <w:rPr>
                <w:rFonts w:ascii="Calibri" w:hAnsi="Calibri" w:cs="Calibri"/>
              </w:rPr>
            </w:pPr>
            <w:r w:rsidRPr="005423C2">
              <w:rPr>
                <w:rFonts w:ascii="Calibri" w:hAnsi="Calibri" w:cs="Calibri"/>
              </w:rPr>
              <w:t>Učinkovitejše kroženje dušika v kmetijstvu – površine njiv in vrtov v ukrepih, ki zahtevajo gnojenje na podlagi hitrih talnih ali rastlinskih testov</w:t>
            </w:r>
          </w:p>
        </w:tc>
        <w:tc>
          <w:tcPr>
            <w:tcW w:w="708" w:type="dxa"/>
            <w:shd w:val="clear" w:color="auto" w:fill="92D050"/>
          </w:tcPr>
          <w:p w14:paraId="42652348" w14:textId="7BA0379B" w:rsidR="00177E23" w:rsidRPr="00177E23" w:rsidRDefault="00CA52FA" w:rsidP="00CA52FA">
            <w:pPr>
              <w:spacing w:before="120"/>
              <w:jc w:val="center"/>
              <w:rPr>
                <w:rFonts w:ascii="Calibri" w:hAnsi="Calibri" w:cs="Calibri"/>
                <w:b/>
              </w:rPr>
            </w:pPr>
            <w:r w:rsidRPr="00CA52FA">
              <w:rPr>
                <w:rFonts w:ascii="Calibri" w:hAnsi="Calibri" w:cs="Calibri"/>
                <w:b/>
              </w:rPr>
              <w:sym w:font="Wingdings" w:char="F04A"/>
            </w:r>
          </w:p>
        </w:tc>
        <w:tc>
          <w:tcPr>
            <w:tcW w:w="663" w:type="dxa"/>
            <w:shd w:val="clear" w:color="auto" w:fill="92D050"/>
          </w:tcPr>
          <w:p w14:paraId="3D076B7B" w14:textId="7A41B60D" w:rsidR="00177E23" w:rsidRPr="00177E23" w:rsidRDefault="00CA52FA" w:rsidP="00CA52FA">
            <w:pPr>
              <w:spacing w:before="120"/>
              <w:jc w:val="center"/>
              <w:rPr>
                <w:rFonts w:ascii="Calibri" w:hAnsi="Calibri" w:cs="Calibri"/>
                <w:b/>
              </w:rPr>
            </w:pPr>
            <w:r w:rsidRPr="00CA52FA">
              <w:rPr>
                <w:rFonts w:ascii="Calibri" w:hAnsi="Calibri" w:cs="Calibri"/>
                <w:b/>
              </w:rPr>
              <w:sym w:font="Wingdings" w:char="F04A"/>
            </w:r>
          </w:p>
        </w:tc>
      </w:tr>
    </w:tbl>
    <w:p w14:paraId="14F29503" w14:textId="77777777" w:rsidR="00C82A07" w:rsidRDefault="00C82A07" w:rsidP="00136BA3">
      <w:pPr>
        <w:spacing w:after="0" w:line="240" w:lineRule="auto"/>
        <w:jc w:val="both"/>
      </w:pPr>
    </w:p>
    <w:p w14:paraId="67D07E6D" w14:textId="6556FFF6" w:rsidR="00A049F3" w:rsidRPr="00466160" w:rsidRDefault="00466160" w:rsidP="00136BA3">
      <w:pPr>
        <w:spacing w:after="0" w:line="240" w:lineRule="auto"/>
        <w:jc w:val="both"/>
        <w:rPr>
          <w:rFonts w:ascii="Calibri" w:hAnsi="Calibri" w:cs="Calibri"/>
        </w:rPr>
      </w:pPr>
      <w:r>
        <w:lastRenderedPageBreak/>
        <w:t xml:space="preserve">Prvi kazalec </w:t>
      </w:r>
      <w:r w:rsidR="00E72609" w:rsidRPr="00E72609">
        <w:rPr>
          <w:i/>
        </w:rPr>
        <w:t>Povečanje učinkovitosti reje domačih živali</w:t>
      </w:r>
      <w:r w:rsidR="00E72609">
        <w:t xml:space="preserve"> </w:t>
      </w:r>
      <w:r>
        <w:t>opisuje gibanje emisij toplogrednih plinov pri prireji mleka. Za emisije TGP na enoto prirejenega mleka so značilna velika nihanja med leti, na katera vplivajo tudi vremenske razmere. Vrednosti po letu 2014 kažejo, da se bomo približali trendni črti, ki vodi v smeri doseganja cilja.</w:t>
      </w:r>
    </w:p>
    <w:p w14:paraId="5C4BDD04" w14:textId="203D7C22" w:rsidR="00136BA3" w:rsidRDefault="00136BA3" w:rsidP="00136BA3">
      <w:pPr>
        <w:spacing w:after="0" w:line="240" w:lineRule="auto"/>
        <w:jc w:val="both"/>
        <w:rPr>
          <w:rFonts w:ascii="Calibri" w:hAnsi="Calibri" w:cs="Calibri"/>
        </w:rPr>
      </w:pPr>
    </w:p>
    <w:p w14:paraId="29BEAF2A" w14:textId="103ACD47" w:rsidR="00FB2C58" w:rsidRPr="00FB2C58" w:rsidRDefault="00136BA3" w:rsidP="00136BA3">
      <w:pPr>
        <w:pStyle w:val="Default"/>
        <w:jc w:val="both"/>
        <w:rPr>
          <w:rFonts w:ascii="Calibri" w:hAnsi="Calibri" w:cs="Calibri"/>
          <w:sz w:val="22"/>
          <w:szCs w:val="22"/>
          <w:lang w:val="sl-SI"/>
        </w:rPr>
      </w:pPr>
      <w:r w:rsidRPr="00472C4D">
        <w:rPr>
          <w:rFonts w:ascii="Calibri" w:hAnsi="Calibri" w:cs="Calibri"/>
          <w:sz w:val="22"/>
          <w:szCs w:val="22"/>
          <w:lang w:val="sl-SI"/>
        </w:rPr>
        <w:t>Poraba dušika iz mineralnih gnojil v obdobju 2005−201</w:t>
      </w:r>
      <w:r w:rsidR="00FB2C58">
        <w:rPr>
          <w:rFonts w:ascii="Calibri" w:hAnsi="Calibri" w:cs="Calibri"/>
          <w:sz w:val="22"/>
          <w:szCs w:val="22"/>
          <w:lang w:val="sl-SI"/>
        </w:rPr>
        <w:t>8</w:t>
      </w:r>
      <w:r w:rsidRPr="00472C4D">
        <w:rPr>
          <w:rFonts w:ascii="Calibri" w:hAnsi="Calibri" w:cs="Calibri"/>
          <w:sz w:val="22"/>
          <w:szCs w:val="22"/>
          <w:lang w:val="sl-SI"/>
        </w:rPr>
        <w:t xml:space="preserve"> niha okoli ciljne vrednosti </w:t>
      </w:r>
      <w:r w:rsidR="00FB2C58" w:rsidRPr="00472C4D">
        <w:rPr>
          <w:rFonts w:ascii="Calibri" w:hAnsi="Calibri" w:cs="Calibri"/>
          <w:sz w:val="22"/>
          <w:szCs w:val="22"/>
          <w:lang w:val="sl-SI"/>
        </w:rPr>
        <w:t>28.000 t N/leto</w:t>
      </w:r>
      <w:r w:rsidRPr="00472C4D">
        <w:rPr>
          <w:rFonts w:ascii="Calibri" w:hAnsi="Calibri" w:cs="Calibri"/>
          <w:sz w:val="22"/>
          <w:szCs w:val="22"/>
          <w:lang w:val="sl-SI"/>
        </w:rPr>
        <w:t>, s čimer je bila v povprečju ciljna vrednost dosežena</w:t>
      </w:r>
      <w:r w:rsidRPr="00FB2C58">
        <w:rPr>
          <w:rFonts w:asciiTheme="minorHAnsi" w:hAnsiTheme="minorHAnsi" w:cstheme="minorHAnsi"/>
          <w:sz w:val="22"/>
          <w:szCs w:val="22"/>
          <w:lang w:val="sl-SI"/>
        </w:rPr>
        <w:t xml:space="preserve">. </w:t>
      </w:r>
      <w:r w:rsidR="00FB2C58" w:rsidRPr="00FB2C58">
        <w:rPr>
          <w:rFonts w:asciiTheme="minorHAnsi" w:hAnsiTheme="minorHAnsi" w:cstheme="minorHAnsi"/>
          <w:sz w:val="22"/>
          <w:szCs w:val="22"/>
          <w:lang w:val="sl-SI"/>
        </w:rPr>
        <w:t>Vzrok za nihanja bi lahko bil v nihanju cene dušika iz mineralnih gnojil.</w:t>
      </w:r>
    </w:p>
    <w:p w14:paraId="2A57F81D" w14:textId="77777777" w:rsidR="00D7688F" w:rsidRDefault="00D7688F" w:rsidP="00136BA3">
      <w:pPr>
        <w:pStyle w:val="Default"/>
        <w:jc w:val="both"/>
        <w:rPr>
          <w:rFonts w:ascii="Calibri" w:hAnsi="Calibri" w:cs="Calibri"/>
          <w:sz w:val="22"/>
          <w:szCs w:val="22"/>
          <w:lang w:val="sl-SI"/>
        </w:rPr>
      </w:pPr>
    </w:p>
    <w:p w14:paraId="644E231B" w14:textId="6FF85C57" w:rsidR="00D7688F" w:rsidRPr="00472C4D" w:rsidRDefault="00D7688F" w:rsidP="00D7688F">
      <w:pPr>
        <w:pStyle w:val="Default"/>
        <w:jc w:val="both"/>
        <w:rPr>
          <w:rFonts w:ascii="Calibri" w:hAnsi="Calibri" w:cs="Calibri"/>
          <w:lang w:val="sl-SI"/>
        </w:rPr>
      </w:pPr>
      <w:r>
        <w:rPr>
          <w:rFonts w:ascii="Calibri" w:hAnsi="Calibri" w:cs="Calibri"/>
          <w:sz w:val="22"/>
          <w:szCs w:val="22"/>
          <w:lang w:val="sl-SI"/>
        </w:rPr>
        <w:t xml:space="preserve">Tretji kazalec </w:t>
      </w:r>
      <w:r w:rsidR="00137787" w:rsidRPr="00E72609">
        <w:rPr>
          <w:rFonts w:asciiTheme="minorHAnsi" w:hAnsiTheme="minorHAnsi" w:cstheme="minorHAnsi"/>
          <w:bCs/>
          <w:i/>
          <w:sz w:val="22"/>
          <w:szCs w:val="22"/>
        </w:rPr>
        <w:t>Učinkovitejše kroženje dušika v kmetijstvu – bruto bilančni presežek dušika</w:t>
      </w:r>
      <w:r w:rsidR="00137787">
        <w:rPr>
          <w:rFonts w:ascii="Calibri" w:hAnsi="Calibri" w:cs="Calibri"/>
          <w:sz w:val="22"/>
          <w:szCs w:val="22"/>
          <w:lang w:val="sl-SI"/>
        </w:rPr>
        <w:t xml:space="preserve"> </w:t>
      </w:r>
      <w:r>
        <w:rPr>
          <w:rFonts w:ascii="Calibri" w:hAnsi="Calibri" w:cs="Calibri"/>
          <w:sz w:val="22"/>
          <w:szCs w:val="22"/>
          <w:lang w:val="sl-SI"/>
        </w:rPr>
        <w:t xml:space="preserve">opisuje koliko dušika se potencialno izpere v vode, izgubi v zrak ali zadrži v tleh. V obdobju 2005-2018 </w:t>
      </w:r>
      <w:r w:rsidRPr="00472C4D">
        <w:rPr>
          <w:rFonts w:ascii="Calibri" w:hAnsi="Calibri" w:cs="Calibri"/>
          <w:sz w:val="22"/>
          <w:szCs w:val="22"/>
          <w:lang w:val="sl-SI"/>
        </w:rPr>
        <w:t>se je bruto bilančni presežek dušika gibal med 4</w:t>
      </w:r>
      <w:r>
        <w:rPr>
          <w:rFonts w:ascii="Calibri" w:hAnsi="Calibri" w:cs="Calibri"/>
          <w:sz w:val="22"/>
          <w:szCs w:val="22"/>
          <w:lang w:val="sl-SI"/>
        </w:rPr>
        <w:t>3</w:t>
      </w:r>
      <w:r w:rsidRPr="00472C4D">
        <w:rPr>
          <w:rFonts w:ascii="Calibri" w:hAnsi="Calibri" w:cs="Calibri"/>
          <w:sz w:val="22"/>
          <w:szCs w:val="22"/>
          <w:lang w:val="sl-SI"/>
        </w:rPr>
        <w:t xml:space="preserve"> in </w:t>
      </w:r>
      <w:r>
        <w:rPr>
          <w:rFonts w:ascii="Calibri" w:hAnsi="Calibri" w:cs="Calibri"/>
          <w:sz w:val="22"/>
          <w:szCs w:val="22"/>
          <w:lang w:val="sl-SI"/>
        </w:rPr>
        <w:t>70</w:t>
      </w:r>
      <w:r w:rsidRPr="00472C4D">
        <w:rPr>
          <w:rFonts w:ascii="Calibri" w:hAnsi="Calibri" w:cs="Calibri"/>
          <w:sz w:val="22"/>
          <w:szCs w:val="22"/>
          <w:lang w:val="sl-SI"/>
        </w:rPr>
        <w:t xml:space="preserve"> kg/ha, kjer je bila ciljna vrednost za leto 2020 53 kg N/ha. V povprečju zadnjih petih let je bila ta vrednost dosežena. </w:t>
      </w:r>
    </w:p>
    <w:p w14:paraId="14858249" w14:textId="77777777" w:rsidR="00D7688F" w:rsidRDefault="00D7688F" w:rsidP="00136BA3">
      <w:pPr>
        <w:pStyle w:val="Default"/>
        <w:jc w:val="both"/>
        <w:rPr>
          <w:rFonts w:ascii="Calibri" w:hAnsi="Calibri" w:cs="Calibri"/>
          <w:sz w:val="22"/>
          <w:szCs w:val="22"/>
          <w:lang w:val="sl-SI"/>
        </w:rPr>
      </w:pPr>
    </w:p>
    <w:p w14:paraId="2234A68B" w14:textId="1C39AADE" w:rsidR="008B2FFC" w:rsidRDefault="00137787" w:rsidP="00136BA3">
      <w:pPr>
        <w:spacing w:after="0" w:line="240" w:lineRule="auto"/>
        <w:jc w:val="both"/>
        <w:rPr>
          <w:rFonts w:ascii="Calibri" w:hAnsi="Calibri" w:cs="Calibri"/>
        </w:rPr>
      </w:pPr>
      <w:r>
        <w:rPr>
          <w:rFonts w:ascii="Calibri" w:hAnsi="Calibri" w:cs="Calibri"/>
        </w:rPr>
        <w:t xml:space="preserve">Četrti kazalec </w:t>
      </w:r>
      <w:r w:rsidRPr="00E72609">
        <w:rPr>
          <w:rFonts w:ascii="Calibri" w:hAnsi="Calibri" w:cs="Calibri"/>
          <w:i/>
        </w:rPr>
        <w:t>Učinkovitejše kroženje dušika v kmetijstvu – površina zemljišč v ukrepu Ekološko kmetovanje</w:t>
      </w:r>
      <w:r w:rsidR="008B2FFC">
        <w:rPr>
          <w:rFonts w:ascii="Calibri" w:hAnsi="Calibri" w:cs="Calibri"/>
        </w:rPr>
        <w:t xml:space="preserve"> </w:t>
      </w:r>
      <w:r w:rsidR="008B2FFC">
        <w:t>je opisan z obsegom ekološkega kmetovanja, v katerem je prepovedana uporaba mineralnih dušikovih gnojil.</w:t>
      </w:r>
      <w:r w:rsidR="008B2FFC" w:rsidRPr="00472C4D">
        <w:rPr>
          <w:rFonts w:ascii="Calibri" w:hAnsi="Calibri" w:cs="Calibri"/>
        </w:rPr>
        <w:t xml:space="preserve"> </w:t>
      </w:r>
      <w:r w:rsidR="008B2FFC">
        <w:rPr>
          <w:rFonts w:ascii="Calibri" w:hAnsi="Calibri" w:cs="Calibri"/>
        </w:rPr>
        <w:t>P</w:t>
      </w:r>
      <w:r w:rsidR="00136BA3" w:rsidRPr="00472C4D">
        <w:rPr>
          <w:rFonts w:ascii="Calibri" w:hAnsi="Calibri" w:cs="Calibri"/>
        </w:rPr>
        <w:t>ovršina zemljišč v ukrepu Ekološko kmetovanje</w:t>
      </w:r>
      <w:r w:rsidR="008B2FFC">
        <w:rPr>
          <w:rFonts w:ascii="Calibri" w:hAnsi="Calibri" w:cs="Calibri"/>
        </w:rPr>
        <w:t xml:space="preserve"> </w:t>
      </w:r>
      <w:r w:rsidR="008B2FFC" w:rsidRPr="00472C4D">
        <w:rPr>
          <w:rFonts w:ascii="Calibri" w:hAnsi="Calibri" w:cs="Calibri"/>
        </w:rPr>
        <w:t>se povečuje</w:t>
      </w:r>
      <w:r w:rsidR="00136BA3" w:rsidRPr="00472C4D">
        <w:rPr>
          <w:rFonts w:ascii="Calibri" w:hAnsi="Calibri" w:cs="Calibri"/>
        </w:rPr>
        <w:t>, in sicer hitreje kot je bilo predvideno v OP TGP 2020</w:t>
      </w:r>
      <w:r w:rsidR="008B2FFC">
        <w:rPr>
          <w:rFonts w:ascii="Calibri" w:hAnsi="Calibri" w:cs="Calibri"/>
        </w:rPr>
        <w:t xml:space="preserve">. Ciljna vrednost 44.000 ha je bila v letu 2018 presežena že za 1,7 ha.  </w:t>
      </w:r>
      <w:r w:rsidR="00136BA3" w:rsidRPr="00472C4D">
        <w:rPr>
          <w:rFonts w:ascii="Calibri" w:hAnsi="Calibri" w:cs="Calibri"/>
        </w:rPr>
        <w:t xml:space="preserve"> </w:t>
      </w:r>
    </w:p>
    <w:p w14:paraId="0845357B" w14:textId="77777777" w:rsidR="008B2FFC" w:rsidRDefault="008B2FFC" w:rsidP="00136BA3">
      <w:pPr>
        <w:spacing w:after="0" w:line="240" w:lineRule="auto"/>
        <w:jc w:val="both"/>
        <w:rPr>
          <w:rFonts w:ascii="Calibri" w:hAnsi="Calibri" w:cs="Calibri"/>
        </w:rPr>
      </w:pPr>
    </w:p>
    <w:p w14:paraId="16B72475" w14:textId="3639535F" w:rsidR="00136BA3" w:rsidRDefault="0027666C" w:rsidP="00136BA3">
      <w:pPr>
        <w:spacing w:after="0" w:line="240" w:lineRule="auto"/>
        <w:jc w:val="both"/>
        <w:rPr>
          <w:rFonts w:ascii="Calibri" w:hAnsi="Calibri" w:cs="Calibri"/>
        </w:rPr>
      </w:pPr>
      <w:r>
        <w:rPr>
          <w:rFonts w:ascii="Calibri" w:hAnsi="Calibri" w:cs="Calibri"/>
        </w:rPr>
        <w:t>V letu 2018 so z</w:t>
      </w:r>
      <w:r w:rsidR="00DE062B">
        <w:rPr>
          <w:rFonts w:ascii="Calibri" w:hAnsi="Calibri" w:cs="Calibri"/>
        </w:rPr>
        <w:t>a dobrih 14.000 ha</w:t>
      </w:r>
      <w:r w:rsidR="008B2FFC">
        <w:rPr>
          <w:rFonts w:ascii="Calibri" w:hAnsi="Calibri" w:cs="Calibri"/>
        </w:rPr>
        <w:t xml:space="preserve"> </w:t>
      </w:r>
      <w:r w:rsidR="00136BA3" w:rsidRPr="00472C4D">
        <w:rPr>
          <w:rFonts w:ascii="Calibri" w:hAnsi="Calibri" w:cs="Calibri"/>
        </w:rPr>
        <w:t xml:space="preserve">presegle ciljno vrednost, določeno s Programom razvoja podeželja 2014-2020, </w:t>
      </w:r>
      <w:r w:rsidR="00DE062B">
        <w:rPr>
          <w:rFonts w:ascii="Calibri" w:hAnsi="Calibri" w:cs="Calibri"/>
        </w:rPr>
        <w:t xml:space="preserve">tudi </w:t>
      </w:r>
      <w:r w:rsidR="00136BA3" w:rsidRPr="00472C4D">
        <w:rPr>
          <w:rFonts w:ascii="Calibri" w:hAnsi="Calibri" w:cs="Calibri"/>
        </w:rPr>
        <w:t>površine njiv in vrtov v ukrepih, ki zahtevajo gnojenje na podlagi hitrih talnih ali rastlinskih testov.</w:t>
      </w:r>
    </w:p>
    <w:p w14:paraId="188B5352" w14:textId="77777777" w:rsidR="003F5CB9" w:rsidRDefault="003F5CB9" w:rsidP="00136BA3">
      <w:pPr>
        <w:spacing w:after="0" w:line="240" w:lineRule="auto"/>
        <w:jc w:val="both"/>
        <w:rPr>
          <w:rFonts w:ascii="Calibri" w:hAnsi="Calibri" w:cs="Calibri"/>
        </w:rPr>
      </w:pPr>
    </w:p>
    <w:p w14:paraId="5D45D434" w14:textId="4F9CA243" w:rsidR="00136BA3" w:rsidRPr="00472C4D" w:rsidRDefault="00136BA3" w:rsidP="00136BA3">
      <w:pPr>
        <w:spacing w:after="0" w:line="240" w:lineRule="auto"/>
        <w:jc w:val="both"/>
        <w:rPr>
          <w:rFonts w:ascii="Calibri" w:hAnsi="Calibri" w:cs="Calibri"/>
          <w:b/>
          <w:bCs/>
        </w:rPr>
      </w:pPr>
      <w:r>
        <w:rPr>
          <w:rFonts w:ascii="Calibri" w:hAnsi="Calibri" w:cs="Calibri"/>
          <w:b/>
          <w:bCs/>
        </w:rPr>
        <w:t>3</w:t>
      </w:r>
      <w:r w:rsidRPr="00472C4D">
        <w:rPr>
          <w:rFonts w:ascii="Calibri" w:hAnsi="Calibri" w:cs="Calibri"/>
          <w:b/>
          <w:bCs/>
        </w:rPr>
        <w:t>.3 Široka raba – stavbe</w:t>
      </w:r>
    </w:p>
    <w:p w14:paraId="3A24965A" w14:textId="77777777" w:rsidR="00136BA3" w:rsidRDefault="00136BA3" w:rsidP="00136BA3">
      <w:pPr>
        <w:spacing w:after="0" w:line="240" w:lineRule="auto"/>
        <w:jc w:val="both"/>
        <w:rPr>
          <w:rFonts w:ascii="Calibri" w:hAnsi="Calibri" w:cs="Calibri"/>
        </w:rPr>
      </w:pPr>
    </w:p>
    <w:tbl>
      <w:tblPr>
        <w:tblStyle w:val="Tabelamrea"/>
        <w:tblW w:w="0" w:type="auto"/>
        <w:tblLook w:val="04A0" w:firstRow="1" w:lastRow="0" w:firstColumn="1" w:lastColumn="0" w:noHBand="0" w:noVBand="1"/>
      </w:tblPr>
      <w:tblGrid>
        <w:gridCol w:w="7916"/>
        <w:gridCol w:w="663"/>
        <w:gridCol w:w="663"/>
      </w:tblGrid>
      <w:tr w:rsidR="00CA52FA" w14:paraId="356707A6" w14:textId="77777777" w:rsidTr="00CA52FA">
        <w:tc>
          <w:tcPr>
            <w:tcW w:w="8046" w:type="dxa"/>
          </w:tcPr>
          <w:p w14:paraId="57C80B64" w14:textId="34DE0069" w:rsidR="00CA52FA" w:rsidRDefault="00CA52FA" w:rsidP="00136BA3">
            <w:pPr>
              <w:jc w:val="both"/>
              <w:rPr>
                <w:rFonts w:ascii="Calibri" w:hAnsi="Calibri" w:cs="Calibri"/>
              </w:rPr>
            </w:pPr>
            <w:r>
              <w:rPr>
                <w:rFonts w:ascii="Calibri" w:hAnsi="Calibri" w:cs="Calibri"/>
                <w:b/>
              </w:rPr>
              <w:t>Doseganje ciljev OP TGP 2020 se spremlja s kazalci:</w:t>
            </w:r>
          </w:p>
        </w:tc>
        <w:tc>
          <w:tcPr>
            <w:tcW w:w="567" w:type="dxa"/>
          </w:tcPr>
          <w:p w14:paraId="3069ED25" w14:textId="5BC6B042" w:rsidR="00CA52FA" w:rsidRPr="00CA52FA" w:rsidRDefault="00CA52FA" w:rsidP="00CA52FA">
            <w:pPr>
              <w:jc w:val="center"/>
              <w:rPr>
                <w:rFonts w:ascii="Calibri" w:hAnsi="Calibri" w:cs="Calibri"/>
                <w:b/>
              </w:rPr>
            </w:pPr>
            <w:r w:rsidRPr="00CA52FA">
              <w:rPr>
                <w:rFonts w:ascii="Calibri" w:hAnsi="Calibri" w:cs="Calibri"/>
                <w:b/>
              </w:rPr>
              <w:t>2017</w:t>
            </w:r>
          </w:p>
        </w:tc>
        <w:tc>
          <w:tcPr>
            <w:tcW w:w="553" w:type="dxa"/>
          </w:tcPr>
          <w:p w14:paraId="6ABB7AE8" w14:textId="57CC82E7" w:rsidR="00CA52FA" w:rsidRPr="00CA52FA" w:rsidRDefault="00CA52FA" w:rsidP="00CA52FA">
            <w:pPr>
              <w:jc w:val="center"/>
              <w:rPr>
                <w:rFonts w:ascii="Calibri" w:hAnsi="Calibri" w:cs="Calibri"/>
                <w:b/>
              </w:rPr>
            </w:pPr>
            <w:r w:rsidRPr="00CA52FA">
              <w:rPr>
                <w:rFonts w:ascii="Calibri" w:hAnsi="Calibri" w:cs="Calibri"/>
                <w:b/>
              </w:rPr>
              <w:t>2018</w:t>
            </w:r>
          </w:p>
        </w:tc>
      </w:tr>
      <w:tr w:rsidR="00CA52FA" w14:paraId="40A2FADF" w14:textId="77777777" w:rsidTr="00534DBD">
        <w:tc>
          <w:tcPr>
            <w:tcW w:w="8046" w:type="dxa"/>
          </w:tcPr>
          <w:p w14:paraId="4C9D3E53" w14:textId="079A1DBC" w:rsidR="00CA52FA" w:rsidRDefault="00534DBD" w:rsidP="00136BA3">
            <w:pPr>
              <w:jc w:val="both"/>
              <w:rPr>
                <w:rFonts w:ascii="Calibri" w:hAnsi="Calibri" w:cs="Calibri"/>
              </w:rPr>
            </w:pPr>
            <w:r>
              <w:t>Finančni vzvod spodbud v javnem sektorju</w:t>
            </w:r>
          </w:p>
        </w:tc>
        <w:tc>
          <w:tcPr>
            <w:tcW w:w="567" w:type="dxa"/>
            <w:shd w:val="clear" w:color="auto" w:fill="FFC000"/>
          </w:tcPr>
          <w:p w14:paraId="476CD9E2" w14:textId="4CBCDF86" w:rsidR="00CA52FA" w:rsidRPr="00CA52FA" w:rsidRDefault="00534DBD" w:rsidP="004675F0">
            <w:pPr>
              <w:spacing w:before="20" w:after="20"/>
              <w:jc w:val="center"/>
              <w:rPr>
                <w:rFonts w:ascii="Calibri" w:hAnsi="Calibri" w:cs="Calibri"/>
                <w:b/>
              </w:rPr>
            </w:pPr>
            <w:r w:rsidRPr="007B3ED0">
              <w:rPr>
                <w:rFonts w:ascii="Calibri" w:hAnsi="Calibri" w:cs="Calibri"/>
                <w:b/>
              </w:rPr>
              <w:sym w:font="Wingdings" w:char="F04B"/>
            </w:r>
          </w:p>
        </w:tc>
        <w:tc>
          <w:tcPr>
            <w:tcW w:w="553" w:type="dxa"/>
            <w:shd w:val="clear" w:color="auto" w:fill="FFC000"/>
          </w:tcPr>
          <w:p w14:paraId="35EF83E0" w14:textId="04D8048E" w:rsidR="00CA52FA" w:rsidRPr="00CA52FA" w:rsidRDefault="00534DBD" w:rsidP="004675F0">
            <w:pPr>
              <w:spacing w:before="20" w:after="20"/>
              <w:jc w:val="center"/>
              <w:rPr>
                <w:rFonts w:ascii="Calibri" w:hAnsi="Calibri" w:cs="Calibri"/>
                <w:b/>
              </w:rPr>
            </w:pPr>
            <w:r w:rsidRPr="007B3ED0">
              <w:rPr>
                <w:rFonts w:ascii="Calibri" w:hAnsi="Calibri" w:cs="Calibri"/>
                <w:b/>
              </w:rPr>
              <w:sym w:font="Wingdings" w:char="F04B"/>
            </w:r>
          </w:p>
        </w:tc>
      </w:tr>
      <w:tr w:rsidR="00CA52FA" w14:paraId="7C1ACC96" w14:textId="77777777" w:rsidTr="00534DBD">
        <w:tc>
          <w:tcPr>
            <w:tcW w:w="8046" w:type="dxa"/>
          </w:tcPr>
          <w:p w14:paraId="477F1653" w14:textId="56ABB0D2" w:rsidR="00CA52FA" w:rsidRDefault="00534DBD" w:rsidP="00136BA3">
            <w:pPr>
              <w:jc w:val="both"/>
              <w:rPr>
                <w:rFonts w:ascii="Calibri" w:hAnsi="Calibri" w:cs="Calibri"/>
              </w:rPr>
            </w:pPr>
            <w:r>
              <w:t xml:space="preserve">Zmanjšanje emisije </w:t>
            </w:r>
            <w:r w:rsidRPr="00403EB8">
              <w:t>CO</w:t>
            </w:r>
            <w:r w:rsidR="00403EB8">
              <w:rPr>
                <w:vertAlign w:val="subscript"/>
              </w:rPr>
              <w:t>2</w:t>
            </w:r>
            <w:r w:rsidR="00403EB8">
              <w:t xml:space="preserve"> </w:t>
            </w:r>
            <w:r>
              <w:t>z ukrepi v javnem sektorju</w:t>
            </w:r>
          </w:p>
        </w:tc>
        <w:tc>
          <w:tcPr>
            <w:tcW w:w="567" w:type="dxa"/>
            <w:shd w:val="clear" w:color="auto" w:fill="FF0000"/>
          </w:tcPr>
          <w:p w14:paraId="71885BC5" w14:textId="356B6EC7"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c>
          <w:tcPr>
            <w:tcW w:w="553" w:type="dxa"/>
            <w:shd w:val="clear" w:color="auto" w:fill="FF0000"/>
          </w:tcPr>
          <w:p w14:paraId="17358ACE" w14:textId="19DF0BE8"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r>
      <w:tr w:rsidR="00CA52FA" w14:paraId="22CB1B59" w14:textId="77777777" w:rsidTr="00534DBD">
        <w:tc>
          <w:tcPr>
            <w:tcW w:w="8046" w:type="dxa"/>
          </w:tcPr>
          <w:p w14:paraId="2B2788D6" w14:textId="1976C6D0" w:rsidR="00CA52FA" w:rsidRDefault="00534DBD" w:rsidP="00136BA3">
            <w:pPr>
              <w:jc w:val="both"/>
              <w:rPr>
                <w:rFonts w:ascii="Calibri" w:hAnsi="Calibri" w:cs="Calibri"/>
              </w:rPr>
            </w:pPr>
            <w:r>
              <w:t>Površina energetsko saniranih stavb v javnem sektorju</w:t>
            </w:r>
          </w:p>
        </w:tc>
        <w:tc>
          <w:tcPr>
            <w:tcW w:w="567" w:type="dxa"/>
            <w:shd w:val="clear" w:color="auto" w:fill="92D050"/>
          </w:tcPr>
          <w:p w14:paraId="26B9346A" w14:textId="58D4C781"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c>
          <w:tcPr>
            <w:tcW w:w="553" w:type="dxa"/>
            <w:shd w:val="clear" w:color="auto" w:fill="92D050"/>
          </w:tcPr>
          <w:p w14:paraId="2A1C829A" w14:textId="3BF508B6"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r>
      <w:tr w:rsidR="00CA52FA" w14:paraId="2E86018B" w14:textId="77777777" w:rsidTr="00534DBD">
        <w:tc>
          <w:tcPr>
            <w:tcW w:w="8046" w:type="dxa"/>
          </w:tcPr>
          <w:p w14:paraId="64E4F128" w14:textId="2EC3BEC1" w:rsidR="00CA52FA" w:rsidRDefault="00534DBD" w:rsidP="00136BA3">
            <w:pPr>
              <w:jc w:val="both"/>
              <w:rPr>
                <w:rFonts w:ascii="Calibri" w:hAnsi="Calibri" w:cs="Calibri"/>
              </w:rPr>
            </w:pPr>
            <w:r>
              <w:t>Intenzivnost CO</w:t>
            </w:r>
            <w:r w:rsidR="00403EB8">
              <w:rPr>
                <w:vertAlign w:val="subscript"/>
              </w:rPr>
              <w:t>2</w:t>
            </w:r>
            <w:r>
              <w:t xml:space="preserve"> v komercialnem in institucionalnem sektorju</w:t>
            </w:r>
          </w:p>
        </w:tc>
        <w:tc>
          <w:tcPr>
            <w:tcW w:w="567" w:type="dxa"/>
            <w:shd w:val="clear" w:color="auto" w:fill="92D050"/>
          </w:tcPr>
          <w:p w14:paraId="3E0484D7" w14:textId="2539BEE5"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c>
          <w:tcPr>
            <w:tcW w:w="553" w:type="dxa"/>
            <w:shd w:val="clear" w:color="auto" w:fill="92D050"/>
          </w:tcPr>
          <w:p w14:paraId="4E6908DE" w14:textId="3F296471"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r>
      <w:tr w:rsidR="00DF39B9" w14:paraId="35560D07" w14:textId="77777777" w:rsidTr="00534DBD">
        <w:tc>
          <w:tcPr>
            <w:tcW w:w="8046" w:type="dxa"/>
          </w:tcPr>
          <w:p w14:paraId="3FF4E46C" w14:textId="09ED251A" w:rsidR="00DF39B9" w:rsidRDefault="00534DBD" w:rsidP="00136BA3">
            <w:pPr>
              <w:jc w:val="both"/>
              <w:rPr>
                <w:rFonts w:ascii="Calibri" w:hAnsi="Calibri" w:cs="Calibri"/>
              </w:rPr>
            </w:pPr>
            <w:r>
              <w:t>Izboljšanje energetske učinkovitosti v stanovanjskem sektorju</w:t>
            </w:r>
          </w:p>
        </w:tc>
        <w:tc>
          <w:tcPr>
            <w:tcW w:w="567" w:type="dxa"/>
            <w:shd w:val="clear" w:color="auto" w:fill="FF0000"/>
          </w:tcPr>
          <w:p w14:paraId="30EBDD99" w14:textId="34792291" w:rsidR="00DF39B9"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c>
          <w:tcPr>
            <w:tcW w:w="553" w:type="dxa"/>
            <w:shd w:val="clear" w:color="auto" w:fill="FF0000"/>
          </w:tcPr>
          <w:p w14:paraId="63A112AB" w14:textId="779DB99C" w:rsidR="00DF39B9"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r>
      <w:tr w:rsidR="00DF39B9" w14:paraId="20A30627" w14:textId="77777777" w:rsidTr="00534DBD">
        <w:tc>
          <w:tcPr>
            <w:tcW w:w="8046" w:type="dxa"/>
          </w:tcPr>
          <w:p w14:paraId="72EB502E" w14:textId="50DE3B8A" w:rsidR="00DF39B9" w:rsidRDefault="00534DBD" w:rsidP="00136BA3">
            <w:pPr>
              <w:jc w:val="both"/>
              <w:rPr>
                <w:rFonts w:ascii="Calibri" w:hAnsi="Calibri" w:cs="Calibri"/>
              </w:rPr>
            </w:pPr>
            <w:r>
              <w:t>Specifične emisije TGP v stanovanjskem sektorju</w:t>
            </w:r>
          </w:p>
        </w:tc>
        <w:tc>
          <w:tcPr>
            <w:tcW w:w="567" w:type="dxa"/>
            <w:shd w:val="clear" w:color="auto" w:fill="92D050"/>
          </w:tcPr>
          <w:p w14:paraId="486FE76D" w14:textId="7F34F681" w:rsidR="00DF39B9"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c>
          <w:tcPr>
            <w:tcW w:w="553" w:type="dxa"/>
            <w:shd w:val="clear" w:color="auto" w:fill="92D050"/>
          </w:tcPr>
          <w:p w14:paraId="080E1E09" w14:textId="48259C7D" w:rsidR="00DF39B9" w:rsidRPr="00CA52FA" w:rsidRDefault="00534DBD" w:rsidP="004675F0">
            <w:pPr>
              <w:spacing w:before="20" w:after="20"/>
              <w:jc w:val="center"/>
              <w:rPr>
                <w:rFonts w:ascii="Calibri" w:hAnsi="Calibri" w:cs="Calibri"/>
                <w:b/>
              </w:rPr>
            </w:pPr>
            <w:r w:rsidRPr="00534DBD">
              <w:rPr>
                <w:rFonts w:ascii="Calibri" w:hAnsi="Calibri" w:cs="Calibri"/>
                <w:b/>
              </w:rPr>
              <w:sym w:font="Wingdings" w:char="F04A"/>
            </w:r>
          </w:p>
        </w:tc>
      </w:tr>
      <w:tr w:rsidR="00CA52FA" w14:paraId="19045F66" w14:textId="77777777" w:rsidTr="00534DBD">
        <w:tc>
          <w:tcPr>
            <w:tcW w:w="8046" w:type="dxa"/>
          </w:tcPr>
          <w:p w14:paraId="65F6039E" w14:textId="4697BAE1" w:rsidR="00CA52FA" w:rsidRDefault="00534DBD" w:rsidP="00136BA3">
            <w:pPr>
              <w:jc w:val="both"/>
              <w:rPr>
                <w:rFonts w:ascii="Calibri" w:hAnsi="Calibri" w:cs="Calibri"/>
              </w:rPr>
            </w:pPr>
            <w:r>
              <w:t>Delež OVE v rabi goriv v široki rabi</w:t>
            </w:r>
          </w:p>
        </w:tc>
        <w:tc>
          <w:tcPr>
            <w:tcW w:w="567" w:type="dxa"/>
            <w:shd w:val="clear" w:color="auto" w:fill="FF0000"/>
          </w:tcPr>
          <w:p w14:paraId="29F5A13C" w14:textId="446881D3"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c>
          <w:tcPr>
            <w:tcW w:w="553" w:type="dxa"/>
            <w:shd w:val="clear" w:color="auto" w:fill="FF0000"/>
          </w:tcPr>
          <w:p w14:paraId="4F3756A9" w14:textId="6EED3956" w:rsidR="00CA52FA" w:rsidRPr="00CA52FA" w:rsidRDefault="00534DBD" w:rsidP="004675F0">
            <w:pPr>
              <w:spacing w:before="20" w:after="20"/>
              <w:jc w:val="center"/>
              <w:rPr>
                <w:rFonts w:ascii="Calibri" w:hAnsi="Calibri" w:cs="Calibri"/>
                <w:b/>
              </w:rPr>
            </w:pPr>
            <w:r w:rsidRPr="00534DBD">
              <w:rPr>
                <w:rFonts w:ascii="Calibri" w:hAnsi="Calibri" w:cs="Calibri"/>
                <w:b/>
              </w:rPr>
              <w:sym w:font="Wingdings" w:char="F04C"/>
            </w:r>
          </w:p>
        </w:tc>
      </w:tr>
    </w:tbl>
    <w:p w14:paraId="6E94611C" w14:textId="77777777" w:rsidR="00CA52FA" w:rsidRDefault="00CA52FA" w:rsidP="00136BA3">
      <w:pPr>
        <w:spacing w:after="0" w:line="240" w:lineRule="auto"/>
        <w:jc w:val="both"/>
        <w:rPr>
          <w:rFonts w:ascii="Calibri" w:hAnsi="Calibri" w:cs="Calibri"/>
        </w:rPr>
      </w:pPr>
    </w:p>
    <w:p w14:paraId="10D0837C" w14:textId="4AE183AD" w:rsidR="005423C2" w:rsidRPr="004E3D8E" w:rsidRDefault="000A32C5" w:rsidP="00136BA3">
      <w:pPr>
        <w:spacing w:after="0" w:line="240" w:lineRule="auto"/>
        <w:jc w:val="both"/>
      </w:pPr>
      <w:r>
        <w:t xml:space="preserve">Prvi kazalec </w:t>
      </w:r>
      <w:r w:rsidR="001E1845" w:rsidRPr="001E1845">
        <w:rPr>
          <w:i/>
        </w:rPr>
        <w:t>Finančni vzvod spodbud v javnem sektorju</w:t>
      </w:r>
      <w:r w:rsidR="001E1845">
        <w:t xml:space="preserve"> </w:t>
      </w:r>
      <w:r>
        <w:t xml:space="preserve">opisuje učinek porabe nepovratnih sredstev, ki so namenjena spodbujanju investicij v URE in izrabo OVE v javnem sektorju. </w:t>
      </w:r>
      <w:r w:rsidR="004E3D8E">
        <w:t>Nižji kot je, več investicij se ob enakem obsegu nepovratnih sredstev spodbudi in tako doseže večje zmanjšanje emisije CO</w:t>
      </w:r>
      <w:r w:rsidR="004E3D8E">
        <w:rPr>
          <w:sz w:val="14"/>
          <w:szCs w:val="14"/>
        </w:rPr>
        <w:t>2</w:t>
      </w:r>
      <w:r w:rsidR="004E3D8E">
        <w:t xml:space="preserve">. </w:t>
      </w:r>
      <w:r>
        <w:t xml:space="preserve">V letu 2017 je </w:t>
      </w:r>
      <w:r w:rsidR="00F874CF">
        <w:t>finančni vzvod spodbud v javnem sektorju</w:t>
      </w:r>
      <w:r>
        <w:t xml:space="preserve"> znašal 4</w:t>
      </w:r>
      <w:r w:rsidR="004E3D8E">
        <w:t>3</w:t>
      </w:r>
      <w:r>
        <w:t xml:space="preserve"> evrov nepovratnih sredstev za 100 evrov investicije. V letu 2018 se je izboljšal, in sicer je znašal </w:t>
      </w:r>
      <w:r w:rsidR="004E3D8E">
        <w:t>38 evrov nepovratnih sredstev za 100 evrov investicije</w:t>
      </w:r>
      <w:r w:rsidR="00DC1775">
        <w:t>, kar je 5 evrov višje od cilja v letu 2020</w:t>
      </w:r>
      <w:r w:rsidR="004E3D8E">
        <w:t>.</w:t>
      </w:r>
    </w:p>
    <w:p w14:paraId="6E783D2D" w14:textId="04827608" w:rsidR="003F5CB9" w:rsidRDefault="003F5CB9" w:rsidP="003F5CB9">
      <w:pPr>
        <w:spacing w:after="0" w:line="240" w:lineRule="auto"/>
        <w:jc w:val="both"/>
        <w:rPr>
          <w:rFonts w:ascii="Calibri" w:hAnsi="Calibri" w:cs="Calibri"/>
        </w:rPr>
      </w:pPr>
    </w:p>
    <w:p w14:paraId="6C98A3D9" w14:textId="61B73A9E" w:rsidR="00136BA3" w:rsidRDefault="00403EB8" w:rsidP="00136BA3">
      <w:pPr>
        <w:spacing w:after="0" w:line="240" w:lineRule="auto"/>
        <w:jc w:val="both"/>
        <w:rPr>
          <w:rFonts w:ascii="Calibri" w:hAnsi="Calibri" w:cs="Calibri"/>
        </w:rPr>
      </w:pPr>
      <w:r w:rsidRPr="00980DF1">
        <w:t>Zmanjšanje emisije CO</w:t>
      </w:r>
      <w:r w:rsidRPr="00980DF1">
        <w:rPr>
          <w:vertAlign w:val="subscript"/>
        </w:rPr>
        <w:t>2</w:t>
      </w:r>
      <w:r w:rsidRPr="00980DF1">
        <w:t xml:space="preserve"> z ukrepi v javnem sektorju</w:t>
      </w:r>
      <w:r>
        <w:t xml:space="preserve"> </w:t>
      </w:r>
      <w:r w:rsidR="00076642">
        <w:t xml:space="preserve">je </w:t>
      </w:r>
      <w:r>
        <w:t>posledica zmanjšanja rabe končne energije zaradi izvajanja ukrepov URE in izrabe OVE</w:t>
      </w:r>
      <w:r w:rsidR="00076642">
        <w:t>. D</w:t>
      </w:r>
      <w:r w:rsidR="00076642" w:rsidRPr="00472C4D">
        <w:rPr>
          <w:rFonts w:ascii="Calibri" w:hAnsi="Calibri" w:cs="Calibri"/>
        </w:rPr>
        <w:t>o leta 201</w:t>
      </w:r>
      <w:r w:rsidR="00076642">
        <w:rPr>
          <w:rFonts w:ascii="Calibri" w:hAnsi="Calibri" w:cs="Calibri"/>
        </w:rPr>
        <w:t>8</w:t>
      </w:r>
      <w:r w:rsidR="00076642" w:rsidRPr="00472C4D">
        <w:rPr>
          <w:rFonts w:ascii="Calibri" w:hAnsi="Calibri" w:cs="Calibri"/>
        </w:rPr>
        <w:t xml:space="preserve"> </w:t>
      </w:r>
      <w:r w:rsidR="00076642">
        <w:rPr>
          <w:rFonts w:ascii="Calibri" w:hAnsi="Calibri" w:cs="Calibri"/>
        </w:rPr>
        <w:t xml:space="preserve">je bilo </w:t>
      </w:r>
      <w:r w:rsidR="00076642" w:rsidRPr="00472C4D">
        <w:rPr>
          <w:rFonts w:ascii="Calibri" w:hAnsi="Calibri" w:cs="Calibri"/>
        </w:rPr>
        <w:t>doseženo zmanjšanje emisije CO</w:t>
      </w:r>
      <w:r w:rsidR="00076642" w:rsidRPr="00472C4D">
        <w:rPr>
          <w:rFonts w:ascii="Calibri" w:hAnsi="Calibri" w:cs="Calibri"/>
          <w:vertAlign w:val="subscript"/>
        </w:rPr>
        <w:t>2</w:t>
      </w:r>
      <w:r w:rsidR="00076642" w:rsidRPr="00472C4D">
        <w:rPr>
          <w:rFonts w:ascii="Calibri" w:hAnsi="Calibri" w:cs="Calibri"/>
        </w:rPr>
        <w:t xml:space="preserve"> za </w:t>
      </w:r>
      <w:r w:rsidR="00076642">
        <w:rPr>
          <w:rFonts w:ascii="Calibri" w:hAnsi="Calibri" w:cs="Calibri"/>
        </w:rPr>
        <w:t>39</w:t>
      </w:r>
      <w:r w:rsidR="00076642" w:rsidRPr="00472C4D">
        <w:rPr>
          <w:rFonts w:ascii="Calibri" w:hAnsi="Calibri" w:cs="Calibri"/>
        </w:rPr>
        <w:t xml:space="preserve"> kt.</w:t>
      </w:r>
      <w:r w:rsidR="00076642">
        <w:rPr>
          <w:rFonts w:ascii="Calibri" w:hAnsi="Calibri" w:cs="Calibri"/>
        </w:rPr>
        <w:t xml:space="preserve"> </w:t>
      </w:r>
      <w:r w:rsidR="00076642" w:rsidRPr="00472C4D">
        <w:rPr>
          <w:rFonts w:ascii="Calibri" w:hAnsi="Calibri" w:cs="Calibri"/>
        </w:rPr>
        <w:t>Zaradi ukrepov bodo vrednosti sicer naraščale, toda ciljev do 2020 verjetno ne bo mogoče doseči</w:t>
      </w:r>
      <w:r w:rsidR="00076642">
        <w:rPr>
          <w:rFonts w:ascii="Calibri" w:hAnsi="Calibri" w:cs="Calibri"/>
        </w:rPr>
        <w:t>.</w:t>
      </w:r>
    </w:p>
    <w:p w14:paraId="4D50B988" w14:textId="2CEA7318" w:rsidR="00076642" w:rsidRDefault="00076642" w:rsidP="00136BA3">
      <w:pPr>
        <w:spacing w:after="0" w:line="240" w:lineRule="auto"/>
        <w:jc w:val="both"/>
        <w:rPr>
          <w:rFonts w:ascii="Calibri" w:hAnsi="Calibri" w:cs="Calibri"/>
        </w:rPr>
      </w:pPr>
    </w:p>
    <w:p w14:paraId="13E92231" w14:textId="734172E2" w:rsidR="00490A8D" w:rsidRDefault="00490A8D" w:rsidP="00136BA3">
      <w:pPr>
        <w:spacing w:after="0" w:line="240" w:lineRule="auto"/>
        <w:jc w:val="both"/>
        <w:rPr>
          <w:rFonts w:cstheme="minorHAnsi"/>
        </w:rPr>
      </w:pPr>
      <w:r w:rsidRPr="00490A8D">
        <w:rPr>
          <w:rFonts w:cstheme="minorHAnsi"/>
          <w:color w:val="000000"/>
        </w:rPr>
        <w:t>Skupna vrednost površine celovito energetsko saniranih stavb v javnem sektorju je konec leta 2018 znašala 1,51 milijona m</w:t>
      </w:r>
      <w:r w:rsidRPr="00490A8D">
        <w:rPr>
          <w:rFonts w:cstheme="minorHAnsi"/>
          <w:color w:val="000000"/>
          <w:vertAlign w:val="superscript"/>
        </w:rPr>
        <w:t>2</w:t>
      </w:r>
      <w:r w:rsidRPr="00490A8D">
        <w:rPr>
          <w:rFonts w:cstheme="minorHAnsi"/>
          <w:color w:val="000000"/>
        </w:rPr>
        <w:t xml:space="preserve"> površin, kar presega indikativni letni cilj za 9 %. Leta 2018 je bilo prenovljenih dobrih 250.000 m</w:t>
      </w:r>
      <w:r>
        <w:rPr>
          <w:rFonts w:cstheme="minorHAnsi"/>
          <w:color w:val="000000"/>
          <w:vertAlign w:val="superscript"/>
        </w:rPr>
        <w:t>2</w:t>
      </w:r>
      <w:r w:rsidRPr="00490A8D">
        <w:rPr>
          <w:rFonts w:cstheme="minorHAnsi"/>
          <w:color w:val="000000"/>
        </w:rPr>
        <w:t xml:space="preserve"> površin, kar je občutno več kot leta 2017, ko je bilo prenovljenih </w:t>
      </w:r>
      <w:r w:rsidRPr="00490A8D">
        <w:rPr>
          <w:rFonts w:cstheme="minorHAnsi"/>
        </w:rPr>
        <w:t>slabih 99.000 m</w:t>
      </w:r>
      <w:r w:rsidRPr="00490A8D">
        <w:rPr>
          <w:rFonts w:cstheme="minorHAnsi"/>
          <w:vertAlign w:val="superscript"/>
        </w:rPr>
        <w:t>2</w:t>
      </w:r>
      <w:r w:rsidRPr="00490A8D">
        <w:rPr>
          <w:rFonts w:cstheme="minorHAnsi"/>
        </w:rPr>
        <w:t xml:space="preserve"> površin.</w:t>
      </w:r>
    </w:p>
    <w:p w14:paraId="30E12B75" w14:textId="494CFBF3" w:rsidR="003550C9" w:rsidRDefault="003550C9" w:rsidP="00136BA3">
      <w:pPr>
        <w:spacing w:after="0" w:line="240" w:lineRule="auto"/>
        <w:jc w:val="both"/>
        <w:rPr>
          <w:rFonts w:cstheme="minorHAnsi"/>
        </w:rPr>
      </w:pPr>
    </w:p>
    <w:p w14:paraId="296A67F4" w14:textId="10B74E52" w:rsidR="003550C9" w:rsidRDefault="003550C9" w:rsidP="00136BA3">
      <w:pPr>
        <w:spacing w:after="0" w:line="240" w:lineRule="auto"/>
        <w:jc w:val="both"/>
        <w:rPr>
          <w:rFonts w:cstheme="minorHAnsi"/>
        </w:rPr>
      </w:pPr>
      <w:r>
        <w:rPr>
          <w:rFonts w:cstheme="minorHAnsi"/>
        </w:rPr>
        <w:t xml:space="preserve">Četrti kazalec </w:t>
      </w:r>
      <w:r w:rsidR="00E65288" w:rsidRPr="00E65288">
        <w:rPr>
          <w:rFonts w:cstheme="minorHAnsi"/>
          <w:i/>
        </w:rPr>
        <w:t>I</w:t>
      </w:r>
      <w:r w:rsidR="00A70E45" w:rsidRPr="00E65288">
        <w:rPr>
          <w:i/>
        </w:rPr>
        <w:t>ntenzivnost CO</w:t>
      </w:r>
      <w:r w:rsidR="00A70E45" w:rsidRPr="00E65288">
        <w:rPr>
          <w:i/>
          <w:vertAlign w:val="subscript"/>
        </w:rPr>
        <w:t>2</w:t>
      </w:r>
      <w:r w:rsidR="00A70E45" w:rsidRPr="00E65288">
        <w:rPr>
          <w:i/>
        </w:rPr>
        <w:t xml:space="preserve"> v komercialnem in institucionalnem sektorju</w:t>
      </w:r>
      <w:r w:rsidR="00A70E45">
        <w:rPr>
          <w:rFonts w:cstheme="minorHAnsi"/>
        </w:rPr>
        <w:t xml:space="preserve"> </w:t>
      </w:r>
      <w:r>
        <w:rPr>
          <w:rFonts w:cstheme="minorHAnsi"/>
        </w:rPr>
        <w:t>opisuje ogl</w:t>
      </w:r>
      <w:r w:rsidR="00D95988">
        <w:rPr>
          <w:rFonts w:cstheme="minorHAnsi"/>
        </w:rPr>
        <w:t>ji</w:t>
      </w:r>
      <w:r>
        <w:rPr>
          <w:rFonts w:cstheme="minorHAnsi"/>
        </w:rPr>
        <w:t>čni odtis komercialnega in institucionalnega sektorja, torej koliko emisij CO</w:t>
      </w:r>
      <w:r>
        <w:rPr>
          <w:rFonts w:cstheme="minorHAnsi"/>
          <w:vertAlign w:val="subscript"/>
        </w:rPr>
        <w:t>2</w:t>
      </w:r>
      <w:r>
        <w:rPr>
          <w:rFonts w:cstheme="minorHAnsi"/>
        </w:rPr>
        <w:t xml:space="preserve"> se sprosti na </w:t>
      </w:r>
      <w:r w:rsidR="00744E10">
        <w:rPr>
          <w:rFonts w:cstheme="minorHAnsi"/>
        </w:rPr>
        <w:t>evro dodane vrednosti. V letih 2017 in 2018 se je intenzivnost CO</w:t>
      </w:r>
      <w:r w:rsidR="00744E10">
        <w:rPr>
          <w:rFonts w:cstheme="minorHAnsi"/>
          <w:vertAlign w:val="subscript"/>
        </w:rPr>
        <w:t>2</w:t>
      </w:r>
      <w:r w:rsidR="00744E10">
        <w:rPr>
          <w:rFonts w:cstheme="minorHAnsi"/>
        </w:rPr>
        <w:t xml:space="preserve"> v tem sektorju znižala. V letu 2017 na 36,7 t CO</w:t>
      </w:r>
      <w:r w:rsidR="00744E10">
        <w:rPr>
          <w:rFonts w:cstheme="minorHAnsi"/>
          <w:vertAlign w:val="subscript"/>
        </w:rPr>
        <w:t>2</w:t>
      </w:r>
      <w:r w:rsidR="00744E10">
        <w:rPr>
          <w:rFonts w:cstheme="minorHAnsi"/>
        </w:rPr>
        <w:t>/mio EUR</w:t>
      </w:r>
      <w:r w:rsidR="00744E10">
        <w:rPr>
          <w:rFonts w:cstheme="minorHAnsi"/>
          <w:vertAlign w:val="subscript"/>
        </w:rPr>
        <w:t>1995</w:t>
      </w:r>
      <w:r w:rsidR="00744E10">
        <w:rPr>
          <w:rFonts w:cstheme="minorHAnsi"/>
        </w:rPr>
        <w:t>, v letu 2018 na 29,8 t CO</w:t>
      </w:r>
      <w:r w:rsidR="00744E10">
        <w:rPr>
          <w:rFonts w:cstheme="minorHAnsi"/>
          <w:vertAlign w:val="subscript"/>
        </w:rPr>
        <w:t>2</w:t>
      </w:r>
      <w:r w:rsidR="00744E10">
        <w:rPr>
          <w:rFonts w:cstheme="minorHAnsi"/>
        </w:rPr>
        <w:t>/mio EUR</w:t>
      </w:r>
      <w:r w:rsidR="00744E10">
        <w:rPr>
          <w:rFonts w:cstheme="minorHAnsi"/>
          <w:vertAlign w:val="subscript"/>
        </w:rPr>
        <w:t>1995</w:t>
      </w:r>
      <w:r w:rsidR="00744E10">
        <w:rPr>
          <w:rFonts w:cstheme="minorHAnsi"/>
        </w:rPr>
        <w:t xml:space="preserve">. </w:t>
      </w:r>
      <w:r w:rsidR="00DA461A">
        <w:rPr>
          <w:rFonts w:cstheme="minorHAnsi"/>
        </w:rPr>
        <w:t>Da bi lahko dosegli zastavljen cilj v letu 2020 – 32,3 t CO</w:t>
      </w:r>
      <w:r w:rsidR="00DA461A">
        <w:rPr>
          <w:rFonts w:cstheme="minorHAnsi"/>
          <w:vertAlign w:val="subscript"/>
        </w:rPr>
        <w:t>2</w:t>
      </w:r>
      <w:r w:rsidR="00DA461A">
        <w:rPr>
          <w:rFonts w:cstheme="minorHAnsi"/>
        </w:rPr>
        <w:t>/mio EUR</w:t>
      </w:r>
      <w:r w:rsidR="00DA461A">
        <w:rPr>
          <w:rFonts w:cstheme="minorHAnsi"/>
          <w:vertAlign w:val="subscript"/>
        </w:rPr>
        <w:t>1995</w:t>
      </w:r>
      <w:r w:rsidR="00DA461A">
        <w:rPr>
          <w:rFonts w:cstheme="minorHAnsi"/>
        </w:rPr>
        <w:t>, bo potrebno intenzivnost CO</w:t>
      </w:r>
      <w:r w:rsidR="00DA461A">
        <w:rPr>
          <w:rFonts w:cstheme="minorHAnsi"/>
          <w:vertAlign w:val="subscript"/>
        </w:rPr>
        <w:t xml:space="preserve">2 </w:t>
      </w:r>
      <w:r w:rsidR="00DA461A">
        <w:rPr>
          <w:rFonts w:cstheme="minorHAnsi"/>
        </w:rPr>
        <w:t xml:space="preserve">zmanjšati še za 8 % glede na leti 2018. </w:t>
      </w:r>
    </w:p>
    <w:p w14:paraId="5CC55653" w14:textId="77777777" w:rsidR="002E3997" w:rsidRDefault="002E3997" w:rsidP="00136BA3">
      <w:pPr>
        <w:spacing w:after="0" w:line="240" w:lineRule="auto"/>
        <w:jc w:val="both"/>
      </w:pPr>
    </w:p>
    <w:p w14:paraId="1DB9AA86" w14:textId="516030AC" w:rsidR="002E3997" w:rsidRPr="002E3997" w:rsidRDefault="002E3997" w:rsidP="00136BA3">
      <w:pPr>
        <w:spacing w:after="0" w:line="240" w:lineRule="auto"/>
        <w:jc w:val="both"/>
        <w:rPr>
          <w:rFonts w:cstheme="minorHAnsi"/>
        </w:rPr>
      </w:pPr>
      <w:r>
        <w:t xml:space="preserve">Kazalec </w:t>
      </w:r>
      <w:r w:rsidR="00E65288">
        <w:rPr>
          <w:i/>
        </w:rPr>
        <w:t>I</w:t>
      </w:r>
      <w:r w:rsidRPr="00E65288">
        <w:rPr>
          <w:i/>
        </w:rPr>
        <w:t>zboljšanje energetske učinkovitosti v stanovanjskem sektorju</w:t>
      </w:r>
      <w:r>
        <w:t xml:space="preserve"> prikazuje kumulativno, večletno zmanjšanje emisije </w:t>
      </w:r>
      <w:r>
        <w:rPr>
          <w:rFonts w:cstheme="minorHAnsi"/>
        </w:rPr>
        <w:t>CO</w:t>
      </w:r>
      <w:r>
        <w:rPr>
          <w:rFonts w:cstheme="minorHAnsi"/>
          <w:vertAlign w:val="subscript"/>
        </w:rPr>
        <w:t>2</w:t>
      </w:r>
      <w:r>
        <w:rPr>
          <w:rFonts w:cstheme="minorHAnsi"/>
        </w:rPr>
        <w:t>, ki je posledica zmanjšanj</w:t>
      </w:r>
      <w:r w:rsidR="00AB50F8">
        <w:rPr>
          <w:rFonts w:cstheme="minorHAnsi"/>
        </w:rPr>
        <w:t>a</w:t>
      </w:r>
      <w:r>
        <w:rPr>
          <w:rFonts w:cstheme="minorHAnsi"/>
        </w:rPr>
        <w:t xml:space="preserve"> rabe končne energije zaradi uvajanja ukrepov URE in izrabe OVE. </w:t>
      </w:r>
      <w:r>
        <w:t xml:space="preserve">Kumulativno zmanjšanje emisije </w:t>
      </w:r>
      <w:r>
        <w:rPr>
          <w:rFonts w:cstheme="minorHAnsi"/>
        </w:rPr>
        <w:t>CO</w:t>
      </w:r>
      <w:r>
        <w:rPr>
          <w:rFonts w:cstheme="minorHAnsi"/>
          <w:vertAlign w:val="subscript"/>
        </w:rPr>
        <w:t>2</w:t>
      </w:r>
      <w:r>
        <w:rPr>
          <w:rFonts w:cstheme="minorHAnsi"/>
        </w:rPr>
        <w:t xml:space="preserve"> je v letu 2017 znašalo 141,1 kt, v letu 2018 pa 164,8 kt</w:t>
      </w:r>
      <w:r w:rsidR="001B666E">
        <w:rPr>
          <w:rFonts w:cstheme="minorHAnsi"/>
        </w:rPr>
        <w:t>. Od cilja v letu 2020 je kazalec oddaljen za 38 %.</w:t>
      </w:r>
    </w:p>
    <w:p w14:paraId="1E1AEB04" w14:textId="68FF2E9B" w:rsidR="0071203A" w:rsidRPr="0071203A" w:rsidRDefault="0071203A" w:rsidP="00136BA3">
      <w:pPr>
        <w:spacing w:after="0" w:line="240" w:lineRule="auto"/>
        <w:jc w:val="both"/>
        <w:rPr>
          <w:rFonts w:ascii="Calibri" w:hAnsi="Calibri" w:cs="Calibri"/>
          <w:u w:val="single"/>
        </w:rPr>
      </w:pPr>
      <w:r w:rsidRPr="0071203A">
        <w:rPr>
          <w:rFonts w:ascii="Calibri" w:hAnsi="Calibri" w:cs="Calibri"/>
          <w:u w:val="single"/>
        </w:rPr>
        <w:t xml:space="preserve"> </w:t>
      </w:r>
    </w:p>
    <w:p w14:paraId="1D192BC1" w14:textId="6D380B29" w:rsidR="00136BA3" w:rsidRPr="00472C4D" w:rsidRDefault="00136BA3" w:rsidP="00136BA3">
      <w:pPr>
        <w:pStyle w:val="Default"/>
        <w:jc w:val="both"/>
        <w:rPr>
          <w:rFonts w:ascii="Calibri" w:hAnsi="Calibri" w:cs="Calibri"/>
          <w:sz w:val="22"/>
          <w:szCs w:val="22"/>
          <w:lang w:val="sl-SI"/>
        </w:rPr>
      </w:pPr>
      <w:r w:rsidRPr="00980DF1">
        <w:rPr>
          <w:rFonts w:ascii="Calibri" w:hAnsi="Calibri" w:cs="Calibri"/>
          <w:sz w:val="22"/>
          <w:szCs w:val="22"/>
          <w:lang w:val="sl-SI"/>
        </w:rPr>
        <w:t>Specifične emisije TGP v stanovanjskem sektorju</w:t>
      </w:r>
      <w:r w:rsidR="00D45B34">
        <w:rPr>
          <w:rFonts w:ascii="Calibri" w:hAnsi="Calibri" w:cs="Calibri"/>
          <w:sz w:val="22"/>
          <w:szCs w:val="22"/>
          <w:lang w:val="sl-SI"/>
        </w:rPr>
        <w:t xml:space="preserve">, ki so posledica rabe goriv v gospodinjstvih, </w:t>
      </w:r>
      <w:r w:rsidRPr="00472C4D">
        <w:rPr>
          <w:rFonts w:ascii="Calibri" w:hAnsi="Calibri" w:cs="Calibri"/>
          <w:sz w:val="22"/>
          <w:szCs w:val="22"/>
          <w:lang w:val="sl-SI"/>
        </w:rPr>
        <w:t xml:space="preserve">so leta 2017 </w:t>
      </w:r>
      <w:r w:rsidR="00D45B34">
        <w:rPr>
          <w:rFonts w:ascii="Calibri" w:hAnsi="Calibri" w:cs="Calibri"/>
          <w:sz w:val="22"/>
          <w:szCs w:val="22"/>
          <w:lang w:val="sl-SI"/>
        </w:rPr>
        <w:t xml:space="preserve">znašale 9,8 </w:t>
      </w:r>
      <w:r w:rsidR="00290669">
        <w:rPr>
          <w:rFonts w:ascii="Calibri" w:hAnsi="Calibri" w:cs="Calibri"/>
          <w:sz w:val="22"/>
          <w:szCs w:val="22"/>
          <w:lang w:val="sl-SI"/>
        </w:rPr>
        <w:t xml:space="preserve">kg </w:t>
      </w:r>
      <w:r w:rsidR="00D45B34">
        <w:rPr>
          <w:rFonts w:ascii="Calibri" w:hAnsi="Calibri" w:cs="Calibri"/>
          <w:sz w:val="22"/>
          <w:szCs w:val="22"/>
          <w:lang w:val="sl-SI"/>
        </w:rPr>
        <w:t>CO</w:t>
      </w:r>
      <w:r w:rsidR="00D45B34">
        <w:rPr>
          <w:rFonts w:ascii="Calibri" w:hAnsi="Calibri" w:cs="Calibri"/>
          <w:sz w:val="22"/>
          <w:szCs w:val="22"/>
          <w:vertAlign w:val="subscript"/>
          <w:lang w:val="sl-SI"/>
        </w:rPr>
        <w:t xml:space="preserve">2 </w:t>
      </w:r>
      <w:r w:rsidR="00D45B34">
        <w:rPr>
          <w:rFonts w:ascii="Calibri" w:hAnsi="Calibri" w:cs="Calibri"/>
          <w:sz w:val="22"/>
          <w:szCs w:val="22"/>
          <w:lang w:val="sl-SI"/>
        </w:rPr>
        <w:t>ekv/m</w:t>
      </w:r>
      <w:r w:rsidR="00D45B34">
        <w:rPr>
          <w:rFonts w:ascii="Calibri" w:hAnsi="Calibri" w:cs="Calibri"/>
          <w:sz w:val="22"/>
          <w:szCs w:val="22"/>
          <w:vertAlign w:val="superscript"/>
          <w:lang w:val="sl-SI"/>
        </w:rPr>
        <w:t>2</w:t>
      </w:r>
      <w:r w:rsidR="00D45B34">
        <w:rPr>
          <w:rFonts w:ascii="Calibri" w:hAnsi="Calibri" w:cs="Calibri"/>
          <w:sz w:val="22"/>
          <w:szCs w:val="22"/>
          <w:lang w:val="sl-SI"/>
        </w:rPr>
        <w:t xml:space="preserve">, v letu 2018 9,0 </w:t>
      </w:r>
      <w:r w:rsidR="00290669">
        <w:rPr>
          <w:rFonts w:ascii="Calibri" w:hAnsi="Calibri" w:cs="Calibri"/>
          <w:sz w:val="22"/>
          <w:szCs w:val="22"/>
          <w:lang w:val="sl-SI"/>
        </w:rPr>
        <w:t xml:space="preserve">kg </w:t>
      </w:r>
      <w:r w:rsidR="00D45B34">
        <w:rPr>
          <w:rFonts w:ascii="Calibri" w:hAnsi="Calibri" w:cs="Calibri"/>
          <w:sz w:val="22"/>
          <w:szCs w:val="22"/>
          <w:lang w:val="sl-SI"/>
        </w:rPr>
        <w:t>CO</w:t>
      </w:r>
      <w:r w:rsidR="00D45B34">
        <w:rPr>
          <w:rFonts w:ascii="Calibri" w:hAnsi="Calibri" w:cs="Calibri"/>
          <w:sz w:val="22"/>
          <w:szCs w:val="22"/>
          <w:vertAlign w:val="subscript"/>
          <w:lang w:val="sl-SI"/>
        </w:rPr>
        <w:t xml:space="preserve">2 </w:t>
      </w:r>
      <w:r w:rsidR="00D45B34">
        <w:rPr>
          <w:rFonts w:ascii="Calibri" w:hAnsi="Calibri" w:cs="Calibri"/>
          <w:sz w:val="22"/>
          <w:szCs w:val="22"/>
          <w:lang w:val="sl-SI"/>
        </w:rPr>
        <w:t>ekv/m</w:t>
      </w:r>
      <w:r w:rsidR="00D45B34">
        <w:rPr>
          <w:rFonts w:ascii="Calibri" w:hAnsi="Calibri" w:cs="Calibri"/>
          <w:sz w:val="22"/>
          <w:szCs w:val="22"/>
          <w:vertAlign w:val="superscript"/>
          <w:lang w:val="sl-SI"/>
        </w:rPr>
        <w:t>2</w:t>
      </w:r>
      <w:r w:rsidR="00D45B34">
        <w:rPr>
          <w:rFonts w:ascii="Calibri" w:hAnsi="Calibri" w:cs="Calibri"/>
          <w:sz w:val="22"/>
          <w:szCs w:val="22"/>
          <w:lang w:val="sl-SI"/>
        </w:rPr>
        <w:t>. Do zastavljenega cilja v letu 2020 bo emisije</w:t>
      </w:r>
      <w:r w:rsidR="00D95988">
        <w:rPr>
          <w:rFonts w:ascii="Calibri" w:hAnsi="Calibri" w:cs="Calibri"/>
          <w:sz w:val="22"/>
          <w:szCs w:val="22"/>
          <w:lang w:val="sl-SI"/>
        </w:rPr>
        <w:t xml:space="preserve"> </w:t>
      </w:r>
      <w:r w:rsidR="00D45B34">
        <w:rPr>
          <w:rFonts w:ascii="Calibri" w:hAnsi="Calibri" w:cs="Calibri"/>
          <w:sz w:val="22"/>
          <w:szCs w:val="22"/>
          <w:lang w:val="sl-SI"/>
        </w:rPr>
        <w:t>potrebno zmanjšati še za 3 %.</w:t>
      </w:r>
    </w:p>
    <w:p w14:paraId="69B0457B" w14:textId="77777777" w:rsidR="00136BA3" w:rsidRPr="00472C4D" w:rsidRDefault="00136BA3" w:rsidP="00136BA3">
      <w:pPr>
        <w:pStyle w:val="Default"/>
        <w:rPr>
          <w:rFonts w:ascii="Calibri" w:hAnsi="Calibri" w:cs="Calibri"/>
          <w:sz w:val="22"/>
          <w:szCs w:val="22"/>
          <w:lang w:val="sl-SI"/>
        </w:rPr>
      </w:pPr>
    </w:p>
    <w:p w14:paraId="2A666CA2" w14:textId="57B9236C" w:rsidR="00136BA3" w:rsidRDefault="0053723E" w:rsidP="00136BA3">
      <w:pPr>
        <w:spacing w:after="0" w:line="240" w:lineRule="auto"/>
        <w:jc w:val="both"/>
        <w:rPr>
          <w:rFonts w:ascii="Calibri" w:hAnsi="Calibri" w:cs="Calibri"/>
        </w:rPr>
      </w:pPr>
      <w:r>
        <w:rPr>
          <w:rFonts w:ascii="Calibri" w:hAnsi="Calibri" w:cs="Calibri"/>
        </w:rPr>
        <w:t xml:space="preserve">Delež </w:t>
      </w:r>
      <w:r w:rsidR="00315FBC">
        <w:rPr>
          <w:rFonts w:ascii="Calibri" w:hAnsi="Calibri" w:cs="Calibri"/>
        </w:rPr>
        <w:t xml:space="preserve">OVE v </w:t>
      </w:r>
      <w:r w:rsidR="00136BA3" w:rsidRPr="00472C4D">
        <w:rPr>
          <w:rFonts w:ascii="Calibri" w:hAnsi="Calibri" w:cs="Calibri"/>
        </w:rPr>
        <w:t xml:space="preserve">rabi goriv v široki rabi </w:t>
      </w:r>
      <w:r w:rsidR="00315FBC">
        <w:rPr>
          <w:rFonts w:ascii="Calibri" w:hAnsi="Calibri" w:cs="Calibri"/>
        </w:rPr>
        <w:t xml:space="preserve">se je v letu 2017 </w:t>
      </w:r>
      <w:r w:rsidR="00315FBC" w:rsidRPr="00472C4D">
        <w:rPr>
          <w:rFonts w:ascii="Calibri" w:hAnsi="Calibri" w:cs="Calibri"/>
        </w:rPr>
        <w:t>na račun zmanjšanja deleža kurilnega olja</w:t>
      </w:r>
      <w:r w:rsidR="00315FBC">
        <w:rPr>
          <w:rFonts w:ascii="Calibri" w:hAnsi="Calibri" w:cs="Calibri"/>
        </w:rPr>
        <w:t xml:space="preserve"> zvišal in je znašal </w:t>
      </w:r>
      <w:r w:rsidR="00136BA3" w:rsidRPr="00472C4D">
        <w:rPr>
          <w:rFonts w:ascii="Calibri" w:hAnsi="Calibri" w:cs="Calibri"/>
        </w:rPr>
        <w:t>57,1 %</w:t>
      </w:r>
      <w:r w:rsidR="00315FBC">
        <w:rPr>
          <w:rFonts w:ascii="Calibri" w:hAnsi="Calibri" w:cs="Calibri"/>
        </w:rPr>
        <w:t xml:space="preserve">. Prav tako se je zvišal v letu 2018, ko je znašal 85,3 %. </w:t>
      </w:r>
      <w:r w:rsidR="00136BA3" w:rsidRPr="00472C4D">
        <w:rPr>
          <w:rFonts w:ascii="Calibri" w:hAnsi="Calibri" w:cs="Calibri"/>
        </w:rPr>
        <w:t>V</w:t>
      </w:r>
      <w:r w:rsidR="00315FBC">
        <w:rPr>
          <w:rFonts w:ascii="Calibri" w:hAnsi="Calibri" w:cs="Calibri"/>
        </w:rPr>
        <w:t>zrok za zvišanje v letu 2018 je zmanjšanje rabe goriv v široki rabi zaradi mile zime.</w:t>
      </w:r>
      <w:r w:rsidR="00136BA3" w:rsidRPr="00472C4D">
        <w:rPr>
          <w:rFonts w:ascii="Calibri" w:hAnsi="Calibri" w:cs="Calibri"/>
        </w:rPr>
        <w:t xml:space="preserve"> </w:t>
      </w:r>
    </w:p>
    <w:p w14:paraId="2993DD7E" w14:textId="77777777" w:rsidR="006E5A66" w:rsidRDefault="006E5A66" w:rsidP="00136BA3">
      <w:pPr>
        <w:spacing w:after="0" w:line="240" w:lineRule="auto"/>
        <w:jc w:val="both"/>
        <w:rPr>
          <w:rFonts w:ascii="Calibri" w:hAnsi="Calibri" w:cs="Calibri"/>
        </w:rPr>
      </w:pPr>
    </w:p>
    <w:p w14:paraId="09DED645" w14:textId="4B6F8C58" w:rsidR="00136BA3" w:rsidRDefault="00136BA3" w:rsidP="00136BA3">
      <w:pPr>
        <w:spacing w:after="0" w:line="240" w:lineRule="auto"/>
        <w:jc w:val="both"/>
        <w:rPr>
          <w:rFonts w:ascii="Calibri" w:hAnsi="Calibri" w:cs="Calibri"/>
          <w:b/>
          <w:bCs/>
        </w:rPr>
      </w:pPr>
      <w:r>
        <w:rPr>
          <w:rFonts w:ascii="Calibri" w:hAnsi="Calibri" w:cs="Calibri"/>
          <w:b/>
          <w:bCs/>
        </w:rPr>
        <w:t>3</w:t>
      </w:r>
      <w:r w:rsidRPr="00472C4D">
        <w:rPr>
          <w:rFonts w:ascii="Calibri" w:hAnsi="Calibri" w:cs="Calibri"/>
          <w:b/>
          <w:bCs/>
        </w:rPr>
        <w:t>.4 Industrija ne</w:t>
      </w:r>
      <w:r>
        <w:rPr>
          <w:rFonts w:ascii="Calibri" w:hAnsi="Calibri" w:cs="Calibri"/>
          <w:b/>
          <w:bCs/>
        </w:rPr>
        <w:t>-</w:t>
      </w:r>
      <w:r w:rsidRPr="00472C4D">
        <w:rPr>
          <w:rFonts w:ascii="Calibri" w:hAnsi="Calibri" w:cs="Calibri"/>
          <w:b/>
          <w:bCs/>
        </w:rPr>
        <w:t>ETS</w:t>
      </w:r>
    </w:p>
    <w:p w14:paraId="77D898EC" w14:textId="77777777" w:rsidR="00136BA3" w:rsidRDefault="00136BA3" w:rsidP="00136BA3">
      <w:pPr>
        <w:spacing w:after="0" w:line="240" w:lineRule="auto"/>
        <w:jc w:val="both"/>
        <w:rPr>
          <w:rFonts w:ascii="Calibri" w:hAnsi="Calibri" w:cs="Calibri"/>
        </w:rPr>
      </w:pPr>
    </w:p>
    <w:tbl>
      <w:tblPr>
        <w:tblStyle w:val="Tabelamrea"/>
        <w:tblW w:w="0" w:type="auto"/>
        <w:tblLook w:val="04A0" w:firstRow="1" w:lastRow="0" w:firstColumn="1" w:lastColumn="0" w:noHBand="0" w:noVBand="1"/>
      </w:tblPr>
      <w:tblGrid>
        <w:gridCol w:w="7916"/>
        <w:gridCol w:w="663"/>
        <w:gridCol w:w="663"/>
      </w:tblGrid>
      <w:tr w:rsidR="009629CD" w14:paraId="604B8AB3" w14:textId="77777777" w:rsidTr="009629CD">
        <w:tc>
          <w:tcPr>
            <w:tcW w:w="8046" w:type="dxa"/>
          </w:tcPr>
          <w:p w14:paraId="36E1B4D0" w14:textId="253AACFF" w:rsidR="009629CD" w:rsidRDefault="009629CD" w:rsidP="00136BA3">
            <w:pPr>
              <w:jc w:val="both"/>
              <w:rPr>
                <w:rFonts w:ascii="Calibri" w:hAnsi="Calibri" w:cs="Calibri"/>
              </w:rPr>
            </w:pPr>
            <w:r>
              <w:rPr>
                <w:rFonts w:ascii="Calibri" w:hAnsi="Calibri" w:cs="Calibri"/>
                <w:b/>
              </w:rPr>
              <w:t>Doseganje ciljev OP TGP 2020 se spremlja s kazalci:</w:t>
            </w:r>
          </w:p>
        </w:tc>
        <w:tc>
          <w:tcPr>
            <w:tcW w:w="567" w:type="dxa"/>
          </w:tcPr>
          <w:p w14:paraId="0BE25014" w14:textId="009407E8" w:rsidR="009629CD" w:rsidRPr="009629CD" w:rsidRDefault="009629CD" w:rsidP="009629CD">
            <w:pPr>
              <w:jc w:val="center"/>
              <w:rPr>
                <w:rFonts w:ascii="Calibri" w:hAnsi="Calibri" w:cs="Calibri"/>
                <w:b/>
              </w:rPr>
            </w:pPr>
            <w:r w:rsidRPr="009629CD">
              <w:rPr>
                <w:rFonts w:ascii="Calibri" w:hAnsi="Calibri" w:cs="Calibri"/>
                <w:b/>
              </w:rPr>
              <w:t>2017</w:t>
            </w:r>
          </w:p>
        </w:tc>
        <w:tc>
          <w:tcPr>
            <w:tcW w:w="553" w:type="dxa"/>
          </w:tcPr>
          <w:p w14:paraId="0426D1CE" w14:textId="4A000B60" w:rsidR="009629CD" w:rsidRPr="009629CD" w:rsidRDefault="009629CD" w:rsidP="009629CD">
            <w:pPr>
              <w:jc w:val="center"/>
              <w:rPr>
                <w:rFonts w:ascii="Calibri" w:hAnsi="Calibri" w:cs="Calibri"/>
                <w:b/>
              </w:rPr>
            </w:pPr>
            <w:r w:rsidRPr="009629CD">
              <w:rPr>
                <w:rFonts w:ascii="Calibri" w:hAnsi="Calibri" w:cs="Calibri"/>
                <w:b/>
              </w:rPr>
              <w:t>2018</w:t>
            </w:r>
          </w:p>
        </w:tc>
      </w:tr>
      <w:tr w:rsidR="009629CD" w14:paraId="1FB04F1A" w14:textId="77777777" w:rsidTr="00051E17">
        <w:tc>
          <w:tcPr>
            <w:tcW w:w="8046" w:type="dxa"/>
          </w:tcPr>
          <w:p w14:paraId="4D14DE14" w14:textId="6FDA7F13" w:rsidR="009629CD" w:rsidRDefault="009629CD" w:rsidP="00051E17">
            <w:pPr>
              <w:jc w:val="both"/>
              <w:rPr>
                <w:rFonts w:ascii="Calibri" w:hAnsi="Calibri" w:cs="Calibri"/>
              </w:rPr>
            </w:pPr>
            <w:r>
              <w:t>Finančne spodbude</w:t>
            </w:r>
            <w:r w:rsidR="00051E17">
              <w:t xml:space="preserve"> </w:t>
            </w:r>
            <w:r>
              <w:t>za URE in OVE v industriji ne-ETS</w:t>
            </w:r>
          </w:p>
        </w:tc>
        <w:tc>
          <w:tcPr>
            <w:tcW w:w="567" w:type="dxa"/>
            <w:shd w:val="clear" w:color="auto" w:fill="FF0000"/>
          </w:tcPr>
          <w:p w14:paraId="34987211" w14:textId="10840D0A" w:rsidR="009629CD" w:rsidRPr="009629CD" w:rsidRDefault="009629CD" w:rsidP="004675F0">
            <w:pPr>
              <w:spacing w:before="20" w:after="20"/>
              <w:jc w:val="center"/>
              <w:rPr>
                <w:rFonts w:ascii="Calibri" w:hAnsi="Calibri" w:cs="Calibri"/>
                <w:b/>
              </w:rPr>
            </w:pPr>
            <w:r w:rsidRPr="009629CD">
              <w:rPr>
                <w:rFonts w:ascii="Calibri" w:hAnsi="Calibri" w:cs="Calibri"/>
                <w:b/>
              </w:rPr>
              <w:sym w:font="Wingdings" w:char="F04C"/>
            </w:r>
          </w:p>
        </w:tc>
        <w:tc>
          <w:tcPr>
            <w:tcW w:w="553" w:type="dxa"/>
            <w:shd w:val="clear" w:color="auto" w:fill="FF0000"/>
          </w:tcPr>
          <w:p w14:paraId="575CD6FB" w14:textId="06531E9E" w:rsidR="009629CD" w:rsidRPr="009629CD" w:rsidRDefault="009629CD" w:rsidP="004675F0">
            <w:pPr>
              <w:spacing w:before="20" w:after="20"/>
              <w:jc w:val="center"/>
              <w:rPr>
                <w:rFonts w:ascii="Calibri" w:hAnsi="Calibri" w:cs="Calibri"/>
                <w:b/>
              </w:rPr>
            </w:pPr>
            <w:r w:rsidRPr="009629CD">
              <w:rPr>
                <w:rFonts w:ascii="Calibri" w:hAnsi="Calibri" w:cs="Calibri"/>
                <w:b/>
              </w:rPr>
              <w:sym w:font="Wingdings" w:char="F04C"/>
            </w:r>
          </w:p>
        </w:tc>
      </w:tr>
      <w:tr w:rsidR="009629CD" w14:paraId="1AE9C702" w14:textId="77777777" w:rsidTr="00051E17">
        <w:tc>
          <w:tcPr>
            <w:tcW w:w="8046" w:type="dxa"/>
          </w:tcPr>
          <w:p w14:paraId="49D74BD9" w14:textId="62A0CD02" w:rsidR="009629CD" w:rsidRDefault="009629CD" w:rsidP="00136BA3">
            <w:pPr>
              <w:jc w:val="both"/>
              <w:rPr>
                <w:rFonts w:ascii="Calibri" w:hAnsi="Calibri" w:cs="Calibri"/>
              </w:rPr>
            </w:pPr>
            <w:r>
              <w:t>Delež OVE v rabi goriv v industriji ne-ETS</w:t>
            </w:r>
          </w:p>
        </w:tc>
        <w:tc>
          <w:tcPr>
            <w:tcW w:w="567" w:type="dxa"/>
            <w:shd w:val="clear" w:color="auto" w:fill="FF0000"/>
          </w:tcPr>
          <w:p w14:paraId="63858E89" w14:textId="2E1DB22B" w:rsidR="009629CD" w:rsidRPr="009629CD" w:rsidRDefault="009629CD" w:rsidP="004675F0">
            <w:pPr>
              <w:spacing w:before="20" w:after="20"/>
              <w:jc w:val="center"/>
              <w:rPr>
                <w:rFonts w:ascii="Calibri" w:hAnsi="Calibri" w:cs="Calibri"/>
                <w:b/>
              </w:rPr>
            </w:pPr>
            <w:r w:rsidRPr="009629CD">
              <w:rPr>
                <w:rFonts w:ascii="Calibri" w:hAnsi="Calibri" w:cs="Calibri"/>
                <w:b/>
              </w:rPr>
              <w:sym w:font="Wingdings" w:char="F04C"/>
            </w:r>
          </w:p>
        </w:tc>
        <w:tc>
          <w:tcPr>
            <w:tcW w:w="553" w:type="dxa"/>
            <w:shd w:val="clear" w:color="auto" w:fill="FF0000"/>
          </w:tcPr>
          <w:p w14:paraId="15B9FB48" w14:textId="1A620C8B" w:rsidR="009629CD" w:rsidRPr="009629CD" w:rsidRDefault="009629CD" w:rsidP="004675F0">
            <w:pPr>
              <w:spacing w:before="20" w:after="20"/>
              <w:jc w:val="center"/>
              <w:rPr>
                <w:rFonts w:ascii="Calibri" w:hAnsi="Calibri" w:cs="Calibri"/>
                <w:b/>
              </w:rPr>
            </w:pPr>
            <w:r w:rsidRPr="009629CD">
              <w:rPr>
                <w:rFonts w:ascii="Calibri" w:hAnsi="Calibri" w:cs="Calibri"/>
                <w:b/>
              </w:rPr>
              <w:sym w:font="Wingdings" w:char="F04C"/>
            </w:r>
          </w:p>
        </w:tc>
      </w:tr>
      <w:tr w:rsidR="009629CD" w14:paraId="4FF78ED7" w14:textId="77777777" w:rsidTr="00051E17">
        <w:tc>
          <w:tcPr>
            <w:tcW w:w="8046" w:type="dxa"/>
          </w:tcPr>
          <w:p w14:paraId="15846701" w14:textId="412279A0" w:rsidR="009629CD" w:rsidRDefault="009629CD" w:rsidP="00136BA3">
            <w:pPr>
              <w:jc w:val="both"/>
              <w:rPr>
                <w:rFonts w:ascii="Calibri" w:hAnsi="Calibri" w:cs="Calibri"/>
              </w:rPr>
            </w:pPr>
            <w:r>
              <w:t>Emisije TGP zaradi puščanja naprav z F-plini</w:t>
            </w:r>
          </w:p>
        </w:tc>
        <w:tc>
          <w:tcPr>
            <w:tcW w:w="567" w:type="dxa"/>
            <w:shd w:val="clear" w:color="auto" w:fill="FFC000"/>
          </w:tcPr>
          <w:p w14:paraId="13704B96" w14:textId="66A5B081" w:rsidR="009629CD" w:rsidRPr="009629CD" w:rsidRDefault="00051E17" w:rsidP="004675F0">
            <w:pPr>
              <w:spacing w:before="20" w:after="20"/>
              <w:jc w:val="center"/>
              <w:rPr>
                <w:rFonts w:ascii="Calibri" w:hAnsi="Calibri" w:cs="Calibri"/>
                <w:b/>
              </w:rPr>
            </w:pPr>
            <w:r w:rsidRPr="007B3ED0">
              <w:rPr>
                <w:rFonts w:ascii="Calibri" w:hAnsi="Calibri" w:cs="Calibri"/>
                <w:b/>
              </w:rPr>
              <w:sym w:font="Wingdings" w:char="F04B"/>
            </w:r>
          </w:p>
        </w:tc>
        <w:tc>
          <w:tcPr>
            <w:tcW w:w="553" w:type="dxa"/>
            <w:shd w:val="clear" w:color="auto" w:fill="FFC000"/>
          </w:tcPr>
          <w:p w14:paraId="56107223" w14:textId="23008972" w:rsidR="009629CD" w:rsidRPr="009629CD" w:rsidRDefault="00051E17" w:rsidP="004675F0">
            <w:pPr>
              <w:spacing w:before="20" w:after="20"/>
              <w:jc w:val="center"/>
              <w:rPr>
                <w:rFonts w:ascii="Calibri" w:hAnsi="Calibri" w:cs="Calibri"/>
                <w:b/>
              </w:rPr>
            </w:pPr>
            <w:r w:rsidRPr="007B3ED0">
              <w:rPr>
                <w:rFonts w:ascii="Calibri" w:hAnsi="Calibri" w:cs="Calibri"/>
                <w:b/>
              </w:rPr>
              <w:sym w:font="Wingdings" w:char="F04B"/>
            </w:r>
          </w:p>
        </w:tc>
      </w:tr>
    </w:tbl>
    <w:p w14:paraId="078778BD" w14:textId="77777777" w:rsidR="009629CD" w:rsidRDefault="009629CD" w:rsidP="00136BA3">
      <w:pPr>
        <w:spacing w:after="0" w:line="240" w:lineRule="auto"/>
        <w:jc w:val="both"/>
        <w:rPr>
          <w:rFonts w:ascii="Calibri" w:hAnsi="Calibri" w:cs="Calibri"/>
        </w:rPr>
      </w:pPr>
    </w:p>
    <w:p w14:paraId="198C8615" w14:textId="79C36FDA" w:rsidR="009B7EBB" w:rsidRPr="009B7EBB" w:rsidRDefault="004E3E1E" w:rsidP="00B53217">
      <w:pPr>
        <w:autoSpaceDE w:val="0"/>
        <w:autoSpaceDN w:val="0"/>
        <w:adjustRightInd w:val="0"/>
        <w:spacing w:after="0" w:line="240" w:lineRule="auto"/>
        <w:jc w:val="both"/>
        <w:rPr>
          <w:rFonts w:cstheme="minorHAnsi"/>
          <w:color w:val="000000"/>
        </w:rPr>
      </w:pPr>
      <w:r w:rsidRPr="00B53217">
        <w:rPr>
          <w:rFonts w:cstheme="minorHAnsi"/>
        </w:rPr>
        <w:t>Prvi kazalec</w:t>
      </w:r>
      <w:r w:rsidR="000A0790" w:rsidRPr="000A0790">
        <w:t xml:space="preserve"> </w:t>
      </w:r>
      <w:r w:rsidR="000A0790" w:rsidRPr="000A0790">
        <w:rPr>
          <w:i/>
        </w:rPr>
        <w:t>Finančne spodbude za URE in OVE v industriji ne-ETS</w:t>
      </w:r>
      <w:r w:rsidRPr="00B53217">
        <w:rPr>
          <w:rFonts w:cstheme="minorHAnsi"/>
          <w:sz w:val="14"/>
          <w:szCs w:val="14"/>
        </w:rPr>
        <w:t xml:space="preserve"> </w:t>
      </w:r>
      <w:r w:rsidRPr="00B53217">
        <w:rPr>
          <w:rFonts w:cstheme="minorHAnsi"/>
        </w:rPr>
        <w:t xml:space="preserve">opisuje znesek nepovratnih sredstev, ki so namenjena industriji ne-ETS za izvajanje ukrepov URE in izrabe OVE v okviru različnih programov. </w:t>
      </w:r>
      <w:r w:rsidR="009B7EBB" w:rsidRPr="00B53217">
        <w:rPr>
          <w:rFonts w:cstheme="minorHAnsi"/>
        </w:rPr>
        <w:t>N</w:t>
      </w:r>
      <w:r w:rsidR="009B7EBB" w:rsidRPr="009B7EBB">
        <w:rPr>
          <w:rFonts w:cstheme="minorHAnsi"/>
          <w:color w:val="000000"/>
        </w:rPr>
        <w:t xml:space="preserve">a razpolago </w:t>
      </w:r>
      <w:r w:rsidR="009B7EBB" w:rsidRPr="00B53217">
        <w:rPr>
          <w:rFonts w:cstheme="minorHAnsi"/>
          <w:color w:val="000000"/>
        </w:rPr>
        <w:t xml:space="preserve">so </w:t>
      </w:r>
      <w:r w:rsidR="009B7EBB" w:rsidRPr="009B7EBB">
        <w:rPr>
          <w:rFonts w:cstheme="minorHAnsi"/>
          <w:color w:val="000000"/>
        </w:rPr>
        <w:t>spodbude Eko sklada in evropska sredstva iz Kohezijskega sklada</w:t>
      </w:r>
      <w:r w:rsidR="009B7EBB" w:rsidRPr="00B53217">
        <w:rPr>
          <w:rFonts w:cstheme="minorHAnsi"/>
          <w:color w:val="000000"/>
        </w:rPr>
        <w:t xml:space="preserve">. </w:t>
      </w:r>
      <w:r w:rsidRPr="004E3E1E">
        <w:rPr>
          <w:rFonts w:cstheme="minorHAnsi"/>
          <w:color w:val="000000"/>
        </w:rPr>
        <w:t>Vrednosti nepovratnih spodbud</w:t>
      </w:r>
      <w:r w:rsidR="00B75393" w:rsidRPr="00B53217">
        <w:rPr>
          <w:rFonts w:cstheme="minorHAnsi"/>
          <w:color w:val="000000"/>
        </w:rPr>
        <w:t xml:space="preserve"> </w:t>
      </w:r>
      <w:r w:rsidRPr="004E3E1E">
        <w:rPr>
          <w:rFonts w:cstheme="minorHAnsi"/>
          <w:color w:val="000000"/>
        </w:rPr>
        <w:t xml:space="preserve">za leto 2017 ni bilo mogoče oceniti, saj so </w:t>
      </w:r>
      <w:r w:rsidRPr="00B53217">
        <w:rPr>
          <w:rFonts w:cstheme="minorHAnsi"/>
          <w:color w:val="000000"/>
        </w:rPr>
        <w:t xml:space="preserve">bili </w:t>
      </w:r>
      <w:r w:rsidRPr="004E3E1E">
        <w:rPr>
          <w:rFonts w:cstheme="minorHAnsi"/>
          <w:color w:val="000000"/>
        </w:rPr>
        <w:t>razpoložljivi podatki pomanjkljivi in n</w:t>
      </w:r>
      <w:r w:rsidRPr="00B53217">
        <w:rPr>
          <w:rFonts w:cstheme="minorHAnsi"/>
          <w:color w:val="000000"/>
        </w:rPr>
        <w:t>iso</w:t>
      </w:r>
      <w:r w:rsidRPr="004E3E1E">
        <w:rPr>
          <w:rFonts w:cstheme="minorHAnsi"/>
          <w:color w:val="000000"/>
        </w:rPr>
        <w:t xml:space="preserve"> odraža</w:t>
      </w:r>
      <w:r w:rsidRPr="00B53217">
        <w:rPr>
          <w:rFonts w:cstheme="minorHAnsi"/>
          <w:color w:val="000000"/>
        </w:rPr>
        <w:t>li</w:t>
      </w:r>
      <w:r w:rsidRPr="004E3E1E">
        <w:rPr>
          <w:rFonts w:cstheme="minorHAnsi"/>
          <w:color w:val="000000"/>
        </w:rPr>
        <w:t xml:space="preserve"> dejanskega stanja ali pa so </w:t>
      </w:r>
      <w:r w:rsidRPr="00B53217">
        <w:rPr>
          <w:rFonts w:cstheme="minorHAnsi"/>
          <w:color w:val="000000"/>
        </w:rPr>
        <w:t xml:space="preserve">bili </w:t>
      </w:r>
      <w:r w:rsidRPr="004E3E1E">
        <w:rPr>
          <w:rFonts w:cstheme="minorHAnsi"/>
          <w:color w:val="000000"/>
        </w:rPr>
        <w:t>projekti, ki so predmet spodbud, še v izvajanju.</w:t>
      </w:r>
      <w:r w:rsidR="009B7EBB" w:rsidRPr="00B53217">
        <w:rPr>
          <w:rFonts w:cstheme="minorHAnsi"/>
          <w:color w:val="000000"/>
        </w:rPr>
        <w:t xml:space="preserve"> V letu 2018 je </w:t>
      </w:r>
      <w:r w:rsidR="009B7EBB" w:rsidRPr="009B7EBB">
        <w:rPr>
          <w:rFonts w:cstheme="minorHAnsi"/>
          <w:color w:val="000000"/>
        </w:rPr>
        <w:t xml:space="preserve">Eko sklad </w:t>
      </w:r>
      <w:r w:rsidR="00B53217" w:rsidRPr="00B53217">
        <w:rPr>
          <w:rFonts w:cstheme="minorHAnsi"/>
          <w:color w:val="000000"/>
        </w:rPr>
        <w:t>ra</w:t>
      </w:r>
      <w:r w:rsidR="009B7EBB" w:rsidRPr="00B53217">
        <w:rPr>
          <w:rFonts w:cstheme="minorHAnsi"/>
          <w:color w:val="000000"/>
        </w:rPr>
        <w:t>zpisal n</w:t>
      </w:r>
      <w:r w:rsidR="009B7EBB" w:rsidRPr="009B7EBB">
        <w:rPr>
          <w:rFonts w:cstheme="minorHAnsi"/>
          <w:color w:val="000000"/>
        </w:rPr>
        <w:t xml:space="preserve">epovratna sredstva </w:t>
      </w:r>
      <w:r w:rsidR="00D95988">
        <w:rPr>
          <w:rFonts w:cstheme="minorHAnsi"/>
          <w:color w:val="000000"/>
        </w:rPr>
        <w:t>v višini dobri</w:t>
      </w:r>
      <w:r w:rsidR="00B53217" w:rsidRPr="00B53217">
        <w:rPr>
          <w:rFonts w:cstheme="minorHAnsi"/>
          <w:color w:val="000000"/>
        </w:rPr>
        <w:t xml:space="preserve">h 46.000 €. </w:t>
      </w:r>
      <w:r w:rsidR="009B7EBB" w:rsidRPr="009B7EBB">
        <w:rPr>
          <w:rFonts w:cstheme="minorHAnsi"/>
          <w:color w:val="000000"/>
        </w:rPr>
        <w:t>Projekti, ki so sofinancirani v okviru OP EKP, niso pripravljeni tako, da bi omogočali spremljanje neposredno doseženih učinkov za doseganje podnebnih ciljev</w:t>
      </w:r>
      <w:r w:rsidR="00F85599">
        <w:rPr>
          <w:rFonts w:cstheme="minorHAnsi"/>
          <w:color w:val="000000"/>
        </w:rPr>
        <w:t>.</w:t>
      </w:r>
    </w:p>
    <w:p w14:paraId="0179629D" w14:textId="77777777" w:rsidR="00136BA3" w:rsidRPr="00472C4D" w:rsidRDefault="00136BA3" w:rsidP="00136BA3">
      <w:pPr>
        <w:spacing w:after="0" w:line="240" w:lineRule="auto"/>
        <w:jc w:val="both"/>
        <w:rPr>
          <w:rFonts w:ascii="Calibri" w:hAnsi="Calibri" w:cs="Calibri"/>
        </w:rPr>
      </w:pPr>
    </w:p>
    <w:p w14:paraId="5B34BCFD" w14:textId="1B044841" w:rsidR="00F85599" w:rsidRPr="00F85599" w:rsidRDefault="00F85599" w:rsidP="008911D1">
      <w:pPr>
        <w:spacing w:after="0" w:line="240" w:lineRule="auto"/>
        <w:jc w:val="both"/>
        <w:rPr>
          <w:rFonts w:ascii="Arial" w:hAnsi="Arial" w:cs="Arial"/>
          <w:color w:val="000000"/>
        </w:rPr>
      </w:pPr>
      <w:r>
        <w:rPr>
          <w:rFonts w:ascii="Calibri" w:hAnsi="Calibri" w:cs="Calibri"/>
        </w:rPr>
        <w:t xml:space="preserve">Delež OVE v rabi goriv se je v obdobju 2010-2018 zmanjšal, in sicer za 6 %. </w:t>
      </w:r>
      <w:r w:rsidR="00136BA3" w:rsidRPr="00472C4D">
        <w:rPr>
          <w:rFonts w:ascii="Calibri" w:hAnsi="Calibri" w:cs="Calibri"/>
        </w:rPr>
        <w:t xml:space="preserve">V letu 2017 je delež OVE v rabi goriv znašal </w:t>
      </w:r>
      <w:r w:rsidR="00136BA3" w:rsidRPr="00737351">
        <w:rPr>
          <w:rFonts w:ascii="Calibri" w:hAnsi="Calibri" w:cs="Calibri"/>
        </w:rPr>
        <w:t>18,7 %,</w:t>
      </w:r>
      <w:r w:rsidR="00136BA3" w:rsidRPr="00472C4D">
        <w:rPr>
          <w:rFonts w:ascii="Calibri" w:hAnsi="Calibri" w:cs="Calibri"/>
        </w:rPr>
        <w:t xml:space="preserve"> </w:t>
      </w:r>
      <w:r>
        <w:rPr>
          <w:rFonts w:ascii="Calibri" w:hAnsi="Calibri" w:cs="Calibri"/>
        </w:rPr>
        <w:t xml:space="preserve">v letu 2018 pa 16,4 %, s čimer je za indikativno ciljno vrednostjo zaostajal za 3,6 odstotne točke. </w:t>
      </w:r>
      <w:r w:rsidRPr="00F85599">
        <w:rPr>
          <w:rFonts w:cstheme="minorHAnsi"/>
          <w:color w:val="000000"/>
        </w:rPr>
        <w:t xml:space="preserve">Vzrok zmanjšanja je </w:t>
      </w:r>
      <w:r w:rsidR="008911D1" w:rsidRPr="008911D1">
        <w:rPr>
          <w:rFonts w:cstheme="minorHAnsi"/>
          <w:color w:val="000000"/>
        </w:rPr>
        <w:t>iskati v</w:t>
      </w:r>
      <w:r w:rsidRPr="00F85599">
        <w:rPr>
          <w:rFonts w:cstheme="minorHAnsi"/>
          <w:color w:val="000000"/>
        </w:rPr>
        <w:t xml:space="preserve"> povečanj</w:t>
      </w:r>
      <w:r w:rsidR="008911D1" w:rsidRPr="008911D1">
        <w:rPr>
          <w:rFonts w:cstheme="minorHAnsi"/>
          <w:color w:val="000000"/>
        </w:rPr>
        <w:t>u</w:t>
      </w:r>
      <w:r w:rsidRPr="00F85599">
        <w:rPr>
          <w:rFonts w:cstheme="minorHAnsi"/>
          <w:color w:val="000000"/>
        </w:rPr>
        <w:t xml:space="preserve"> rabe goriv za skoraj 20 %, kar je posledica izboljšanja energetske statistike za industrijo.</w:t>
      </w:r>
      <w:r w:rsidRPr="00F85599">
        <w:rPr>
          <w:rFonts w:ascii="Arial" w:hAnsi="Arial" w:cs="Arial"/>
          <w:color w:val="000000"/>
        </w:rPr>
        <w:t xml:space="preserve"> </w:t>
      </w:r>
    </w:p>
    <w:p w14:paraId="570BBE5D" w14:textId="77777777" w:rsidR="001F4580" w:rsidRDefault="001F4580" w:rsidP="00B85263">
      <w:pPr>
        <w:spacing w:after="0" w:line="240" w:lineRule="auto"/>
        <w:jc w:val="both"/>
        <w:rPr>
          <w:rFonts w:ascii="Calibri" w:hAnsi="Calibri" w:cs="Calibri"/>
        </w:rPr>
      </w:pPr>
    </w:p>
    <w:p w14:paraId="6E02F107" w14:textId="17012CDD" w:rsidR="00B85263" w:rsidRDefault="00B85263" w:rsidP="00B85263">
      <w:pPr>
        <w:spacing w:after="0" w:line="240" w:lineRule="auto"/>
        <w:jc w:val="both"/>
        <w:rPr>
          <w:rFonts w:ascii="Calibri" w:hAnsi="Calibri" w:cs="Calibri"/>
        </w:rPr>
      </w:pPr>
      <w:r w:rsidRPr="00472C4D">
        <w:rPr>
          <w:rFonts w:ascii="Calibri" w:hAnsi="Calibri" w:cs="Calibri"/>
        </w:rPr>
        <w:t xml:space="preserve">Emisije F-plinov zaradi puščanja iz naprav </w:t>
      </w:r>
      <w:r>
        <w:rPr>
          <w:rFonts w:ascii="Calibri" w:hAnsi="Calibri" w:cs="Calibri"/>
        </w:rPr>
        <w:t>so se, po povečevanju v obdobju 2014-2016, začele zmanjševati. V letu</w:t>
      </w:r>
      <w:r w:rsidRPr="00472C4D">
        <w:rPr>
          <w:rFonts w:ascii="Calibri" w:hAnsi="Calibri" w:cs="Calibri"/>
        </w:rPr>
        <w:t xml:space="preserve"> 2017 </w:t>
      </w:r>
      <w:r>
        <w:rPr>
          <w:rFonts w:ascii="Calibri" w:hAnsi="Calibri" w:cs="Calibri"/>
        </w:rPr>
        <w:t xml:space="preserve">so se </w:t>
      </w:r>
      <w:r w:rsidRPr="00472C4D">
        <w:rPr>
          <w:rFonts w:ascii="Calibri" w:hAnsi="Calibri" w:cs="Calibri"/>
        </w:rPr>
        <w:t>zmanjšale za 9 %</w:t>
      </w:r>
      <w:r>
        <w:rPr>
          <w:rFonts w:ascii="Calibri" w:hAnsi="Calibri" w:cs="Calibri"/>
        </w:rPr>
        <w:t>, v letu 2018 za 20 %</w:t>
      </w:r>
      <w:r w:rsidRPr="00472C4D">
        <w:rPr>
          <w:rFonts w:ascii="Calibri" w:hAnsi="Calibri" w:cs="Calibri"/>
        </w:rPr>
        <w:t>.</w:t>
      </w:r>
      <w:r>
        <w:rPr>
          <w:rFonts w:ascii="Calibri" w:hAnsi="Calibri" w:cs="Calibri"/>
        </w:rPr>
        <w:t xml:space="preserve"> Pričakovano je nadaljnje zmanjševanje kot posledica intenzivnejšega omejevanja F-plinov na EU trgu.</w:t>
      </w:r>
      <w:r w:rsidRPr="00472C4D">
        <w:rPr>
          <w:rFonts w:ascii="Calibri" w:hAnsi="Calibri" w:cs="Calibri"/>
        </w:rPr>
        <w:t xml:space="preserve"> </w:t>
      </w:r>
    </w:p>
    <w:p w14:paraId="2BE2DA2A" w14:textId="77777777" w:rsidR="004F3E92" w:rsidRDefault="004F3E92" w:rsidP="00B85263">
      <w:pPr>
        <w:spacing w:after="0" w:line="240" w:lineRule="auto"/>
        <w:jc w:val="both"/>
        <w:rPr>
          <w:rFonts w:ascii="Calibri" w:hAnsi="Calibri" w:cs="Calibri"/>
        </w:rPr>
      </w:pPr>
    </w:p>
    <w:p w14:paraId="38D837DA" w14:textId="77777777" w:rsidR="004F3E92" w:rsidRDefault="004F3E92" w:rsidP="00B85263">
      <w:pPr>
        <w:spacing w:after="0" w:line="240" w:lineRule="auto"/>
        <w:jc w:val="both"/>
        <w:rPr>
          <w:rFonts w:ascii="Calibri" w:hAnsi="Calibri" w:cs="Calibri"/>
        </w:rPr>
      </w:pPr>
    </w:p>
    <w:p w14:paraId="59E381AE" w14:textId="77777777" w:rsidR="004F3E92" w:rsidRDefault="004F3E92" w:rsidP="00B85263">
      <w:pPr>
        <w:spacing w:after="0" w:line="240" w:lineRule="auto"/>
        <w:jc w:val="both"/>
        <w:rPr>
          <w:rFonts w:ascii="Calibri" w:hAnsi="Calibri" w:cs="Calibri"/>
        </w:rPr>
      </w:pPr>
    </w:p>
    <w:p w14:paraId="07F2E81A" w14:textId="77777777" w:rsidR="004F3E92" w:rsidRDefault="004F3E92" w:rsidP="00B85263">
      <w:pPr>
        <w:spacing w:after="0" w:line="240" w:lineRule="auto"/>
        <w:jc w:val="both"/>
        <w:rPr>
          <w:rFonts w:ascii="Calibri" w:hAnsi="Calibri" w:cs="Calibri"/>
        </w:rPr>
      </w:pPr>
    </w:p>
    <w:p w14:paraId="0CBED28A" w14:textId="77777777" w:rsidR="004F3E92" w:rsidRDefault="004F3E92" w:rsidP="00B85263">
      <w:pPr>
        <w:spacing w:after="0" w:line="240" w:lineRule="auto"/>
        <w:jc w:val="both"/>
        <w:rPr>
          <w:rFonts w:ascii="Calibri" w:hAnsi="Calibri" w:cs="Calibri"/>
        </w:rPr>
      </w:pPr>
    </w:p>
    <w:p w14:paraId="0F9FA83D" w14:textId="77777777" w:rsidR="004F3E92" w:rsidRDefault="004F3E92" w:rsidP="00B85263">
      <w:pPr>
        <w:spacing w:after="0" w:line="240" w:lineRule="auto"/>
        <w:jc w:val="both"/>
        <w:rPr>
          <w:rFonts w:ascii="Calibri" w:hAnsi="Calibri" w:cs="Calibri"/>
        </w:rPr>
      </w:pPr>
    </w:p>
    <w:p w14:paraId="3D5682B3" w14:textId="77777777" w:rsidR="00136BA3" w:rsidRPr="00472C4D" w:rsidRDefault="00136BA3" w:rsidP="00136BA3">
      <w:pPr>
        <w:spacing w:after="0" w:line="240" w:lineRule="auto"/>
        <w:jc w:val="both"/>
        <w:rPr>
          <w:rFonts w:ascii="Calibri" w:hAnsi="Calibri" w:cs="Calibri"/>
        </w:rPr>
      </w:pPr>
    </w:p>
    <w:p w14:paraId="0017F910" w14:textId="798E9FD9" w:rsidR="000D5373" w:rsidRDefault="000D5373" w:rsidP="000D5373">
      <w:pPr>
        <w:spacing w:after="0" w:line="240" w:lineRule="auto"/>
        <w:jc w:val="both"/>
        <w:rPr>
          <w:rFonts w:ascii="Calibri" w:hAnsi="Calibri" w:cs="Calibri"/>
          <w:b/>
          <w:bCs/>
        </w:rPr>
      </w:pPr>
      <w:r>
        <w:rPr>
          <w:rFonts w:ascii="Calibri" w:hAnsi="Calibri" w:cs="Calibri"/>
          <w:b/>
          <w:bCs/>
        </w:rPr>
        <w:lastRenderedPageBreak/>
        <w:t>3</w:t>
      </w:r>
      <w:r w:rsidRPr="00472C4D">
        <w:rPr>
          <w:rFonts w:ascii="Calibri" w:hAnsi="Calibri" w:cs="Calibri"/>
          <w:b/>
          <w:bCs/>
        </w:rPr>
        <w:t>.</w:t>
      </w:r>
      <w:r w:rsidR="00AF24A8">
        <w:rPr>
          <w:rFonts w:ascii="Calibri" w:hAnsi="Calibri" w:cs="Calibri"/>
          <w:b/>
          <w:bCs/>
        </w:rPr>
        <w:t>5</w:t>
      </w:r>
      <w:r w:rsidRPr="00472C4D">
        <w:rPr>
          <w:rFonts w:ascii="Calibri" w:hAnsi="Calibri" w:cs="Calibri"/>
          <w:b/>
          <w:bCs/>
        </w:rPr>
        <w:t xml:space="preserve"> Odpadki</w:t>
      </w:r>
    </w:p>
    <w:p w14:paraId="7348D784" w14:textId="77777777" w:rsidR="000D5373" w:rsidRPr="00472C4D" w:rsidRDefault="000D5373" w:rsidP="000D5373">
      <w:pPr>
        <w:spacing w:after="0" w:line="240" w:lineRule="auto"/>
        <w:jc w:val="both"/>
        <w:rPr>
          <w:rFonts w:ascii="Calibri" w:hAnsi="Calibri" w:cs="Calibri"/>
          <w:b/>
          <w:bCs/>
        </w:rPr>
      </w:pPr>
    </w:p>
    <w:tbl>
      <w:tblPr>
        <w:tblStyle w:val="Tabelamrea"/>
        <w:tblW w:w="0" w:type="auto"/>
        <w:tblLook w:val="04A0" w:firstRow="1" w:lastRow="0" w:firstColumn="1" w:lastColumn="0" w:noHBand="0" w:noVBand="1"/>
      </w:tblPr>
      <w:tblGrid>
        <w:gridCol w:w="7763"/>
        <w:gridCol w:w="709"/>
        <w:gridCol w:w="694"/>
      </w:tblGrid>
      <w:tr w:rsidR="000D5373" w14:paraId="53A17C72" w14:textId="77777777" w:rsidTr="00BE139F">
        <w:tc>
          <w:tcPr>
            <w:tcW w:w="7763" w:type="dxa"/>
          </w:tcPr>
          <w:p w14:paraId="574BD4F5" w14:textId="77777777" w:rsidR="000D5373" w:rsidRDefault="000D5373" w:rsidP="00BE139F">
            <w:pPr>
              <w:jc w:val="both"/>
              <w:rPr>
                <w:rFonts w:ascii="Calibri" w:hAnsi="Calibri" w:cs="Calibri"/>
              </w:rPr>
            </w:pPr>
            <w:r>
              <w:rPr>
                <w:rFonts w:ascii="Calibri" w:hAnsi="Calibri" w:cs="Calibri"/>
                <w:b/>
              </w:rPr>
              <w:t>Doseganje ciljev OP TGP 2020 se spremlja s kazalci:</w:t>
            </w:r>
          </w:p>
        </w:tc>
        <w:tc>
          <w:tcPr>
            <w:tcW w:w="709" w:type="dxa"/>
          </w:tcPr>
          <w:p w14:paraId="1335A841" w14:textId="77777777" w:rsidR="000D5373" w:rsidRPr="000D5373" w:rsidRDefault="000D5373" w:rsidP="00BE139F">
            <w:pPr>
              <w:jc w:val="center"/>
              <w:rPr>
                <w:rFonts w:ascii="Calibri" w:hAnsi="Calibri" w:cs="Calibri"/>
                <w:b/>
              </w:rPr>
            </w:pPr>
            <w:r w:rsidRPr="000D5373">
              <w:rPr>
                <w:rFonts w:ascii="Calibri" w:hAnsi="Calibri" w:cs="Calibri"/>
                <w:b/>
              </w:rPr>
              <w:t>2017</w:t>
            </w:r>
          </w:p>
        </w:tc>
        <w:tc>
          <w:tcPr>
            <w:tcW w:w="694" w:type="dxa"/>
          </w:tcPr>
          <w:p w14:paraId="0C8489A7" w14:textId="77777777" w:rsidR="000D5373" w:rsidRPr="000D5373" w:rsidRDefault="000D5373" w:rsidP="00BE139F">
            <w:pPr>
              <w:jc w:val="center"/>
              <w:rPr>
                <w:rFonts w:ascii="Calibri" w:hAnsi="Calibri" w:cs="Calibri"/>
                <w:b/>
              </w:rPr>
            </w:pPr>
            <w:r w:rsidRPr="000D5373">
              <w:rPr>
                <w:rFonts w:ascii="Calibri" w:hAnsi="Calibri" w:cs="Calibri"/>
                <w:b/>
              </w:rPr>
              <w:t>2018</w:t>
            </w:r>
          </w:p>
        </w:tc>
      </w:tr>
      <w:tr w:rsidR="000D5373" w14:paraId="61D9957D" w14:textId="77777777" w:rsidTr="004675F0">
        <w:tc>
          <w:tcPr>
            <w:tcW w:w="7763" w:type="dxa"/>
          </w:tcPr>
          <w:p w14:paraId="753004C4" w14:textId="77777777" w:rsidR="000D5373" w:rsidRDefault="000D5373" w:rsidP="00BE139F">
            <w:pPr>
              <w:jc w:val="both"/>
              <w:rPr>
                <w:rFonts w:ascii="Calibri" w:hAnsi="Calibri" w:cs="Calibri"/>
              </w:rPr>
            </w:pPr>
            <w:r>
              <w:t>Količina odloženih biorazgradljivih odpadkov</w:t>
            </w:r>
          </w:p>
        </w:tc>
        <w:tc>
          <w:tcPr>
            <w:tcW w:w="709" w:type="dxa"/>
            <w:shd w:val="clear" w:color="auto" w:fill="92D050"/>
          </w:tcPr>
          <w:p w14:paraId="4E33CDDC" w14:textId="033EC76B" w:rsidR="000D5373" w:rsidRPr="000D5373" w:rsidRDefault="004675F0" w:rsidP="004675F0">
            <w:pPr>
              <w:spacing w:before="20" w:after="20"/>
              <w:jc w:val="center"/>
              <w:rPr>
                <w:rFonts w:ascii="Calibri" w:hAnsi="Calibri" w:cs="Calibri"/>
                <w:b/>
              </w:rPr>
            </w:pPr>
            <w:r w:rsidRPr="004675F0">
              <w:rPr>
                <w:rFonts w:ascii="Calibri" w:hAnsi="Calibri" w:cs="Calibri"/>
                <w:b/>
              </w:rPr>
              <w:sym w:font="Wingdings" w:char="F04A"/>
            </w:r>
          </w:p>
        </w:tc>
        <w:tc>
          <w:tcPr>
            <w:tcW w:w="694" w:type="dxa"/>
            <w:shd w:val="clear" w:color="auto" w:fill="92D050"/>
          </w:tcPr>
          <w:p w14:paraId="346D5819" w14:textId="223CFDA7" w:rsidR="000D5373" w:rsidRPr="000D5373" w:rsidRDefault="004675F0" w:rsidP="004675F0">
            <w:pPr>
              <w:spacing w:before="20" w:after="20"/>
              <w:jc w:val="center"/>
              <w:rPr>
                <w:rFonts w:ascii="Calibri" w:hAnsi="Calibri" w:cs="Calibri"/>
                <w:b/>
              </w:rPr>
            </w:pPr>
            <w:r w:rsidRPr="004675F0">
              <w:rPr>
                <w:rFonts w:ascii="Calibri" w:hAnsi="Calibri" w:cs="Calibri"/>
                <w:b/>
              </w:rPr>
              <w:sym w:font="Wingdings" w:char="F04A"/>
            </w:r>
          </w:p>
        </w:tc>
      </w:tr>
    </w:tbl>
    <w:p w14:paraId="32BA799C" w14:textId="5AC76194" w:rsidR="000D5373" w:rsidRDefault="000D5373" w:rsidP="000D5373">
      <w:pPr>
        <w:spacing w:after="0" w:line="240" w:lineRule="auto"/>
        <w:jc w:val="both"/>
        <w:rPr>
          <w:rFonts w:ascii="Calibri" w:hAnsi="Calibri" w:cs="Calibri"/>
        </w:rPr>
      </w:pPr>
    </w:p>
    <w:p w14:paraId="2DF758C3" w14:textId="78D19224" w:rsidR="00D01A0D" w:rsidRDefault="001157B5" w:rsidP="000D5373">
      <w:pPr>
        <w:spacing w:after="0" w:line="240" w:lineRule="auto"/>
        <w:jc w:val="both"/>
        <w:rPr>
          <w:rFonts w:ascii="Calibri" w:hAnsi="Calibri" w:cs="Calibri"/>
        </w:rPr>
      </w:pPr>
      <w:r>
        <w:t xml:space="preserve">Količina odloženih biorazgradljivih odpadkov je bila v letih 2016 in 2017 občutno nižja kot leta prej. </w:t>
      </w:r>
      <w:r w:rsidR="00D01A0D">
        <w:rPr>
          <w:rFonts w:ascii="Calibri" w:hAnsi="Calibri" w:cs="Calibri"/>
        </w:rPr>
        <w:t>V letu 2018 odloženih biorazgradljivih odpadkov skoraj ni bilo</w:t>
      </w:r>
      <w:r w:rsidR="00D84372">
        <w:rPr>
          <w:rFonts w:ascii="Calibri" w:hAnsi="Calibri" w:cs="Calibri"/>
        </w:rPr>
        <w:t>. Zmanjšanje</w:t>
      </w:r>
      <w:r w:rsidR="00D01A0D">
        <w:rPr>
          <w:rFonts w:ascii="Calibri" w:hAnsi="Calibri" w:cs="Calibri"/>
        </w:rPr>
        <w:t xml:space="preserve"> je posledica ločenega zbiranja odpadkov in izgradnje sistemov za mehansko biološko obdelavo mešanih komunalnih odpadkov pred odlaganjem.</w:t>
      </w:r>
    </w:p>
    <w:p w14:paraId="3788523C" w14:textId="77777777" w:rsidR="00874585" w:rsidRDefault="00874585" w:rsidP="000D5373">
      <w:pPr>
        <w:spacing w:after="0" w:line="240" w:lineRule="auto"/>
        <w:jc w:val="both"/>
        <w:rPr>
          <w:rFonts w:ascii="Calibri" w:hAnsi="Calibri" w:cs="Calibri"/>
        </w:rPr>
      </w:pPr>
    </w:p>
    <w:p w14:paraId="1AE06EC2" w14:textId="77777777" w:rsidR="000259A3" w:rsidRPr="00472C4D" w:rsidRDefault="000259A3" w:rsidP="000D5373">
      <w:pPr>
        <w:spacing w:after="0" w:line="240" w:lineRule="auto"/>
        <w:jc w:val="both"/>
        <w:rPr>
          <w:rFonts w:ascii="Calibri" w:hAnsi="Calibri" w:cs="Calibri"/>
        </w:rPr>
      </w:pPr>
    </w:p>
    <w:p w14:paraId="1A03EBD6" w14:textId="15D39FB6" w:rsidR="000A4838" w:rsidRDefault="00BE139F" w:rsidP="00C52E4C">
      <w:pPr>
        <w:spacing w:after="0" w:line="240" w:lineRule="auto"/>
        <w:jc w:val="both"/>
        <w:rPr>
          <w:rFonts w:ascii="Calibri" w:hAnsi="Calibri" w:cs="Calibri"/>
          <w:b/>
        </w:rPr>
      </w:pPr>
      <w:r w:rsidRPr="00BE139F">
        <w:rPr>
          <w:rFonts w:ascii="Calibri" w:hAnsi="Calibri" w:cs="Calibri"/>
          <w:b/>
        </w:rPr>
        <w:t>3.</w:t>
      </w:r>
      <w:r w:rsidR="00AF24A8">
        <w:rPr>
          <w:rFonts w:ascii="Calibri" w:hAnsi="Calibri" w:cs="Calibri"/>
          <w:b/>
        </w:rPr>
        <w:t>6</w:t>
      </w:r>
      <w:r w:rsidRPr="00BE139F">
        <w:rPr>
          <w:rFonts w:ascii="Calibri" w:hAnsi="Calibri" w:cs="Calibri"/>
          <w:b/>
        </w:rPr>
        <w:t xml:space="preserve"> Zelena gospodarska rast</w:t>
      </w:r>
    </w:p>
    <w:p w14:paraId="4FD97232" w14:textId="77777777" w:rsidR="00BE139F" w:rsidRDefault="00BE139F" w:rsidP="00C52E4C">
      <w:pPr>
        <w:spacing w:after="0" w:line="240" w:lineRule="auto"/>
        <w:jc w:val="both"/>
        <w:rPr>
          <w:rFonts w:ascii="Calibri" w:hAnsi="Calibri" w:cs="Calibri"/>
          <w:b/>
        </w:rPr>
      </w:pPr>
    </w:p>
    <w:tbl>
      <w:tblPr>
        <w:tblStyle w:val="Tabelamrea"/>
        <w:tblW w:w="0" w:type="auto"/>
        <w:tblLook w:val="04A0" w:firstRow="1" w:lastRow="0" w:firstColumn="1" w:lastColumn="0" w:noHBand="0" w:noVBand="1"/>
      </w:tblPr>
      <w:tblGrid>
        <w:gridCol w:w="7916"/>
        <w:gridCol w:w="663"/>
        <w:gridCol w:w="663"/>
      </w:tblGrid>
      <w:tr w:rsidR="00BE139F" w14:paraId="35DA34C3" w14:textId="77777777" w:rsidTr="00BE139F">
        <w:tc>
          <w:tcPr>
            <w:tcW w:w="7916" w:type="dxa"/>
          </w:tcPr>
          <w:p w14:paraId="3FC2BCE4" w14:textId="77777777" w:rsidR="00BE139F" w:rsidRDefault="00BE139F" w:rsidP="00BE139F">
            <w:pPr>
              <w:jc w:val="both"/>
              <w:rPr>
                <w:rFonts w:ascii="Calibri" w:hAnsi="Calibri" w:cs="Calibri"/>
              </w:rPr>
            </w:pPr>
            <w:r>
              <w:rPr>
                <w:rFonts w:ascii="Calibri" w:hAnsi="Calibri" w:cs="Calibri"/>
                <w:b/>
              </w:rPr>
              <w:t>Doseganje ciljev OP TGP 2020 se spremlja s kazalci:</w:t>
            </w:r>
          </w:p>
        </w:tc>
        <w:tc>
          <w:tcPr>
            <w:tcW w:w="663" w:type="dxa"/>
          </w:tcPr>
          <w:p w14:paraId="2CD54EDF" w14:textId="77777777" w:rsidR="00BE139F" w:rsidRPr="00CA52FA" w:rsidRDefault="00BE139F" w:rsidP="00BE139F">
            <w:pPr>
              <w:jc w:val="center"/>
              <w:rPr>
                <w:rFonts w:ascii="Calibri" w:hAnsi="Calibri" w:cs="Calibri"/>
                <w:b/>
              </w:rPr>
            </w:pPr>
            <w:r w:rsidRPr="00CA52FA">
              <w:rPr>
                <w:rFonts w:ascii="Calibri" w:hAnsi="Calibri" w:cs="Calibri"/>
                <w:b/>
              </w:rPr>
              <w:t>2017</w:t>
            </w:r>
          </w:p>
        </w:tc>
        <w:tc>
          <w:tcPr>
            <w:tcW w:w="663" w:type="dxa"/>
          </w:tcPr>
          <w:p w14:paraId="0E3F84E6" w14:textId="77777777" w:rsidR="00BE139F" w:rsidRPr="00CA52FA" w:rsidRDefault="00BE139F" w:rsidP="00BE139F">
            <w:pPr>
              <w:jc w:val="center"/>
              <w:rPr>
                <w:rFonts w:ascii="Calibri" w:hAnsi="Calibri" w:cs="Calibri"/>
                <w:b/>
              </w:rPr>
            </w:pPr>
            <w:r w:rsidRPr="00CA52FA">
              <w:rPr>
                <w:rFonts w:ascii="Calibri" w:hAnsi="Calibri" w:cs="Calibri"/>
                <w:b/>
              </w:rPr>
              <w:t>2018</w:t>
            </w:r>
          </w:p>
        </w:tc>
      </w:tr>
      <w:tr w:rsidR="00BE139F" w14:paraId="0117D53E" w14:textId="77777777" w:rsidTr="00BE139F">
        <w:tc>
          <w:tcPr>
            <w:tcW w:w="7916" w:type="dxa"/>
          </w:tcPr>
          <w:p w14:paraId="0F26E214" w14:textId="2FE963CE" w:rsidR="00BE139F" w:rsidRDefault="00BE139F" w:rsidP="00BE139F">
            <w:pPr>
              <w:jc w:val="both"/>
              <w:rPr>
                <w:rFonts w:ascii="Calibri" w:hAnsi="Calibri" w:cs="Calibri"/>
              </w:rPr>
            </w:pPr>
            <w:r>
              <w:t>Emisijska produktivnost</w:t>
            </w:r>
          </w:p>
        </w:tc>
        <w:tc>
          <w:tcPr>
            <w:tcW w:w="663" w:type="dxa"/>
            <w:shd w:val="clear" w:color="auto" w:fill="FFC000"/>
          </w:tcPr>
          <w:p w14:paraId="61BBC672" w14:textId="77777777" w:rsidR="00BE139F" w:rsidRPr="00CA52FA" w:rsidRDefault="00BE139F" w:rsidP="00BE139F">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7BB8F18E" w14:textId="77777777" w:rsidR="00BE139F" w:rsidRPr="00CA52FA" w:rsidRDefault="00BE139F" w:rsidP="00BE139F">
            <w:pPr>
              <w:spacing w:before="20" w:after="20"/>
              <w:jc w:val="center"/>
              <w:rPr>
                <w:rFonts w:ascii="Calibri" w:hAnsi="Calibri" w:cs="Calibri"/>
                <w:b/>
              </w:rPr>
            </w:pPr>
            <w:r w:rsidRPr="007B3ED0">
              <w:rPr>
                <w:rFonts w:ascii="Calibri" w:hAnsi="Calibri" w:cs="Calibri"/>
                <w:b/>
              </w:rPr>
              <w:sym w:font="Wingdings" w:char="F04B"/>
            </w:r>
          </w:p>
        </w:tc>
      </w:tr>
      <w:tr w:rsidR="00BE139F" w14:paraId="3670E62E" w14:textId="77777777" w:rsidTr="00BE139F">
        <w:tc>
          <w:tcPr>
            <w:tcW w:w="7916" w:type="dxa"/>
          </w:tcPr>
          <w:p w14:paraId="0A5C5A5B" w14:textId="50D37E71" w:rsidR="00BE139F" w:rsidRDefault="00BE139F" w:rsidP="00BE139F">
            <w:pPr>
              <w:jc w:val="both"/>
              <w:rPr>
                <w:rFonts w:ascii="Calibri" w:hAnsi="Calibri" w:cs="Calibri"/>
              </w:rPr>
            </w:pPr>
            <w:r>
              <w:t>Implicitna stopnja obdavčitve energije</w:t>
            </w:r>
          </w:p>
        </w:tc>
        <w:tc>
          <w:tcPr>
            <w:tcW w:w="663" w:type="dxa"/>
            <w:shd w:val="clear" w:color="auto" w:fill="92D050"/>
          </w:tcPr>
          <w:p w14:paraId="14031CB2" w14:textId="5976F07C" w:rsidR="00BE139F" w:rsidRPr="00CA52FA" w:rsidRDefault="00BE139F" w:rsidP="00BE139F">
            <w:pPr>
              <w:spacing w:before="20" w:after="20"/>
              <w:jc w:val="center"/>
              <w:rPr>
                <w:rFonts w:ascii="Calibri" w:hAnsi="Calibri" w:cs="Calibri"/>
                <w:b/>
              </w:rPr>
            </w:pPr>
            <w:r w:rsidRPr="00534DBD">
              <w:rPr>
                <w:rFonts w:ascii="Calibri" w:hAnsi="Calibri" w:cs="Calibri"/>
                <w:b/>
              </w:rPr>
              <w:sym w:font="Wingdings" w:char="F04A"/>
            </w:r>
          </w:p>
        </w:tc>
        <w:tc>
          <w:tcPr>
            <w:tcW w:w="663" w:type="dxa"/>
            <w:shd w:val="clear" w:color="auto" w:fill="92D050"/>
          </w:tcPr>
          <w:p w14:paraId="56708A27" w14:textId="42F4B5AA" w:rsidR="00BE139F" w:rsidRPr="00CA52FA" w:rsidRDefault="00BE139F" w:rsidP="00BE139F">
            <w:pPr>
              <w:spacing w:before="20" w:after="20"/>
              <w:jc w:val="center"/>
              <w:rPr>
                <w:rFonts w:ascii="Calibri" w:hAnsi="Calibri" w:cs="Calibri"/>
                <w:b/>
              </w:rPr>
            </w:pPr>
            <w:r w:rsidRPr="00534DBD">
              <w:rPr>
                <w:rFonts w:ascii="Calibri" w:hAnsi="Calibri" w:cs="Calibri"/>
                <w:b/>
              </w:rPr>
              <w:sym w:font="Wingdings" w:char="F04A"/>
            </w:r>
          </w:p>
        </w:tc>
      </w:tr>
      <w:tr w:rsidR="00BE139F" w14:paraId="2EB40D36" w14:textId="77777777" w:rsidTr="00345253">
        <w:tc>
          <w:tcPr>
            <w:tcW w:w="7916" w:type="dxa"/>
          </w:tcPr>
          <w:p w14:paraId="243B3300" w14:textId="62E46D7F" w:rsidR="00BE139F" w:rsidRDefault="00345253" w:rsidP="00BE139F">
            <w:pPr>
              <w:jc w:val="both"/>
              <w:rPr>
                <w:rFonts w:ascii="Calibri" w:hAnsi="Calibri" w:cs="Calibri"/>
              </w:rPr>
            </w:pPr>
            <w:r>
              <w:t>Spodbude, ki so v nasprotju s cilji zmanjševanja emisij TGP</w:t>
            </w:r>
          </w:p>
        </w:tc>
        <w:tc>
          <w:tcPr>
            <w:tcW w:w="663" w:type="dxa"/>
            <w:shd w:val="clear" w:color="auto" w:fill="FF0000"/>
          </w:tcPr>
          <w:p w14:paraId="0E205AFF" w14:textId="0D02A0C0" w:rsidR="00BE139F" w:rsidRPr="00CA52FA" w:rsidRDefault="00345253" w:rsidP="00BE139F">
            <w:pPr>
              <w:spacing w:before="20" w:after="20"/>
              <w:jc w:val="center"/>
              <w:rPr>
                <w:rFonts w:ascii="Calibri" w:hAnsi="Calibri" w:cs="Calibri"/>
                <w:b/>
              </w:rPr>
            </w:pPr>
            <w:r w:rsidRPr="00345253">
              <w:rPr>
                <w:rFonts w:ascii="Calibri" w:hAnsi="Calibri" w:cs="Calibri"/>
                <w:b/>
              </w:rPr>
              <w:sym w:font="Wingdings" w:char="F04C"/>
            </w:r>
          </w:p>
        </w:tc>
        <w:tc>
          <w:tcPr>
            <w:tcW w:w="663" w:type="dxa"/>
            <w:shd w:val="clear" w:color="auto" w:fill="FF0000"/>
          </w:tcPr>
          <w:p w14:paraId="0A4FB3DE" w14:textId="369826E0" w:rsidR="00BE139F" w:rsidRPr="00CA52FA" w:rsidRDefault="00345253" w:rsidP="00BE139F">
            <w:pPr>
              <w:spacing w:before="20" w:after="20"/>
              <w:jc w:val="center"/>
              <w:rPr>
                <w:rFonts w:ascii="Calibri" w:hAnsi="Calibri" w:cs="Calibri"/>
                <w:b/>
              </w:rPr>
            </w:pPr>
            <w:r w:rsidRPr="00345253">
              <w:rPr>
                <w:rFonts w:ascii="Calibri" w:hAnsi="Calibri" w:cs="Calibri"/>
                <w:b/>
              </w:rPr>
              <w:sym w:font="Wingdings" w:char="F04C"/>
            </w:r>
          </w:p>
        </w:tc>
      </w:tr>
      <w:tr w:rsidR="00345253" w14:paraId="7F0BA131" w14:textId="77777777" w:rsidTr="00345253">
        <w:tc>
          <w:tcPr>
            <w:tcW w:w="7916" w:type="dxa"/>
          </w:tcPr>
          <w:p w14:paraId="4C6BA7FC" w14:textId="0AA548DE" w:rsidR="00345253" w:rsidRDefault="00345253" w:rsidP="00BE139F">
            <w:pPr>
              <w:jc w:val="both"/>
              <w:rPr>
                <w:rFonts w:ascii="Calibri" w:hAnsi="Calibri" w:cs="Calibri"/>
              </w:rPr>
            </w:pPr>
            <w:r>
              <w:t>Zelena delovna mesta</w:t>
            </w:r>
          </w:p>
        </w:tc>
        <w:tc>
          <w:tcPr>
            <w:tcW w:w="663" w:type="dxa"/>
            <w:shd w:val="clear" w:color="auto" w:fill="FFC000"/>
          </w:tcPr>
          <w:p w14:paraId="59184071" w14:textId="1D79C57C" w:rsidR="00345253" w:rsidRPr="00CA52FA" w:rsidRDefault="00345253" w:rsidP="00BE139F">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126D1D59" w14:textId="22E6DC93" w:rsidR="00345253" w:rsidRPr="00CA52FA" w:rsidRDefault="00345253" w:rsidP="00BE139F">
            <w:pPr>
              <w:spacing w:before="20" w:after="20"/>
              <w:jc w:val="center"/>
              <w:rPr>
                <w:rFonts w:ascii="Calibri" w:hAnsi="Calibri" w:cs="Calibri"/>
                <w:b/>
              </w:rPr>
            </w:pPr>
            <w:r w:rsidRPr="007B3ED0">
              <w:rPr>
                <w:rFonts w:ascii="Calibri" w:hAnsi="Calibri" w:cs="Calibri"/>
                <w:b/>
              </w:rPr>
              <w:sym w:font="Wingdings" w:char="F04B"/>
            </w:r>
          </w:p>
        </w:tc>
      </w:tr>
      <w:tr w:rsidR="00345253" w14:paraId="7F69AD31" w14:textId="77777777" w:rsidTr="00345253">
        <w:tc>
          <w:tcPr>
            <w:tcW w:w="7916" w:type="dxa"/>
          </w:tcPr>
          <w:p w14:paraId="7C33C80A" w14:textId="0BA3FA6E" w:rsidR="00345253" w:rsidRDefault="00345253" w:rsidP="00BE139F">
            <w:pPr>
              <w:jc w:val="both"/>
              <w:rPr>
                <w:rFonts w:ascii="Calibri" w:hAnsi="Calibri" w:cs="Calibri"/>
              </w:rPr>
            </w:pPr>
            <w:r>
              <w:t>Spodbujanje eko</w:t>
            </w:r>
            <w:r w:rsidR="00675304">
              <w:t>-</w:t>
            </w:r>
            <w:r>
              <w:t>inovacij za prehod v nizko ogljično družbo</w:t>
            </w:r>
          </w:p>
        </w:tc>
        <w:tc>
          <w:tcPr>
            <w:tcW w:w="663" w:type="dxa"/>
            <w:shd w:val="clear" w:color="auto" w:fill="FFC000"/>
          </w:tcPr>
          <w:p w14:paraId="698E0F8E" w14:textId="74D0206C" w:rsidR="00345253" w:rsidRPr="00CA52FA" w:rsidRDefault="00345253" w:rsidP="00BE139F">
            <w:pPr>
              <w:spacing w:before="20" w:after="20"/>
              <w:jc w:val="center"/>
              <w:rPr>
                <w:rFonts w:ascii="Calibri" w:hAnsi="Calibri" w:cs="Calibri"/>
                <w:b/>
              </w:rPr>
            </w:pPr>
            <w:r w:rsidRPr="007B3ED0">
              <w:rPr>
                <w:rFonts w:ascii="Calibri" w:hAnsi="Calibri" w:cs="Calibri"/>
                <w:b/>
              </w:rPr>
              <w:sym w:font="Wingdings" w:char="F04B"/>
            </w:r>
          </w:p>
        </w:tc>
        <w:tc>
          <w:tcPr>
            <w:tcW w:w="663" w:type="dxa"/>
            <w:shd w:val="clear" w:color="auto" w:fill="FFC000"/>
          </w:tcPr>
          <w:p w14:paraId="09F7B865" w14:textId="054B3503" w:rsidR="00345253" w:rsidRPr="00CA52FA" w:rsidRDefault="00345253" w:rsidP="00BE139F">
            <w:pPr>
              <w:spacing w:before="20" w:after="20"/>
              <w:jc w:val="center"/>
              <w:rPr>
                <w:rFonts w:ascii="Calibri" w:hAnsi="Calibri" w:cs="Calibri"/>
                <w:b/>
              </w:rPr>
            </w:pPr>
            <w:r w:rsidRPr="007B3ED0">
              <w:rPr>
                <w:rFonts w:ascii="Calibri" w:hAnsi="Calibri" w:cs="Calibri"/>
                <w:b/>
              </w:rPr>
              <w:sym w:font="Wingdings" w:char="F04B"/>
            </w:r>
          </w:p>
        </w:tc>
      </w:tr>
    </w:tbl>
    <w:p w14:paraId="2FF47767" w14:textId="77777777" w:rsidR="00621635" w:rsidRDefault="00621635" w:rsidP="00C52E4C">
      <w:pPr>
        <w:spacing w:after="0" w:line="240" w:lineRule="auto"/>
        <w:jc w:val="both"/>
        <w:rPr>
          <w:rFonts w:ascii="Calibri" w:hAnsi="Calibri" w:cs="Calibri"/>
        </w:rPr>
      </w:pPr>
    </w:p>
    <w:p w14:paraId="6B1D35F2" w14:textId="4F28FBFD" w:rsidR="00621635" w:rsidRDefault="007D26E1" w:rsidP="00C52E4C">
      <w:pPr>
        <w:spacing w:after="0" w:line="240" w:lineRule="auto"/>
        <w:jc w:val="both"/>
        <w:rPr>
          <w:rFonts w:ascii="Calibri" w:hAnsi="Calibri" w:cs="Calibri"/>
        </w:rPr>
      </w:pPr>
      <w:r>
        <w:rPr>
          <w:rFonts w:ascii="Calibri" w:hAnsi="Calibri" w:cs="Calibri"/>
        </w:rPr>
        <w:t>Emisijska produktivnost spremlja okoljske učinkovitosti gospodarstva. Izražena je z bruto domačim proizvodom na enoto emisij. Emisijska produktivnost se izboljšuje, a je napredek prepočasen. V let 2017 je znašala 2,31 EUR</w:t>
      </w:r>
      <w:r>
        <w:rPr>
          <w:rFonts w:ascii="Calibri" w:hAnsi="Calibri" w:cs="Calibri"/>
          <w:vertAlign w:val="subscript"/>
        </w:rPr>
        <w:t>2010</w:t>
      </w:r>
      <w:r>
        <w:rPr>
          <w:rFonts w:ascii="Calibri" w:hAnsi="Calibri" w:cs="Calibri"/>
        </w:rPr>
        <w:t>/kg CO</w:t>
      </w:r>
      <w:r>
        <w:rPr>
          <w:rFonts w:ascii="Calibri" w:hAnsi="Calibri" w:cs="Calibri"/>
          <w:vertAlign w:val="subscript"/>
        </w:rPr>
        <w:t>2</w:t>
      </w:r>
      <w:r>
        <w:rPr>
          <w:rFonts w:ascii="Calibri" w:hAnsi="Calibri" w:cs="Calibri"/>
        </w:rPr>
        <w:t xml:space="preserve"> ekv, v letu 2018 2,39 EUR</w:t>
      </w:r>
      <w:r>
        <w:rPr>
          <w:rFonts w:ascii="Calibri" w:hAnsi="Calibri" w:cs="Calibri"/>
          <w:vertAlign w:val="subscript"/>
        </w:rPr>
        <w:t>2010</w:t>
      </w:r>
      <w:r>
        <w:rPr>
          <w:rFonts w:ascii="Calibri" w:hAnsi="Calibri" w:cs="Calibri"/>
        </w:rPr>
        <w:t>/kg CO</w:t>
      </w:r>
      <w:r>
        <w:rPr>
          <w:rFonts w:ascii="Calibri" w:hAnsi="Calibri" w:cs="Calibri"/>
          <w:vertAlign w:val="subscript"/>
        </w:rPr>
        <w:t>2</w:t>
      </w:r>
      <w:r>
        <w:rPr>
          <w:rFonts w:ascii="Calibri" w:hAnsi="Calibri" w:cs="Calibri"/>
        </w:rPr>
        <w:t xml:space="preserve"> ekv. </w:t>
      </w:r>
    </w:p>
    <w:p w14:paraId="7257F4B2" w14:textId="33533E0F" w:rsidR="007D26E1" w:rsidRDefault="007D26E1" w:rsidP="00C52E4C">
      <w:pPr>
        <w:spacing w:after="0" w:line="240" w:lineRule="auto"/>
        <w:jc w:val="both"/>
        <w:rPr>
          <w:rFonts w:ascii="Calibri" w:hAnsi="Calibri" w:cs="Calibri"/>
        </w:rPr>
      </w:pPr>
    </w:p>
    <w:p w14:paraId="2E31B40F" w14:textId="77777777" w:rsidR="007D26E1" w:rsidRDefault="007D26E1" w:rsidP="00C52E4C">
      <w:pPr>
        <w:spacing w:after="0" w:line="240" w:lineRule="auto"/>
        <w:jc w:val="both"/>
        <w:rPr>
          <w:rFonts w:ascii="Calibri" w:hAnsi="Calibri" w:cs="Calibri"/>
        </w:rPr>
      </w:pPr>
      <w:r>
        <w:rPr>
          <w:rFonts w:ascii="Calibri" w:hAnsi="Calibri" w:cs="Calibri"/>
        </w:rPr>
        <w:t>Implicitna stopnja obdavčitve se je nekoliko zmanjšala. V primerjavi z leto 2016 je bila leta 2017 za 0,5 % nižja, leta 2018 pa za dobra 2 %. V letu 2018 je bila po sedmih letih zopet nižja od povprečja EU-28, in sicer za 1 %.</w:t>
      </w:r>
    </w:p>
    <w:p w14:paraId="1F876A44" w14:textId="77777777" w:rsidR="004035E8" w:rsidRDefault="004035E8" w:rsidP="00C52E4C">
      <w:pPr>
        <w:spacing w:after="0" w:line="240" w:lineRule="auto"/>
        <w:jc w:val="both"/>
        <w:rPr>
          <w:rFonts w:ascii="Calibri" w:hAnsi="Calibri" w:cs="Calibri"/>
        </w:rPr>
      </w:pPr>
    </w:p>
    <w:p w14:paraId="1B80A6C9" w14:textId="3F0DD55F" w:rsidR="007D26E1" w:rsidRPr="007D26E1" w:rsidRDefault="004035E8" w:rsidP="00C52E4C">
      <w:pPr>
        <w:spacing w:after="0" w:line="240" w:lineRule="auto"/>
        <w:jc w:val="both"/>
        <w:rPr>
          <w:rFonts w:ascii="Calibri" w:hAnsi="Calibri" w:cs="Calibri"/>
        </w:rPr>
      </w:pPr>
      <w:r>
        <w:t xml:space="preserve">Spodbude, ki so v nasprotju s cilji zmanjševanja emisij TGP so </w:t>
      </w:r>
      <w:r w:rsidR="003B29E2">
        <w:t>zadnja leta vztrajno rastle in so leta 2017 znašale 135,2 milijona evrov</w:t>
      </w:r>
      <w:r w:rsidR="004F7805">
        <w:t>, kar je za dobrih 9 % višje glede na leto prej</w:t>
      </w:r>
      <w:r w:rsidR="003B29E2">
        <w:t>. V letu 2018 so se zmanjšale, in sicer na 124,3 mili</w:t>
      </w:r>
      <w:r w:rsidR="00C31D16">
        <w:t>j</w:t>
      </w:r>
      <w:r w:rsidR="003B29E2">
        <w:t xml:space="preserve">ona evrov. </w:t>
      </w:r>
      <w:r w:rsidR="00C31D16">
        <w:t xml:space="preserve">Najbolj izstopajo vračila trošarin za dizelsko gorivo, ki so v letu 2018 znašale dobrih 42 milijonov evrov. </w:t>
      </w:r>
    </w:p>
    <w:p w14:paraId="72A2CC7A" w14:textId="77777777" w:rsidR="00AF24A8" w:rsidRDefault="00AF24A8" w:rsidP="00C52E4C">
      <w:pPr>
        <w:spacing w:after="0" w:line="240" w:lineRule="auto"/>
        <w:jc w:val="both"/>
        <w:rPr>
          <w:rFonts w:ascii="Calibri" w:hAnsi="Calibri" w:cs="Calibri"/>
        </w:rPr>
      </w:pPr>
    </w:p>
    <w:p w14:paraId="6A8B4979" w14:textId="571B308E" w:rsidR="00AF24A8" w:rsidRDefault="007F3A17" w:rsidP="00C52E4C">
      <w:pPr>
        <w:spacing w:after="0" w:line="240" w:lineRule="auto"/>
        <w:jc w:val="both"/>
        <w:rPr>
          <w:rFonts w:ascii="Calibri" w:hAnsi="Calibri" w:cs="Calibri"/>
        </w:rPr>
      </w:pPr>
      <w:r>
        <w:rPr>
          <w:rFonts w:ascii="Calibri" w:hAnsi="Calibri" w:cs="Calibri"/>
        </w:rPr>
        <w:t xml:space="preserve">Četrti kazalec </w:t>
      </w:r>
      <w:r w:rsidR="00CD034F" w:rsidRPr="00CD034F">
        <w:rPr>
          <w:i/>
        </w:rPr>
        <w:t>Zelena delovna mesta</w:t>
      </w:r>
      <w:r w:rsidR="00CD034F">
        <w:rPr>
          <w:rFonts w:ascii="Calibri" w:hAnsi="Calibri" w:cs="Calibri"/>
        </w:rPr>
        <w:t xml:space="preserve"> </w:t>
      </w:r>
      <w:r>
        <w:rPr>
          <w:rFonts w:ascii="Calibri" w:hAnsi="Calibri" w:cs="Calibri"/>
        </w:rPr>
        <w:t xml:space="preserve">spremlja učinek podnebne politike na trg delovne sile. Leta 2017 se je število zaposlenih v sektorju okoljskega blaga in storitev povečalo za dobre 4 %. Delež zaposlenih v sektorju okoljskega blaga in storitev je tako znašal 2,8 %, kar je 25.691 zaposlenih.  </w:t>
      </w:r>
    </w:p>
    <w:p w14:paraId="25F28627" w14:textId="64114269" w:rsidR="005024D9" w:rsidRDefault="005024D9" w:rsidP="00C52E4C">
      <w:pPr>
        <w:spacing w:after="0" w:line="240" w:lineRule="auto"/>
        <w:jc w:val="both"/>
        <w:rPr>
          <w:rFonts w:ascii="Calibri" w:hAnsi="Calibri" w:cs="Calibri"/>
        </w:rPr>
      </w:pPr>
    </w:p>
    <w:p w14:paraId="052D917C" w14:textId="68C4D6A1" w:rsidR="005024D9" w:rsidRDefault="007D66AE" w:rsidP="00C52E4C">
      <w:pPr>
        <w:spacing w:after="0" w:line="240" w:lineRule="auto"/>
        <w:jc w:val="both"/>
        <w:rPr>
          <w:rFonts w:ascii="Calibri" w:hAnsi="Calibri" w:cs="Calibri"/>
        </w:rPr>
      </w:pPr>
      <w:r>
        <w:rPr>
          <w:rFonts w:ascii="Calibri" w:hAnsi="Calibri" w:cs="Calibri"/>
        </w:rPr>
        <w:t>Indeks</w:t>
      </w:r>
      <w:r w:rsidR="00C31E10">
        <w:rPr>
          <w:rFonts w:ascii="Calibri" w:hAnsi="Calibri" w:cs="Calibri"/>
        </w:rPr>
        <w:t xml:space="preserve"> eko-inovacij </w:t>
      </w:r>
      <w:r>
        <w:rPr>
          <w:rFonts w:ascii="Calibri" w:hAnsi="Calibri" w:cs="Calibri"/>
        </w:rPr>
        <w:t xml:space="preserve">se </w:t>
      </w:r>
      <w:r w:rsidR="00C31E10">
        <w:rPr>
          <w:rFonts w:ascii="Calibri" w:hAnsi="Calibri" w:cs="Calibri"/>
        </w:rPr>
        <w:t>je</w:t>
      </w:r>
      <w:r>
        <w:rPr>
          <w:rFonts w:ascii="Calibri" w:hAnsi="Calibri" w:cs="Calibri"/>
        </w:rPr>
        <w:t xml:space="preserve"> po triletni rasti v letu 2018 znižal, vendar je od leta 2016 nad povprečjem EU. V letu 2017 je indeks znašal 117, leto kasneje 107 (EU = 100). </w:t>
      </w:r>
    </w:p>
    <w:p w14:paraId="1BFBB5C0" w14:textId="77777777" w:rsidR="00F93B5D" w:rsidRDefault="00F93B5D" w:rsidP="00C52E4C">
      <w:pPr>
        <w:spacing w:after="0" w:line="240" w:lineRule="auto"/>
        <w:jc w:val="both"/>
        <w:rPr>
          <w:rFonts w:ascii="Calibri" w:hAnsi="Calibri" w:cs="Calibri"/>
        </w:rPr>
      </w:pPr>
    </w:p>
    <w:p w14:paraId="227857D3" w14:textId="77777777" w:rsidR="00F93B5D" w:rsidRDefault="00F93B5D" w:rsidP="00C52E4C">
      <w:pPr>
        <w:spacing w:after="0" w:line="240" w:lineRule="auto"/>
        <w:jc w:val="both"/>
        <w:rPr>
          <w:rFonts w:ascii="Calibri" w:hAnsi="Calibri" w:cs="Calibri"/>
        </w:rPr>
      </w:pPr>
    </w:p>
    <w:p w14:paraId="7DCE01A8" w14:textId="77777777" w:rsidR="00F93B5D" w:rsidRDefault="00F93B5D" w:rsidP="00C52E4C">
      <w:pPr>
        <w:spacing w:after="0" w:line="240" w:lineRule="auto"/>
        <w:jc w:val="both"/>
        <w:rPr>
          <w:rFonts w:ascii="Calibri" w:hAnsi="Calibri" w:cs="Calibri"/>
        </w:rPr>
      </w:pPr>
    </w:p>
    <w:p w14:paraId="63227939" w14:textId="77777777" w:rsidR="00F93B5D" w:rsidRDefault="00F93B5D" w:rsidP="00C52E4C">
      <w:pPr>
        <w:spacing w:after="0" w:line="240" w:lineRule="auto"/>
        <w:jc w:val="both"/>
        <w:rPr>
          <w:rFonts w:ascii="Calibri" w:hAnsi="Calibri" w:cs="Calibri"/>
        </w:rPr>
      </w:pPr>
    </w:p>
    <w:p w14:paraId="3C916ED4" w14:textId="77777777" w:rsidR="00F93B5D" w:rsidRDefault="00F93B5D" w:rsidP="00C52E4C">
      <w:pPr>
        <w:spacing w:after="0" w:line="240" w:lineRule="auto"/>
        <w:jc w:val="both"/>
        <w:rPr>
          <w:rFonts w:ascii="Calibri" w:hAnsi="Calibri" w:cs="Calibri"/>
        </w:rPr>
      </w:pPr>
    </w:p>
    <w:p w14:paraId="32557CCE" w14:textId="77777777" w:rsidR="00F93B5D" w:rsidRDefault="00F93B5D" w:rsidP="00C52E4C">
      <w:pPr>
        <w:spacing w:after="0" w:line="240" w:lineRule="auto"/>
        <w:jc w:val="both"/>
        <w:rPr>
          <w:rFonts w:ascii="Calibri" w:hAnsi="Calibri" w:cs="Calibri"/>
        </w:rPr>
      </w:pPr>
    </w:p>
    <w:p w14:paraId="14A1B0BF" w14:textId="77777777" w:rsidR="00F93B5D" w:rsidRDefault="00F93B5D" w:rsidP="00C52E4C">
      <w:pPr>
        <w:spacing w:after="0" w:line="240" w:lineRule="auto"/>
        <w:jc w:val="both"/>
        <w:rPr>
          <w:rFonts w:ascii="Calibri" w:hAnsi="Calibri" w:cs="Calibri"/>
        </w:rPr>
      </w:pPr>
    </w:p>
    <w:p w14:paraId="1A0654EC" w14:textId="77777777" w:rsidR="00F93B5D" w:rsidRDefault="00F93B5D" w:rsidP="00C52E4C">
      <w:pPr>
        <w:spacing w:after="0" w:line="240" w:lineRule="auto"/>
        <w:jc w:val="both"/>
        <w:rPr>
          <w:rFonts w:ascii="Calibri" w:hAnsi="Calibri" w:cs="Calibri"/>
        </w:rPr>
      </w:pPr>
    </w:p>
    <w:p w14:paraId="7FF4AAC9" w14:textId="77777777" w:rsidR="00F93B5D" w:rsidRDefault="00F93B5D" w:rsidP="00C52E4C">
      <w:pPr>
        <w:spacing w:after="0" w:line="240" w:lineRule="auto"/>
        <w:jc w:val="both"/>
        <w:rPr>
          <w:rFonts w:ascii="Calibri" w:hAnsi="Calibri" w:cs="Calibri"/>
        </w:rPr>
      </w:pPr>
    </w:p>
    <w:p w14:paraId="6848E50B" w14:textId="77777777" w:rsidR="00F93B5D" w:rsidRDefault="00F93B5D" w:rsidP="00C52E4C">
      <w:pPr>
        <w:spacing w:after="0" w:line="240" w:lineRule="auto"/>
        <w:jc w:val="both"/>
        <w:rPr>
          <w:rFonts w:ascii="Calibri" w:hAnsi="Calibri" w:cs="Calibri"/>
        </w:rPr>
      </w:pPr>
    </w:p>
    <w:p w14:paraId="4F87B2EF" w14:textId="77777777" w:rsidR="00F93B5D" w:rsidRDefault="00F93B5D" w:rsidP="00C52E4C">
      <w:pPr>
        <w:spacing w:after="0" w:line="240" w:lineRule="auto"/>
        <w:jc w:val="both"/>
        <w:rPr>
          <w:rFonts w:ascii="Calibri" w:hAnsi="Calibri" w:cs="Calibri"/>
        </w:rPr>
      </w:pPr>
    </w:p>
    <w:p w14:paraId="23E84FCC" w14:textId="77777777" w:rsidR="00F93B5D" w:rsidRDefault="00F93B5D" w:rsidP="00C52E4C">
      <w:pPr>
        <w:spacing w:after="0" w:line="240" w:lineRule="auto"/>
        <w:jc w:val="both"/>
        <w:rPr>
          <w:rFonts w:ascii="Calibri" w:hAnsi="Calibri" w:cs="Calibri"/>
        </w:rPr>
      </w:pPr>
    </w:p>
    <w:p w14:paraId="61A88CB7" w14:textId="5F981319" w:rsidR="00F844A5" w:rsidRPr="00472C4D" w:rsidRDefault="000D7DFD" w:rsidP="00C52E4C">
      <w:pPr>
        <w:spacing w:after="0" w:line="240" w:lineRule="auto"/>
        <w:jc w:val="both"/>
        <w:rPr>
          <w:rFonts w:ascii="Calibri" w:hAnsi="Calibri" w:cs="Calibri"/>
          <w:b/>
          <w:bCs/>
          <w:sz w:val="26"/>
          <w:szCs w:val="26"/>
        </w:rPr>
      </w:pPr>
      <w:r>
        <w:rPr>
          <w:rFonts w:ascii="Calibri" w:hAnsi="Calibri" w:cs="Calibri"/>
          <w:b/>
          <w:bCs/>
          <w:sz w:val="26"/>
          <w:szCs w:val="26"/>
        </w:rPr>
        <w:lastRenderedPageBreak/>
        <w:t>4</w:t>
      </w:r>
      <w:r w:rsidR="00F844A5" w:rsidRPr="00472C4D">
        <w:rPr>
          <w:rFonts w:ascii="Calibri" w:hAnsi="Calibri" w:cs="Calibri"/>
          <w:b/>
          <w:bCs/>
          <w:sz w:val="26"/>
          <w:szCs w:val="26"/>
        </w:rPr>
        <w:t xml:space="preserve"> </w:t>
      </w:r>
      <w:r w:rsidR="0045170E" w:rsidRPr="00472C4D">
        <w:rPr>
          <w:rFonts w:ascii="Calibri" w:hAnsi="Calibri" w:cs="Calibri"/>
          <w:b/>
          <w:bCs/>
          <w:sz w:val="26"/>
          <w:szCs w:val="26"/>
        </w:rPr>
        <w:t>Pregled ukrepanja in priporočila po sektorjih</w:t>
      </w:r>
    </w:p>
    <w:p w14:paraId="0879CCBD" w14:textId="7CC7BFEE" w:rsidR="0045170E" w:rsidRPr="00472C4D" w:rsidRDefault="0045170E" w:rsidP="00C52E4C">
      <w:pPr>
        <w:spacing w:after="0" w:line="240" w:lineRule="auto"/>
        <w:jc w:val="both"/>
        <w:rPr>
          <w:rFonts w:ascii="Calibri" w:hAnsi="Calibri" w:cs="Calibri"/>
        </w:rPr>
      </w:pPr>
    </w:p>
    <w:p w14:paraId="161B0666" w14:textId="6C1AC587" w:rsidR="00180990" w:rsidRPr="00472C4D" w:rsidRDefault="000D7DFD" w:rsidP="00C52E4C">
      <w:pPr>
        <w:spacing w:after="0" w:line="240" w:lineRule="auto"/>
        <w:jc w:val="both"/>
        <w:rPr>
          <w:rFonts w:ascii="Calibri" w:hAnsi="Calibri" w:cs="Calibri"/>
          <w:b/>
          <w:bCs/>
        </w:rPr>
      </w:pPr>
      <w:r>
        <w:rPr>
          <w:rFonts w:ascii="Calibri" w:hAnsi="Calibri" w:cs="Calibri"/>
          <w:b/>
          <w:bCs/>
        </w:rPr>
        <w:t>4</w:t>
      </w:r>
      <w:r w:rsidR="00104ECF" w:rsidRPr="00472C4D">
        <w:rPr>
          <w:rFonts w:ascii="Calibri" w:hAnsi="Calibri" w:cs="Calibri"/>
          <w:b/>
          <w:bCs/>
        </w:rPr>
        <w:t xml:space="preserve">.1 </w:t>
      </w:r>
      <w:r w:rsidR="00EE70D5" w:rsidRPr="00472C4D">
        <w:rPr>
          <w:rFonts w:ascii="Calibri" w:hAnsi="Calibri" w:cs="Calibri"/>
          <w:b/>
          <w:bCs/>
        </w:rPr>
        <w:t>Zelena gospodarska rast</w:t>
      </w:r>
    </w:p>
    <w:p w14:paraId="489DB1D6" w14:textId="77777777" w:rsidR="00817A98" w:rsidRPr="00472C4D" w:rsidRDefault="00817A98" w:rsidP="00C52E4C">
      <w:pPr>
        <w:spacing w:after="0" w:line="240" w:lineRule="auto"/>
        <w:jc w:val="both"/>
        <w:rPr>
          <w:rFonts w:ascii="Calibri" w:hAnsi="Calibri" w:cs="Calibri"/>
        </w:rPr>
      </w:pPr>
    </w:p>
    <w:p w14:paraId="5869F450" w14:textId="68945476" w:rsidR="00EE70D5" w:rsidRDefault="003E6DDA" w:rsidP="00C52E4C">
      <w:pPr>
        <w:spacing w:after="0" w:line="240" w:lineRule="auto"/>
        <w:jc w:val="both"/>
        <w:rPr>
          <w:rFonts w:ascii="Calibri" w:hAnsi="Calibri" w:cs="Calibri"/>
        </w:rPr>
      </w:pPr>
      <w:r>
        <w:rPr>
          <w:rFonts w:ascii="Calibri" w:hAnsi="Calibri" w:cs="Calibri"/>
        </w:rPr>
        <w:t xml:space="preserve">Prehod v nizkoogljično družbo temelji na gospodarstvu, ki z učinkovitostjo in inovacijami zmanjšuje emisije TGP, izboljšuje konkurenčnost in spodbuja večjo varnost oskrbe z energijo. </w:t>
      </w:r>
    </w:p>
    <w:p w14:paraId="2F79AA48" w14:textId="69864B52" w:rsidR="006E5B66" w:rsidRDefault="006E5B66" w:rsidP="00C52E4C">
      <w:pPr>
        <w:spacing w:after="0" w:line="240" w:lineRule="auto"/>
        <w:jc w:val="both"/>
        <w:rPr>
          <w:rFonts w:ascii="Calibri" w:hAnsi="Calibri" w:cs="Calibri"/>
        </w:rPr>
      </w:pPr>
    </w:p>
    <w:p w14:paraId="42BC0058" w14:textId="24C02818" w:rsidR="006E5B66" w:rsidRDefault="006E5B66" w:rsidP="00C52E4C">
      <w:pPr>
        <w:spacing w:after="0" w:line="240" w:lineRule="auto"/>
        <w:jc w:val="both"/>
        <w:rPr>
          <w:rFonts w:ascii="Calibri" w:hAnsi="Calibri" w:cs="Calibri"/>
        </w:rPr>
      </w:pPr>
      <w:r>
        <w:rPr>
          <w:rFonts w:ascii="Calibri" w:hAnsi="Calibri" w:cs="Calibri"/>
        </w:rPr>
        <w:t xml:space="preserve">Za spodbujanje zelenega gospodarstva so se </w:t>
      </w:r>
      <w:r w:rsidR="00D121DF">
        <w:rPr>
          <w:rFonts w:ascii="Calibri" w:hAnsi="Calibri" w:cs="Calibri"/>
        </w:rPr>
        <w:t>v let</w:t>
      </w:r>
      <w:r w:rsidR="006E1EC4">
        <w:rPr>
          <w:rFonts w:ascii="Calibri" w:hAnsi="Calibri" w:cs="Calibri"/>
        </w:rPr>
        <w:t>ih</w:t>
      </w:r>
      <w:r w:rsidR="00D121DF">
        <w:rPr>
          <w:rFonts w:ascii="Calibri" w:hAnsi="Calibri" w:cs="Calibri"/>
        </w:rPr>
        <w:t xml:space="preserve"> 2018</w:t>
      </w:r>
      <w:r w:rsidR="006E1EC4">
        <w:rPr>
          <w:rFonts w:ascii="Calibri" w:hAnsi="Calibri" w:cs="Calibri"/>
        </w:rPr>
        <w:t xml:space="preserve"> in 2019</w:t>
      </w:r>
      <w:r w:rsidR="00D121DF">
        <w:rPr>
          <w:rFonts w:ascii="Calibri" w:hAnsi="Calibri" w:cs="Calibri"/>
        </w:rPr>
        <w:t xml:space="preserve"> </w:t>
      </w:r>
      <w:r>
        <w:rPr>
          <w:rFonts w:ascii="Calibri" w:hAnsi="Calibri" w:cs="Calibri"/>
        </w:rPr>
        <w:t>izvajali naslednji ukrepi:</w:t>
      </w:r>
    </w:p>
    <w:p w14:paraId="64CD1584" w14:textId="144D61F9" w:rsidR="0083305D" w:rsidRDefault="009661A0" w:rsidP="00D121DF">
      <w:pPr>
        <w:pStyle w:val="Odstavekseznama"/>
        <w:numPr>
          <w:ilvl w:val="0"/>
          <w:numId w:val="15"/>
        </w:numPr>
        <w:spacing w:after="0" w:line="240" w:lineRule="auto"/>
        <w:jc w:val="both"/>
        <w:rPr>
          <w:rFonts w:ascii="Calibri" w:hAnsi="Calibri" w:cs="Calibri"/>
        </w:rPr>
      </w:pPr>
      <w:r>
        <w:rPr>
          <w:rFonts w:ascii="Calibri" w:hAnsi="Calibri" w:cs="Calibri"/>
        </w:rPr>
        <w:t>Leta 2016 je bilo razpisano sofinanciranje izvajanja pilotno-demonstracijskih projektov podjetij ali konzorcijev podjetij</w:t>
      </w:r>
      <w:r w:rsidR="00024311">
        <w:rPr>
          <w:rFonts w:ascii="Calibri" w:hAnsi="Calibri" w:cs="Calibri"/>
        </w:rPr>
        <w:t>, ki mora</w:t>
      </w:r>
      <w:r w:rsidR="00E61CE0">
        <w:rPr>
          <w:rFonts w:ascii="Calibri" w:hAnsi="Calibri" w:cs="Calibri"/>
        </w:rPr>
        <w:t>jo</w:t>
      </w:r>
      <w:r>
        <w:rPr>
          <w:rFonts w:ascii="Calibri" w:hAnsi="Calibri" w:cs="Calibri"/>
        </w:rPr>
        <w:t xml:space="preserve"> razviti nove ali izboljšati obstoječe proizvode, procese, storitve do te mere, da so lahko testirani pri uporabi v realnem okolju. </w:t>
      </w:r>
      <w:r w:rsidR="00024311">
        <w:rPr>
          <w:rFonts w:ascii="Calibri" w:hAnsi="Calibri" w:cs="Calibri"/>
        </w:rPr>
        <w:t>Ti projekti morajo biti usme</w:t>
      </w:r>
      <w:r w:rsidR="009D6F52">
        <w:rPr>
          <w:rFonts w:ascii="Calibri" w:hAnsi="Calibri" w:cs="Calibri"/>
        </w:rPr>
        <w:t>r</w:t>
      </w:r>
      <w:r w:rsidR="00024311">
        <w:rPr>
          <w:rFonts w:ascii="Calibri" w:hAnsi="Calibri" w:cs="Calibri"/>
        </w:rPr>
        <w:t xml:space="preserve">jeni na </w:t>
      </w:r>
      <w:r w:rsidR="00E62DB5">
        <w:rPr>
          <w:rFonts w:ascii="Calibri" w:hAnsi="Calibri" w:cs="Calibri"/>
        </w:rPr>
        <w:t>pod</w:t>
      </w:r>
      <w:r w:rsidR="0083305D">
        <w:rPr>
          <w:rFonts w:ascii="Calibri" w:hAnsi="Calibri" w:cs="Calibri"/>
        </w:rPr>
        <w:t>ro</w:t>
      </w:r>
      <w:r w:rsidR="00E62DB5">
        <w:rPr>
          <w:rFonts w:ascii="Calibri" w:hAnsi="Calibri" w:cs="Calibri"/>
        </w:rPr>
        <w:t xml:space="preserve">čje </w:t>
      </w:r>
      <w:r w:rsidR="00024311">
        <w:rPr>
          <w:rFonts w:ascii="Calibri" w:hAnsi="Calibri" w:cs="Calibri"/>
        </w:rPr>
        <w:t>spoznavnost</w:t>
      </w:r>
      <w:r w:rsidR="00E62DB5">
        <w:rPr>
          <w:rFonts w:ascii="Calibri" w:hAnsi="Calibri" w:cs="Calibri"/>
        </w:rPr>
        <w:t>i</w:t>
      </w:r>
      <w:r w:rsidR="00024311">
        <w:rPr>
          <w:rFonts w:ascii="Calibri" w:hAnsi="Calibri" w:cs="Calibri"/>
        </w:rPr>
        <w:t xml:space="preserve"> in vodljivost</w:t>
      </w:r>
      <w:r w:rsidR="00E62DB5">
        <w:rPr>
          <w:rFonts w:ascii="Calibri" w:hAnsi="Calibri" w:cs="Calibri"/>
        </w:rPr>
        <w:t>i</w:t>
      </w:r>
      <w:r w:rsidR="00024311">
        <w:rPr>
          <w:rFonts w:ascii="Calibri" w:hAnsi="Calibri" w:cs="Calibri"/>
        </w:rPr>
        <w:t xml:space="preserve"> distribucijskega omrežja in/ali aktivn</w:t>
      </w:r>
      <w:r w:rsidR="00E62DB5">
        <w:rPr>
          <w:rFonts w:ascii="Calibri" w:hAnsi="Calibri" w:cs="Calibri"/>
        </w:rPr>
        <w:t>ega</w:t>
      </w:r>
      <w:r w:rsidR="00024311">
        <w:rPr>
          <w:rFonts w:ascii="Calibri" w:hAnsi="Calibri" w:cs="Calibri"/>
        </w:rPr>
        <w:t xml:space="preserve"> vključevanj</w:t>
      </w:r>
      <w:r w:rsidR="00E62DB5">
        <w:rPr>
          <w:rFonts w:ascii="Calibri" w:hAnsi="Calibri" w:cs="Calibri"/>
        </w:rPr>
        <w:t>a</w:t>
      </w:r>
      <w:r w:rsidR="00024311">
        <w:rPr>
          <w:rFonts w:ascii="Calibri" w:hAnsi="Calibri" w:cs="Calibri"/>
        </w:rPr>
        <w:t xml:space="preserve"> odjema</w:t>
      </w:r>
      <w:r w:rsidR="00E61CE0">
        <w:rPr>
          <w:rFonts w:ascii="Calibri" w:hAnsi="Calibri" w:cs="Calibri"/>
        </w:rPr>
        <w:t xml:space="preserve">, </w:t>
      </w:r>
      <w:r w:rsidR="00024311">
        <w:rPr>
          <w:rFonts w:ascii="Calibri" w:hAnsi="Calibri" w:cs="Calibri"/>
        </w:rPr>
        <w:t>naprednega vodenja odziva odjema, celostn</w:t>
      </w:r>
      <w:r w:rsidR="00E62DB5">
        <w:rPr>
          <w:rFonts w:ascii="Calibri" w:hAnsi="Calibri" w:cs="Calibri"/>
        </w:rPr>
        <w:t>ega</w:t>
      </w:r>
      <w:r w:rsidR="00024311">
        <w:rPr>
          <w:rFonts w:ascii="Calibri" w:hAnsi="Calibri" w:cs="Calibri"/>
        </w:rPr>
        <w:t xml:space="preserve"> upravljanj</w:t>
      </w:r>
      <w:r w:rsidR="00E62DB5">
        <w:rPr>
          <w:rFonts w:ascii="Calibri" w:hAnsi="Calibri" w:cs="Calibri"/>
        </w:rPr>
        <w:t>a</w:t>
      </w:r>
      <w:r w:rsidR="00024311">
        <w:rPr>
          <w:rFonts w:ascii="Calibri" w:hAnsi="Calibri" w:cs="Calibri"/>
        </w:rPr>
        <w:t xml:space="preserve"> z energijo. </w:t>
      </w:r>
      <w:r w:rsidR="007E434D">
        <w:rPr>
          <w:rFonts w:ascii="Calibri" w:hAnsi="Calibri" w:cs="Calibri"/>
        </w:rPr>
        <w:t xml:space="preserve"> V</w:t>
      </w:r>
      <w:r w:rsidR="00B71847">
        <w:rPr>
          <w:rFonts w:ascii="Calibri" w:hAnsi="Calibri" w:cs="Calibri"/>
        </w:rPr>
        <w:t xml:space="preserve"> </w:t>
      </w:r>
      <w:r w:rsidR="007E434D">
        <w:rPr>
          <w:rFonts w:ascii="Calibri" w:hAnsi="Calibri" w:cs="Calibri"/>
        </w:rPr>
        <w:t>letu 2018 se je s</w:t>
      </w:r>
      <w:r w:rsidR="00024311">
        <w:rPr>
          <w:rFonts w:ascii="Calibri" w:hAnsi="Calibri" w:cs="Calibri"/>
        </w:rPr>
        <w:t xml:space="preserve">klenilo 7 pogodb v vrednosti 7,3 milijona evrov. </w:t>
      </w:r>
      <w:r w:rsidR="003B254D">
        <w:rPr>
          <w:rFonts w:ascii="Calibri" w:hAnsi="Calibri" w:cs="Calibri"/>
        </w:rPr>
        <w:t xml:space="preserve">Projekti </w:t>
      </w:r>
      <w:r w:rsidR="00B11DDC">
        <w:rPr>
          <w:rFonts w:ascii="Calibri" w:hAnsi="Calibri" w:cs="Calibri"/>
        </w:rPr>
        <w:t xml:space="preserve">se izvajajo in </w:t>
      </w:r>
      <w:r w:rsidR="003B254D">
        <w:rPr>
          <w:rFonts w:ascii="Calibri" w:hAnsi="Calibri" w:cs="Calibri"/>
        </w:rPr>
        <w:t>naj bi bili z</w:t>
      </w:r>
      <w:r w:rsidR="00024311">
        <w:rPr>
          <w:rFonts w:ascii="Calibri" w:hAnsi="Calibri" w:cs="Calibri"/>
        </w:rPr>
        <w:t xml:space="preserve">aključeni v letu 2020. </w:t>
      </w:r>
    </w:p>
    <w:p w14:paraId="049BBA38" w14:textId="3F376618" w:rsidR="00430F0C" w:rsidRDefault="00430F0C" w:rsidP="00D121DF">
      <w:pPr>
        <w:pStyle w:val="Odstavekseznama"/>
        <w:numPr>
          <w:ilvl w:val="0"/>
          <w:numId w:val="15"/>
        </w:numPr>
        <w:spacing w:after="0" w:line="240" w:lineRule="auto"/>
        <w:jc w:val="both"/>
        <w:rPr>
          <w:rFonts w:ascii="Calibri" w:hAnsi="Calibri" w:cs="Calibri"/>
        </w:rPr>
      </w:pPr>
      <w:r>
        <w:rPr>
          <w:rFonts w:ascii="Calibri" w:hAnsi="Calibri" w:cs="Calibri"/>
        </w:rPr>
        <w:t>P</w:t>
      </w:r>
      <w:r w:rsidR="00E61CE0">
        <w:rPr>
          <w:rFonts w:ascii="Calibri" w:hAnsi="Calibri" w:cs="Calibri"/>
        </w:rPr>
        <w:t>reko razpisa Spodbude za raziskovalno razvojne projekte 2, ki je želel povečati delež inovacijsko aktivnih podjetij iz področij pretvorbe, distribucije in upravljanja energije ter pametne specializacije,</w:t>
      </w:r>
      <w:r w:rsidR="002B3194">
        <w:rPr>
          <w:rFonts w:ascii="Calibri" w:hAnsi="Calibri" w:cs="Calibri"/>
        </w:rPr>
        <w:t xml:space="preserve"> se je</w:t>
      </w:r>
      <w:r w:rsidR="00E61CE0">
        <w:rPr>
          <w:rFonts w:ascii="Calibri" w:hAnsi="Calibri" w:cs="Calibri"/>
        </w:rPr>
        <w:t xml:space="preserve"> </w:t>
      </w:r>
      <w:r>
        <w:rPr>
          <w:rFonts w:ascii="Calibri" w:hAnsi="Calibri" w:cs="Calibri"/>
        </w:rPr>
        <w:t xml:space="preserve">v letu 2017 </w:t>
      </w:r>
      <w:r w:rsidR="002B3194">
        <w:rPr>
          <w:rFonts w:ascii="Calibri" w:hAnsi="Calibri" w:cs="Calibri"/>
        </w:rPr>
        <w:t xml:space="preserve">odobrilo </w:t>
      </w:r>
      <w:r>
        <w:rPr>
          <w:rFonts w:ascii="Calibri" w:hAnsi="Calibri" w:cs="Calibri"/>
        </w:rPr>
        <w:t xml:space="preserve">83 vlog v skupni vrednosti 27.842.618,60 evrov, v letu 2018 87 vlog v skupni vrednosti 32.213.366,28 evrov, v letu 2019 pa </w:t>
      </w:r>
      <w:r w:rsidR="00B71847">
        <w:rPr>
          <w:rFonts w:ascii="Calibri" w:hAnsi="Calibri" w:cs="Calibri"/>
        </w:rPr>
        <w:t xml:space="preserve">je </w:t>
      </w:r>
      <w:r>
        <w:rPr>
          <w:rFonts w:ascii="Calibri" w:hAnsi="Calibri" w:cs="Calibri"/>
        </w:rPr>
        <w:t xml:space="preserve">bilo na voljo </w:t>
      </w:r>
      <w:r w:rsidR="00B71847">
        <w:rPr>
          <w:rFonts w:ascii="Calibri" w:hAnsi="Calibri" w:cs="Calibri"/>
        </w:rPr>
        <w:t xml:space="preserve">okrog </w:t>
      </w:r>
      <w:r>
        <w:rPr>
          <w:rFonts w:ascii="Calibri" w:hAnsi="Calibri" w:cs="Calibri"/>
        </w:rPr>
        <w:t>14 milijona evrov.</w:t>
      </w:r>
      <w:r w:rsidR="002B3194">
        <w:rPr>
          <w:rFonts w:ascii="Calibri" w:hAnsi="Calibri" w:cs="Calibri"/>
        </w:rPr>
        <w:t xml:space="preserve"> Velika podjetja dobijo do 25</w:t>
      </w:r>
      <w:r w:rsidR="008D0C92">
        <w:rPr>
          <w:rFonts w:ascii="Calibri" w:hAnsi="Calibri" w:cs="Calibri"/>
        </w:rPr>
        <w:t xml:space="preserve"> </w:t>
      </w:r>
      <w:r w:rsidR="002B3194">
        <w:rPr>
          <w:rFonts w:ascii="Calibri" w:hAnsi="Calibri" w:cs="Calibri"/>
        </w:rPr>
        <w:t>% pomoči, srednje velika do 35</w:t>
      </w:r>
      <w:r w:rsidR="008D0C92">
        <w:rPr>
          <w:rFonts w:ascii="Calibri" w:hAnsi="Calibri" w:cs="Calibri"/>
        </w:rPr>
        <w:t xml:space="preserve"> </w:t>
      </w:r>
      <w:r w:rsidR="002B3194">
        <w:rPr>
          <w:rFonts w:ascii="Calibri" w:hAnsi="Calibri" w:cs="Calibri"/>
        </w:rPr>
        <w:t xml:space="preserve">% in mala in </w:t>
      </w:r>
      <w:proofErr w:type="spellStart"/>
      <w:r w:rsidR="002B3194">
        <w:rPr>
          <w:rFonts w:ascii="Calibri" w:hAnsi="Calibri" w:cs="Calibri"/>
        </w:rPr>
        <w:t>mikro</w:t>
      </w:r>
      <w:proofErr w:type="spellEnd"/>
      <w:r w:rsidR="002B3194">
        <w:rPr>
          <w:rFonts w:ascii="Calibri" w:hAnsi="Calibri" w:cs="Calibri"/>
        </w:rPr>
        <w:t xml:space="preserve"> podjetja do 45%.</w:t>
      </w:r>
    </w:p>
    <w:p w14:paraId="60046759" w14:textId="7019DA08" w:rsidR="006E5B66" w:rsidRDefault="00C120CF" w:rsidP="00D121DF">
      <w:pPr>
        <w:pStyle w:val="Odstavekseznama"/>
        <w:numPr>
          <w:ilvl w:val="0"/>
          <w:numId w:val="15"/>
        </w:numPr>
        <w:spacing w:after="0" w:line="240" w:lineRule="auto"/>
        <w:jc w:val="both"/>
        <w:rPr>
          <w:rFonts w:ascii="Calibri" w:hAnsi="Calibri" w:cs="Calibri"/>
        </w:rPr>
      </w:pPr>
      <w:r>
        <w:rPr>
          <w:rFonts w:ascii="Calibri" w:hAnsi="Calibri" w:cs="Calibri"/>
        </w:rPr>
        <w:t>V letu 2018</w:t>
      </w:r>
      <w:r w:rsidR="0065646D">
        <w:rPr>
          <w:rFonts w:ascii="Calibri" w:hAnsi="Calibri" w:cs="Calibri"/>
        </w:rPr>
        <w:t xml:space="preserve"> je bil </w:t>
      </w:r>
      <w:r w:rsidR="002A7CED">
        <w:rPr>
          <w:rFonts w:ascii="Calibri" w:hAnsi="Calibri" w:cs="Calibri"/>
        </w:rPr>
        <w:t>na področju spodbujanja raziskav in inovacij za prehod v nizkoogljično družbo</w:t>
      </w:r>
      <w:r w:rsidR="00B11DDC">
        <w:rPr>
          <w:rFonts w:ascii="Calibri" w:hAnsi="Calibri" w:cs="Calibri"/>
        </w:rPr>
        <w:t xml:space="preserve"> (NOD)</w:t>
      </w:r>
      <w:r w:rsidR="002A7CED">
        <w:rPr>
          <w:rFonts w:ascii="Calibri" w:hAnsi="Calibri" w:cs="Calibri"/>
        </w:rPr>
        <w:t xml:space="preserve"> </w:t>
      </w:r>
      <w:r w:rsidR="0065646D">
        <w:rPr>
          <w:rFonts w:ascii="Calibri" w:hAnsi="Calibri" w:cs="Calibri"/>
        </w:rPr>
        <w:t>zaključen</w:t>
      </w:r>
      <w:r w:rsidR="000C2862">
        <w:rPr>
          <w:rFonts w:ascii="Calibri" w:hAnsi="Calibri" w:cs="Calibri"/>
        </w:rPr>
        <w:t xml:space="preserve"> razpis DEMO PILOTI II 2018, ki </w:t>
      </w:r>
      <w:r w:rsidR="0065646D">
        <w:rPr>
          <w:rFonts w:ascii="Calibri" w:hAnsi="Calibri" w:cs="Calibri"/>
        </w:rPr>
        <w:t>za obdobje 2019-2022 razpolaga s sred</w:t>
      </w:r>
      <w:r w:rsidR="002A7CED">
        <w:rPr>
          <w:rFonts w:ascii="Calibri" w:hAnsi="Calibri" w:cs="Calibri"/>
        </w:rPr>
        <w:t>s</w:t>
      </w:r>
      <w:r w:rsidR="0065646D">
        <w:rPr>
          <w:rFonts w:ascii="Calibri" w:hAnsi="Calibri" w:cs="Calibri"/>
        </w:rPr>
        <w:t>tvi v višini 56.602.502 evrov.</w:t>
      </w:r>
      <w:r w:rsidR="009661A0">
        <w:rPr>
          <w:rFonts w:ascii="Calibri" w:hAnsi="Calibri" w:cs="Calibri"/>
        </w:rPr>
        <w:t xml:space="preserve"> </w:t>
      </w:r>
      <w:r w:rsidR="005038D6">
        <w:rPr>
          <w:rFonts w:ascii="Calibri" w:hAnsi="Calibri" w:cs="Calibri"/>
        </w:rPr>
        <w:t>Zaradi velika zanimanja podjetij za tovrstne spodbude, so bila sredstva v letu 2019 povečana na 73.139.828 evrov, s čimer se je podprlo 32 projektov 184 podjetij.</w:t>
      </w:r>
      <w:r w:rsidR="0025477C">
        <w:rPr>
          <w:rFonts w:ascii="Calibri" w:hAnsi="Calibri" w:cs="Calibri"/>
        </w:rPr>
        <w:t xml:space="preserve"> </w:t>
      </w:r>
      <w:r w:rsidR="0025477C">
        <w:t>Od vseh sredstev je 67,1 milijonov evrov namenjenih kohezijski regiji Vzhodna Slovenija.</w:t>
      </w:r>
      <w:r w:rsidR="000C2862" w:rsidRPr="000C2862">
        <w:t xml:space="preserve"> </w:t>
      </w:r>
      <w:r w:rsidR="000C2862">
        <w:t>S pilotnim projektom na področju stavb v okviru OP EKP, ki je bil zaključen leta 2019, je bilo doseženo zmanjšanje rabe energije za 0,6 GWh/leto in zmanjšanje emisije CO</w:t>
      </w:r>
      <w:r w:rsidR="000C2862">
        <w:rPr>
          <w:vertAlign w:val="subscript"/>
        </w:rPr>
        <w:t>2</w:t>
      </w:r>
      <w:r w:rsidR="000C2862">
        <w:t xml:space="preserve"> za 0,2 kt/leto.</w:t>
      </w:r>
    </w:p>
    <w:p w14:paraId="259EDBA2" w14:textId="77777777" w:rsidR="00B931F2" w:rsidRDefault="00B11DDC" w:rsidP="00D121DF">
      <w:pPr>
        <w:pStyle w:val="Odstavekseznama"/>
        <w:numPr>
          <w:ilvl w:val="0"/>
          <w:numId w:val="15"/>
        </w:numPr>
        <w:spacing w:after="0" w:line="240" w:lineRule="auto"/>
        <w:jc w:val="both"/>
        <w:rPr>
          <w:rFonts w:ascii="Calibri" w:hAnsi="Calibri" w:cs="Calibri"/>
        </w:rPr>
      </w:pPr>
      <w:r>
        <w:rPr>
          <w:rFonts w:ascii="Calibri" w:hAnsi="Calibri" w:cs="Calibri"/>
        </w:rPr>
        <w:t xml:space="preserve">Na področju spodbujanja podjetništva za prehod v NOD </w:t>
      </w:r>
      <w:r w:rsidR="00964BF3">
        <w:rPr>
          <w:rFonts w:ascii="Calibri" w:hAnsi="Calibri" w:cs="Calibri"/>
        </w:rPr>
        <w:t xml:space="preserve">so bili </w:t>
      </w:r>
      <w:r w:rsidR="00ED1B87">
        <w:rPr>
          <w:rFonts w:ascii="Calibri" w:hAnsi="Calibri" w:cs="Calibri"/>
        </w:rPr>
        <w:t xml:space="preserve">v letu 2018 </w:t>
      </w:r>
      <w:r w:rsidR="00964BF3">
        <w:rPr>
          <w:rFonts w:ascii="Calibri" w:hAnsi="Calibri" w:cs="Calibri"/>
        </w:rPr>
        <w:t>izvedeni trije razpisi</w:t>
      </w:r>
      <w:r w:rsidR="00B25E4F">
        <w:rPr>
          <w:rFonts w:ascii="Calibri" w:hAnsi="Calibri" w:cs="Calibri"/>
        </w:rPr>
        <w:t xml:space="preserve"> v višini 28,7 milijona evrov razpoložljivih sredstev</w:t>
      </w:r>
      <w:r w:rsidR="00964BF3">
        <w:rPr>
          <w:rFonts w:ascii="Calibri" w:hAnsi="Calibri" w:cs="Calibri"/>
        </w:rPr>
        <w:t xml:space="preserve">. </w:t>
      </w:r>
      <w:r w:rsidR="00827CBA">
        <w:rPr>
          <w:rFonts w:ascii="Calibri" w:hAnsi="Calibri" w:cs="Calibri"/>
        </w:rPr>
        <w:t xml:space="preserve">Dva spodbujata razvoj lesarstva na področju polproizvodov in za MSP </w:t>
      </w:r>
      <w:r w:rsidR="0004353E">
        <w:rPr>
          <w:rFonts w:ascii="Calibri" w:hAnsi="Calibri" w:cs="Calibri"/>
        </w:rPr>
        <w:t xml:space="preserve">za </w:t>
      </w:r>
      <w:r w:rsidR="00827CBA">
        <w:rPr>
          <w:rFonts w:ascii="Calibri" w:hAnsi="Calibri" w:cs="Calibri"/>
        </w:rPr>
        <w:t xml:space="preserve">razvoj in uvajanje novih produktov v lesarstvu, tretji podpira </w:t>
      </w:r>
      <w:proofErr w:type="spellStart"/>
      <w:r w:rsidR="00827CBA">
        <w:rPr>
          <w:rFonts w:ascii="Calibri" w:hAnsi="Calibri" w:cs="Calibri"/>
        </w:rPr>
        <w:t>mikro</w:t>
      </w:r>
      <w:proofErr w:type="spellEnd"/>
      <w:r w:rsidR="00827CBA">
        <w:rPr>
          <w:rFonts w:ascii="Calibri" w:hAnsi="Calibri" w:cs="Calibri"/>
        </w:rPr>
        <w:t xml:space="preserve">, mala in srednje velika podjetja s področja turizma za povečanje snovne in energetske učinkovitosti. </w:t>
      </w:r>
      <w:r w:rsidR="0004353E">
        <w:rPr>
          <w:rFonts w:ascii="Calibri" w:hAnsi="Calibri" w:cs="Calibri"/>
        </w:rPr>
        <w:t>Prihranki energije in materiala se ocenjujejo na okoli 20</w:t>
      </w:r>
      <w:r w:rsidR="00591519">
        <w:rPr>
          <w:rFonts w:ascii="Calibri" w:hAnsi="Calibri" w:cs="Calibri"/>
        </w:rPr>
        <w:t xml:space="preserve"> </w:t>
      </w:r>
      <w:r w:rsidR="0004353E">
        <w:rPr>
          <w:rFonts w:ascii="Calibri" w:hAnsi="Calibri" w:cs="Calibri"/>
        </w:rPr>
        <w:t>%.</w:t>
      </w:r>
      <w:r w:rsidR="00ED1B87">
        <w:rPr>
          <w:rFonts w:ascii="Calibri" w:hAnsi="Calibri" w:cs="Calibri"/>
        </w:rPr>
        <w:t xml:space="preserve"> </w:t>
      </w:r>
    </w:p>
    <w:p w14:paraId="2A2A9B46" w14:textId="248EE1A1" w:rsidR="00B11DDC" w:rsidRDefault="00B931F2" w:rsidP="00B931F2">
      <w:pPr>
        <w:pStyle w:val="Odstavekseznama"/>
        <w:spacing w:after="0" w:line="240" w:lineRule="auto"/>
        <w:ind w:left="360"/>
        <w:jc w:val="both"/>
        <w:rPr>
          <w:rFonts w:ascii="Calibri" w:hAnsi="Calibri" w:cs="Calibri"/>
        </w:rPr>
      </w:pPr>
      <w:r>
        <w:t xml:space="preserve">Razpis Spodbude na področju polproizvodov iz lesa 2.0 (P4L), ki ga je objavil Slovenski podjetniški sklad v letu 2019 je namenjen nakupu novih strojev in opreme, nakupu programske opreme ter stroškom plač in povračilom stroškov v zvezi z delom za novo zaposlene. Ponuja nepovratno finančno pomoč v višini od 250.000 do 2.500.000 evrov v obdobju 2 let. V kriterijih izbora je vpliv operacije na okolje z manjša porabo energije in surovin,materialov ocenjen z vplivom 10 %. Predvidenih sredstev je skupaj 8.369.659 evrov, za leto 2019 je bilo namenjenih 3.952.839 evrov, preostanek pa za vloge v okviru še dveh odpiranj v letu 2020. Za javni razpis Podpora </w:t>
      </w:r>
      <w:proofErr w:type="spellStart"/>
      <w:r>
        <w:t>mikro</w:t>
      </w:r>
      <w:proofErr w:type="spellEnd"/>
      <w:r>
        <w:t>, malim in srednje velikim podjetjem s področja turizma za povečanje snovne in energetske učinkovitosti objavljen v letu 2019, so na voljo sredstva v višini 21.555.330 evrov v letih 2020, 2021 in 2022, od tega za kohezijsko regijo Vzhodna Slovenija 18.088.731 evrov in kohezijsko regijo Zahodna Slovenija 3.466.599 evrov.</w:t>
      </w:r>
      <w:r w:rsidR="00585657">
        <w:t xml:space="preserve"> Za razpis, ki ga izvaja SPIRIT Slovenija, Spodbujanje trajnostne poslovne strateške transformacije in razvoj novih poslovnih modelov v slovenskih podjetjih za lažje vključevanje v globalne verige vrednosti, je bilo namenjenih do 100.000 evrov za vključitev MSP in velikih podjetij v proces trajnostne poslovne strateške transformacije, v katerem bodo pripravila trajnostne poslovne strategije in nove poslovne modele ter predloge izvedbenih projektov za uresničevanje trajnostnih poslovnih strategij. V letu 2019 sta bili dve odpiranji, še tri odpiranja pa so predvidena v letih 2020 in 2021.</w:t>
      </w:r>
    </w:p>
    <w:p w14:paraId="25B3D589" w14:textId="43C59628" w:rsidR="00973262" w:rsidRDefault="0067452D" w:rsidP="002D14F3">
      <w:pPr>
        <w:pStyle w:val="Odstavekseznama"/>
        <w:numPr>
          <w:ilvl w:val="0"/>
          <w:numId w:val="15"/>
        </w:numPr>
        <w:spacing w:after="0" w:line="240" w:lineRule="auto"/>
        <w:jc w:val="both"/>
        <w:rPr>
          <w:rFonts w:ascii="Calibri" w:hAnsi="Calibri" w:cs="Calibri"/>
        </w:rPr>
      </w:pPr>
      <w:r>
        <w:rPr>
          <w:rFonts w:ascii="Calibri" w:hAnsi="Calibri" w:cs="Calibri"/>
        </w:rPr>
        <w:lastRenderedPageBreak/>
        <w:t xml:space="preserve">V okviru OP EKP </w:t>
      </w:r>
      <w:r w:rsidR="00D44D27">
        <w:rPr>
          <w:rFonts w:ascii="Calibri" w:hAnsi="Calibri" w:cs="Calibri"/>
        </w:rPr>
        <w:t xml:space="preserve">sta bila </w:t>
      </w:r>
      <w:r w:rsidR="00836D59">
        <w:rPr>
          <w:rFonts w:ascii="Calibri" w:hAnsi="Calibri" w:cs="Calibri"/>
        </w:rPr>
        <w:t xml:space="preserve">v letu 2018 </w:t>
      </w:r>
      <w:r w:rsidR="00D44D27">
        <w:rPr>
          <w:rFonts w:ascii="Calibri" w:hAnsi="Calibri" w:cs="Calibri"/>
        </w:rPr>
        <w:t xml:space="preserve">s slabim milijonom evrov nepovratnih sredstev zaključena dva pilotna projekta. Prvi projekt je energetsko prenovil javno stavbo CŠOD Bohinj s karakteristikami skoraj nič energijske stavbe, drugi projekt je energetsko prenovil tri objekte sodišč v Celju, Slovenj Gradcu in Murski Soboti. </w:t>
      </w:r>
      <w:r w:rsidR="005503ED">
        <w:rPr>
          <w:rFonts w:ascii="Calibri" w:hAnsi="Calibri" w:cs="Calibri"/>
        </w:rPr>
        <w:t xml:space="preserve">Energetska prenova vseh štirih objektov je zmanjšala rabo energije za 0,9 </w:t>
      </w:r>
      <w:r w:rsidR="00D41CD9">
        <w:rPr>
          <w:rFonts w:ascii="Calibri" w:hAnsi="Calibri" w:cs="Calibri"/>
        </w:rPr>
        <w:t>G</w:t>
      </w:r>
      <w:r w:rsidR="005503ED">
        <w:rPr>
          <w:rFonts w:ascii="Calibri" w:hAnsi="Calibri" w:cs="Calibri"/>
        </w:rPr>
        <w:t>Wh/leto in zmanjšala emisije CO</w:t>
      </w:r>
      <w:r w:rsidR="005503ED">
        <w:rPr>
          <w:rFonts w:ascii="Calibri" w:hAnsi="Calibri" w:cs="Calibri"/>
          <w:vertAlign w:val="subscript"/>
        </w:rPr>
        <w:t>2</w:t>
      </w:r>
      <w:r w:rsidR="005503ED">
        <w:rPr>
          <w:rFonts w:ascii="Calibri" w:hAnsi="Calibri" w:cs="Calibri"/>
        </w:rPr>
        <w:t xml:space="preserve"> za 0,2 kt/leto.</w:t>
      </w:r>
    </w:p>
    <w:p w14:paraId="0E1E60DD" w14:textId="1058D038" w:rsidR="00836D59" w:rsidRPr="004444AA" w:rsidRDefault="00836D59" w:rsidP="002D14F3">
      <w:pPr>
        <w:pStyle w:val="Odstavekseznama"/>
        <w:numPr>
          <w:ilvl w:val="0"/>
          <w:numId w:val="15"/>
        </w:numPr>
        <w:spacing w:after="0" w:line="240" w:lineRule="auto"/>
        <w:jc w:val="both"/>
        <w:rPr>
          <w:rFonts w:ascii="Calibri" w:hAnsi="Calibri" w:cs="Calibri"/>
        </w:rPr>
      </w:pPr>
      <w:r>
        <w:t xml:space="preserve">V obdobju 2008-2019 so se trošarine zvišale (bencin 95 oktanski 33 %, dizelsko gorivo 29 % in ELKO 587 %). V primerjavi z letom 2018 so se trošarine leta 2019 nekoliko zmanjšale, in sicer za bencin (2 % in so znašale 0,39 €/l) in dizelsko gorivo (3 % in so znašale 0,48 €/l). Za </w:t>
      </w:r>
      <w:r w:rsidR="00982CEA">
        <w:t>plinsko olje za ogrevanje</w:t>
      </w:r>
      <w:r>
        <w:t xml:space="preserve"> so bile trošarine že četrto leto zapored nespremenjene in so znašale 0,16 €/l.</w:t>
      </w:r>
    </w:p>
    <w:p w14:paraId="48653F7A" w14:textId="5C2FB241" w:rsidR="002D328C" w:rsidRPr="002D328C" w:rsidRDefault="002D328C" w:rsidP="002D328C">
      <w:pPr>
        <w:pStyle w:val="Odstavekseznama"/>
        <w:numPr>
          <w:ilvl w:val="0"/>
          <w:numId w:val="15"/>
        </w:numPr>
        <w:spacing w:after="0" w:line="240" w:lineRule="auto"/>
        <w:jc w:val="both"/>
        <w:rPr>
          <w:rFonts w:ascii="Calibri" w:hAnsi="Calibri" w:cs="Calibri"/>
        </w:rPr>
      </w:pPr>
      <w:r w:rsidRPr="002D328C">
        <w:rPr>
          <w:rFonts w:ascii="Calibri" w:hAnsi="Calibri" w:cs="Calibri"/>
        </w:rPr>
        <w:t>V letu 2018 je z</w:t>
      </w:r>
      <w:r w:rsidR="001D63B6" w:rsidRPr="002D328C">
        <w:rPr>
          <w:rFonts w:ascii="Calibri" w:hAnsi="Calibri" w:cs="Calibri"/>
        </w:rPr>
        <w:t>ačela veljati prenovljena Uredba o zelenem javnem naročanju (Ur. l. RS, št. 51/17). Zeleno javno naročanje</w:t>
      </w:r>
      <w:r w:rsidR="0036217C" w:rsidRPr="002D328C">
        <w:rPr>
          <w:rFonts w:ascii="Calibri" w:hAnsi="Calibri" w:cs="Calibri"/>
        </w:rPr>
        <w:t xml:space="preserve"> (ZeJN)</w:t>
      </w:r>
      <w:r w:rsidR="001D63B6" w:rsidRPr="002D328C">
        <w:rPr>
          <w:rFonts w:ascii="Calibri" w:hAnsi="Calibri" w:cs="Calibri"/>
        </w:rPr>
        <w:t xml:space="preserve"> je obvezno za 20 skupin predmetov, po novem tudi za cestno razsvetljavo in prometno signalizacijo</w:t>
      </w:r>
      <w:r w:rsidR="0036217C" w:rsidRPr="002D328C">
        <w:rPr>
          <w:rFonts w:ascii="Calibri" w:hAnsi="Calibri" w:cs="Calibri"/>
        </w:rPr>
        <w:t>, g</w:t>
      </w:r>
      <w:r w:rsidR="001D63B6" w:rsidRPr="002D328C">
        <w:rPr>
          <w:rFonts w:ascii="Calibri" w:hAnsi="Calibri" w:cs="Calibri"/>
        </w:rPr>
        <w:t>relnike vode, tekstilne izdelke, sanitarne armature, električne sijalke in tovornjake za zbiranje odpadkov.</w:t>
      </w:r>
      <w:r w:rsidR="0036217C" w:rsidRPr="002D328C">
        <w:rPr>
          <w:rFonts w:ascii="Calibri" w:hAnsi="Calibri" w:cs="Calibri"/>
        </w:rPr>
        <w:t xml:space="preserve"> Ni pa več obvezno za gradnjo in projektiranje vseh javnih zgradb, le za poslovne in upravne javne zgradbe. Sistem ZeJN se postopno širi. V letu 2017 je delež števila naročil, ki je imel vključen vsaj en okoljski vidik, znašal 32</w:t>
      </w:r>
      <w:r w:rsidR="00591519" w:rsidRPr="002D328C">
        <w:rPr>
          <w:rFonts w:ascii="Calibri" w:hAnsi="Calibri" w:cs="Calibri"/>
        </w:rPr>
        <w:t xml:space="preserve"> </w:t>
      </w:r>
      <w:r w:rsidR="0036217C" w:rsidRPr="002D328C">
        <w:rPr>
          <w:rFonts w:ascii="Calibri" w:hAnsi="Calibri" w:cs="Calibri"/>
        </w:rPr>
        <w:t>%, kar je za 1,6</w:t>
      </w:r>
      <w:r w:rsidR="00591519" w:rsidRPr="002D328C">
        <w:rPr>
          <w:rFonts w:ascii="Calibri" w:hAnsi="Calibri" w:cs="Calibri"/>
        </w:rPr>
        <w:t xml:space="preserve"> </w:t>
      </w:r>
      <w:r w:rsidR="0036217C" w:rsidRPr="002D328C">
        <w:rPr>
          <w:rFonts w:ascii="Calibri" w:hAnsi="Calibri" w:cs="Calibri"/>
        </w:rPr>
        <w:t xml:space="preserve">% več kot v letu 2016. </w:t>
      </w:r>
      <w:r>
        <w:t xml:space="preserve">V skupni vrednosti vseh javnih naročil so ta naročila s 792 milijoni evrov predstavljala dobro četrtino. </w:t>
      </w:r>
      <w:r w:rsidR="008021FF" w:rsidRPr="008021FF">
        <w:rPr>
          <w:iCs/>
        </w:rPr>
        <w:t>Glede na predmet naročanja je največji delež ZeJN po številu pri naročilih blaga (80%), po vrednosti pa pri naročilih gradenj (54%)</w:t>
      </w:r>
      <w:r w:rsidR="0036217C" w:rsidRPr="008021FF">
        <w:rPr>
          <w:rFonts w:ascii="Calibri" w:hAnsi="Calibri" w:cs="Calibri"/>
        </w:rPr>
        <w:t>.</w:t>
      </w:r>
      <w:r w:rsidR="0036217C" w:rsidRPr="002D328C">
        <w:rPr>
          <w:rFonts w:ascii="Calibri" w:hAnsi="Calibri" w:cs="Calibri"/>
        </w:rPr>
        <w:t xml:space="preserve"> </w:t>
      </w:r>
      <w:r>
        <w:t xml:space="preserve">Leta 2018 so naročniki oddali 16.865 naročil v vrednosti 2,9 milijard evrov. Najmanj en okoljski vidik je bil vključen v 5.771 oz. 34,2 % vseh oddanih naročil s skupno vrednostjo 559 milijonov evrov, kar pomeni 19,2-odstotni delež vrednosti vseh naročil. Med njimi je bilo 4.539 naročil v vrednosti 295 milijonov evrov, za katere okoljske zahteve določa Uredba o ZeJN, v preostalih 1.232 naročilih v vrednosti 264 milijonov evrov pa so naročniki okoljski vidik upoštevali prostovoljno. </w:t>
      </w:r>
    </w:p>
    <w:p w14:paraId="3F7DF95C" w14:textId="517F320E" w:rsidR="00EA39A0" w:rsidRPr="00973262" w:rsidRDefault="00EA39A0" w:rsidP="002D14F3">
      <w:pPr>
        <w:pStyle w:val="Odstavekseznama"/>
        <w:numPr>
          <w:ilvl w:val="0"/>
          <w:numId w:val="15"/>
        </w:numPr>
        <w:spacing w:after="0" w:line="240" w:lineRule="auto"/>
        <w:jc w:val="both"/>
        <w:rPr>
          <w:rFonts w:ascii="Calibri" w:hAnsi="Calibri" w:cs="Calibri"/>
        </w:rPr>
      </w:pPr>
      <w:r>
        <w:rPr>
          <w:rFonts w:ascii="Calibri" w:hAnsi="Calibri" w:cs="Calibri"/>
        </w:rPr>
        <w:t xml:space="preserve">Tržni inšpektorat RS je v letu 2018 pregledal 166 sesalnikov, ki se napajajo iz električnega omrežja. </w:t>
      </w:r>
      <w:r w:rsidR="007D24C9">
        <w:rPr>
          <w:rFonts w:ascii="Calibri" w:hAnsi="Calibri" w:cs="Calibri"/>
        </w:rPr>
        <w:t>Pri v</w:t>
      </w:r>
      <w:r>
        <w:rPr>
          <w:rFonts w:ascii="Calibri" w:hAnsi="Calibri" w:cs="Calibri"/>
        </w:rPr>
        <w:t>eč kot 50</w:t>
      </w:r>
      <w:r w:rsidR="00D558E2">
        <w:rPr>
          <w:rFonts w:ascii="Calibri" w:hAnsi="Calibri" w:cs="Calibri"/>
        </w:rPr>
        <w:t xml:space="preserve"> </w:t>
      </w:r>
      <w:r>
        <w:rPr>
          <w:rFonts w:ascii="Calibri" w:hAnsi="Calibri" w:cs="Calibri"/>
        </w:rPr>
        <w:t>%</w:t>
      </w:r>
      <w:r w:rsidR="007D24C9">
        <w:rPr>
          <w:rFonts w:ascii="Calibri" w:hAnsi="Calibri" w:cs="Calibri"/>
        </w:rPr>
        <w:t xml:space="preserve"> sesalnikov v spletnih prodajalnah energijska nalepka ni bila </w:t>
      </w:r>
      <w:r w:rsidR="004E18BB">
        <w:rPr>
          <w:rFonts w:ascii="Calibri" w:hAnsi="Calibri" w:cs="Calibri"/>
        </w:rPr>
        <w:t xml:space="preserve">ustrezna oz. </w:t>
      </w:r>
      <w:r w:rsidR="007D24C9">
        <w:rPr>
          <w:rFonts w:ascii="Calibri" w:hAnsi="Calibri" w:cs="Calibri"/>
        </w:rPr>
        <w:t xml:space="preserve">prisotna. V klasičnih trgovinah </w:t>
      </w:r>
      <w:r w:rsidR="004E18BB">
        <w:rPr>
          <w:rFonts w:ascii="Calibri" w:hAnsi="Calibri" w:cs="Calibri"/>
        </w:rPr>
        <w:t>je bilo takih primerov</w:t>
      </w:r>
      <w:r w:rsidR="007D24C9">
        <w:rPr>
          <w:rFonts w:ascii="Calibri" w:hAnsi="Calibri" w:cs="Calibri"/>
        </w:rPr>
        <w:t xml:space="preserve"> 7</w:t>
      </w:r>
      <w:r w:rsidR="00D558E2">
        <w:rPr>
          <w:rFonts w:ascii="Calibri" w:hAnsi="Calibri" w:cs="Calibri"/>
        </w:rPr>
        <w:t xml:space="preserve"> </w:t>
      </w:r>
      <w:r w:rsidR="007D24C9">
        <w:rPr>
          <w:rFonts w:ascii="Calibri" w:hAnsi="Calibri" w:cs="Calibri"/>
        </w:rPr>
        <w:t>%.</w:t>
      </w:r>
      <w:r w:rsidR="006A70E3">
        <w:rPr>
          <w:rFonts w:ascii="Calibri" w:hAnsi="Calibri" w:cs="Calibri"/>
        </w:rPr>
        <w:t xml:space="preserve"> </w:t>
      </w:r>
      <w:r w:rsidR="00664EDF">
        <w:rPr>
          <w:rFonts w:ascii="Calibri" w:hAnsi="Calibri" w:cs="Calibri"/>
        </w:rPr>
        <w:t xml:space="preserve">Inšpektorat je izvedel tudi pregled 12 plinskih kotlov ter vzorčenje kuhalnih plošč. Nepravilnosti niso bile ugotovljene. </w:t>
      </w:r>
      <w:r>
        <w:rPr>
          <w:rFonts w:ascii="Calibri" w:hAnsi="Calibri" w:cs="Calibri"/>
        </w:rPr>
        <w:t xml:space="preserve"> </w:t>
      </w:r>
      <w:r w:rsidR="0092272B">
        <w:t>Od 1. 1. 2019 morajo proizvajalci naprave, ki morajo biti označene z energijsko nalepko, pred prodajo na evropskem trgu registrirati v evropski bazi EPREL (</w:t>
      </w:r>
      <w:proofErr w:type="spellStart"/>
      <w:r w:rsidR="0092272B">
        <w:t>European</w:t>
      </w:r>
      <w:proofErr w:type="spellEnd"/>
      <w:r w:rsidR="0092272B">
        <w:t xml:space="preserve"> </w:t>
      </w:r>
      <w:proofErr w:type="spellStart"/>
      <w:r w:rsidR="0092272B">
        <w:t>Product</w:t>
      </w:r>
      <w:proofErr w:type="spellEnd"/>
      <w:r w:rsidR="0092272B">
        <w:t xml:space="preserve"> </w:t>
      </w:r>
      <w:proofErr w:type="spellStart"/>
      <w:r w:rsidR="0092272B">
        <w:t>Database</w:t>
      </w:r>
      <w:proofErr w:type="spellEnd"/>
      <w:r w:rsidR="0092272B">
        <w:t xml:space="preserve"> </w:t>
      </w:r>
      <w:proofErr w:type="spellStart"/>
      <w:r w:rsidR="0092272B">
        <w:t>for</w:t>
      </w:r>
      <w:proofErr w:type="spellEnd"/>
      <w:r w:rsidR="0092272B">
        <w:t xml:space="preserve"> </w:t>
      </w:r>
      <w:proofErr w:type="spellStart"/>
      <w:r w:rsidR="0092272B">
        <w:t>Energy</w:t>
      </w:r>
      <w:proofErr w:type="spellEnd"/>
      <w:r w:rsidR="0092272B">
        <w:t xml:space="preserve"> </w:t>
      </w:r>
      <w:proofErr w:type="spellStart"/>
      <w:r w:rsidR="0092272B">
        <w:t>Labelling</w:t>
      </w:r>
      <w:proofErr w:type="spellEnd"/>
      <w:r w:rsidR="0092272B">
        <w:t>). Tržni inšpektorat je leta 2019 opravil administrativni nadzor označevanja svetil (pregledanih 205 proizvodov) ter kotlov (pregledanih 49) in kompletov kotla na trdno gorivo z nazivno izhodno toplotno močjo 70 kW ali manj. Nadzor je pokazal, da z energijsko nalepko ni bila ustrezno opremljena dobra četrtina proizvodov. V okviru evropskega projekta EEPLIANT 2 (evropski program Obzorje 2020) je inšpektorat preverjal tudi okoljsko primerno zasnovo petih proizvodov v omrežni pripravljenosti in pri dveh ugotovil neskladnost. Inšpektorat RS za infrastrukturo je leta 2019 izvedel 4 inšpekcijske preglede na področju okoljsko primerne zasnove izdelkov, ki rabijo energijo.</w:t>
      </w:r>
    </w:p>
    <w:p w14:paraId="0E55EAA8" w14:textId="334462BB" w:rsidR="009661A0" w:rsidRDefault="009661A0" w:rsidP="009661A0">
      <w:pPr>
        <w:spacing w:after="0" w:line="240" w:lineRule="auto"/>
        <w:jc w:val="both"/>
        <w:rPr>
          <w:rFonts w:ascii="Calibri" w:hAnsi="Calibri" w:cs="Calibri"/>
        </w:rPr>
      </w:pPr>
    </w:p>
    <w:p w14:paraId="2ADED190" w14:textId="2A66D9D5" w:rsidR="009661A0" w:rsidRPr="002B24BC" w:rsidRDefault="002B24BC" w:rsidP="009661A0">
      <w:pPr>
        <w:spacing w:after="0" w:line="240" w:lineRule="auto"/>
        <w:jc w:val="both"/>
        <w:rPr>
          <w:rFonts w:ascii="Calibri" w:hAnsi="Calibri" w:cs="Calibri"/>
          <w:u w:val="single"/>
        </w:rPr>
      </w:pPr>
      <w:r w:rsidRPr="00F93B5D">
        <w:rPr>
          <w:rFonts w:ascii="Calibri" w:hAnsi="Calibri" w:cs="Calibri"/>
          <w:u w:val="single"/>
        </w:rPr>
        <w:t>Priporočila</w:t>
      </w:r>
      <w:r w:rsidR="00D666FF" w:rsidRPr="00F93B5D">
        <w:rPr>
          <w:rFonts w:ascii="Calibri" w:hAnsi="Calibri" w:cs="Calibri"/>
          <w:u w:val="single"/>
        </w:rPr>
        <w:t>:</w:t>
      </w:r>
    </w:p>
    <w:p w14:paraId="024FCF62" w14:textId="4AD395ED" w:rsidR="002B24BC" w:rsidRDefault="002B24BC" w:rsidP="009661A0">
      <w:pPr>
        <w:spacing w:after="0" w:line="240" w:lineRule="auto"/>
        <w:jc w:val="both"/>
        <w:rPr>
          <w:rFonts w:ascii="Calibri" w:hAnsi="Calibri" w:cs="Calibri"/>
        </w:rPr>
      </w:pPr>
    </w:p>
    <w:p w14:paraId="348167C0" w14:textId="57D3EE3D" w:rsidR="00081F0D" w:rsidRDefault="00142B7A" w:rsidP="00FC1EA1">
      <w:pPr>
        <w:spacing w:after="0" w:line="240" w:lineRule="auto"/>
        <w:jc w:val="both"/>
        <w:rPr>
          <w:rFonts w:ascii="Arial" w:hAnsi="Arial" w:cs="Arial"/>
          <w:color w:val="000000"/>
          <w:sz w:val="20"/>
          <w:szCs w:val="20"/>
        </w:rPr>
      </w:pPr>
      <w:r w:rsidRPr="00142B7A">
        <w:rPr>
          <w:rFonts w:ascii="Calibri" w:hAnsi="Calibri" w:cs="Calibri"/>
          <w:color w:val="000000"/>
        </w:rPr>
        <w:t>Delovna skupina projekta Zelena proračunska reforma je v letu 2018 pripravila pregled in analizo spodbud, ki vplivajo na okolje in priporočila</w:t>
      </w:r>
      <w:r w:rsidR="00FC1EA1" w:rsidRPr="00FC1EA1">
        <w:rPr>
          <w:rFonts w:ascii="Calibri" w:hAnsi="Calibri" w:cs="Calibri"/>
          <w:color w:val="000000"/>
        </w:rPr>
        <w:t xml:space="preserve"> </w:t>
      </w:r>
      <w:r w:rsidRPr="00142B7A">
        <w:rPr>
          <w:rFonts w:ascii="Calibri" w:hAnsi="Calibri" w:cs="Calibri"/>
          <w:color w:val="000000"/>
        </w:rPr>
        <w:t>ažuriranje seznama in ponovn</w:t>
      </w:r>
      <w:r w:rsidR="00FC1EA1" w:rsidRPr="00FC1EA1">
        <w:rPr>
          <w:rFonts w:ascii="Calibri" w:hAnsi="Calibri" w:cs="Calibri"/>
          <w:color w:val="000000"/>
        </w:rPr>
        <w:t>o</w:t>
      </w:r>
      <w:r w:rsidRPr="00142B7A">
        <w:rPr>
          <w:rFonts w:ascii="Calibri" w:hAnsi="Calibri" w:cs="Calibri"/>
          <w:color w:val="000000"/>
        </w:rPr>
        <w:t xml:space="preserve"> preučitev spodbud v roku 2 let,</w:t>
      </w:r>
      <w:r w:rsidR="00FC1EA1" w:rsidRPr="00FC1EA1">
        <w:rPr>
          <w:rFonts w:ascii="Calibri" w:hAnsi="Calibri" w:cs="Calibri"/>
          <w:color w:val="000000"/>
        </w:rPr>
        <w:t xml:space="preserve"> </w:t>
      </w:r>
      <w:r w:rsidRPr="00142B7A">
        <w:rPr>
          <w:rFonts w:ascii="Calibri" w:hAnsi="Calibri" w:cs="Calibri"/>
          <w:color w:val="000000"/>
        </w:rPr>
        <w:t>uporab</w:t>
      </w:r>
      <w:r w:rsidR="00FC1EA1" w:rsidRPr="00FC1EA1">
        <w:rPr>
          <w:rFonts w:ascii="Calibri" w:hAnsi="Calibri" w:cs="Calibri"/>
          <w:color w:val="000000"/>
        </w:rPr>
        <w:t>o</w:t>
      </w:r>
      <w:r w:rsidRPr="00142B7A">
        <w:rPr>
          <w:rFonts w:ascii="Calibri" w:hAnsi="Calibri" w:cs="Calibri"/>
          <w:color w:val="000000"/>
        </w:rPr>
        <w:t xml:space="preserve"> zelenega okoljskega testa in vrednotenje ustreznosti le tega,</w:t>
      </w:r>
      <w:r w:rsidR="00FC1EA1" w:rsidRPr="00FC1EA1">
        <w:rPr>
          <w:rFonts w:ascii="Calibri" w:hAnsi="Calibri" w:cs="Calibri"/>
          <w:color w:val="000000"/>
        </w:rPr>
        <w:t xml:space="preserve"> </w:t>
      </w:r>
      <w:r w:rsidRPr="00142B7A">
        <w:rPr>
          <w:rFonts w:ascii="Calibri" w:hAnsi="Calibri" w:cs="Calibri"/>
          <w:color w:val="000000"/>
        </w:rPr>
        <w:t>proučitev možnosti preoblikovanj</w:t>
      </w:r>
      <w:r w:rsidR="00271F24">
        <w:rPr>
          <w:rFonts w:ascii="Calibri" w:hAnsi="Calibri" w:cs="Calibri"/>
          <w:color w:val="000000"/>
        </w:rPr>
        <w:t>a</w:t>
      </w:r>
      <w:r w:rsidRPr="00142B7A">
        <w:rPr>
          <w:rFonts w:ascii="Calibri" w:hAnsi="Calibri" w:cs="Calibri"/>
          <w:color w:val="000000"/>
        </w:rPr>
        <w:t xml:space="preserve"> obstoječih spodbud v bolj okoljsko naravnane</w:t>
      </w:r>
      <w:r w:rsidR="00FC1EA1" w:rsidRPr="00FC1EA1">
        <w:rPr>
          <w:rFonts w:ascii="Calibri" w:hAnsi="Calibri" w:cs="Calibri"/>
          <w:color w:val="000000"/>
        </w:rPr>
        <w:t xml:space="preserve"> in proučitev možnosti za povečan poudarek pri okoljskih merilih pri davku na motorna vozila. Vlada R</w:t>
      </w:r>
      <w:r w:rsidR="00271F24">
        <w:rPr>
          <w:rFonts w:ascii="Calibri" w:hAnsi="Calibri" w:cs="Calibri"/>
          <w:color w:val="000000"/>
        </w:rPr>
        <w:t>S</w:t>
      </w:r>
      <w:r w:rsidR="00FC1EA1" w:rsidRPr="00FC1EA1">
        <w:rPr>
          <w:rFonts w:ascii="Calibri" w:hAnsi="Calibri" w:cs="Calibri"/>
          <w:color w:val="000000"/>
        </w:rPr>
        <w:t xml:space="preserve"> je poročilo potrdila in s sprejetimi sklepi naložila proučitev možnosti za upoštevanje priporočil.</w:t>
      </w:r>
      <w:r w:rsidR="00FC1EA1" w:rsidRPr="00FC1EA1">
        <w:rPr>
          <w:rFonts w:ascii="Arial" w:hAnsi="Arial" w:cs="Arial"/>
          <w:color w:val="000000"/>
          <w:sz w:val="20"/>
          <w:szCs w:val="20"/>
        </w:rPr>
        <w:t xml:space="preserve"> </w:t>
      </w:r>
    </w:p>
    <w:p w14:paraId="0D41FB9C" w14:textId="47429C7E" w:rsidR="00E61558" w:rsidRDefault="00081F0D" w:rsidP="00FC1EA1">
      <w:pPr>
        <w:spacing w:after="0" w:line="240" w:lineRule="auto"/>
        <w:jc w:val="both"/>
        <w:rPr>
          <w:rFonts w:ascii="Calibri" w:hAnsi="Calibri" w:cs="Calibri"/>
        </w:rPr>
      </w:pPr>
      <w:r>
        <w:rPr>
          <w:rFonts w:ascii="Calibri" w:hAnsi="Calibri" w:cs="Calibri"/>
        </w:rPr>
        <w:t xml:space="preserve">Poleg potrebne zagotovljene kontinuitete in večje ambicioznosti ZPR je potrebno zagotoviti tudi zmanjševanje </w:t>
      </w:r>
      <w:r w:rsidR="00981798">
        <w:t>spodbud, ki so v nasprotju s cilji zmanjševanja emisij TGP.</w:t>
      </w:r>
      <w:r>
        <w:rPr>
          <w:rFonts w:ascii="Calibri" w:hAnsi="Calibri" w:cs="Calibri"/>
        </w:rPr>
        <w:t xml:space="preserve"> Le-te povzročajo večje količine emisij, odpadkov, </w:t>
      </w:r>
      <w:r w:rsidR="00A57AA2">
        <w:rPr>
          <w:rFonts w:ascii="Calibri" w:hAnsi="Calibri" w:cs="Calibri"/>
        </w:rPr>
        <w:t xml:space="preserve">spodbujajo </w:t>
      </w:r>
      <w:r w:rsidR="008005C4">
        <w:rPr>
          <w:rFonts w:ascii="Calibri" w:hAnsi="Calibri" w:cs="Calibri"/>
        </w:rPr>
        <w:t xml:space="preserve">obsežnejše </w:t>
      </w:r>
      <w:r>
        <w:rPr>
          <w:rFonts w:ascii="Calibri" w:hAnsi="Calibri" w:cs="Calibri"/>
        </w:rPr>
        <w:t xml:space="preserve">pridobivanje </w:t>
      </w:r>
      <w:r w:rsidR="00A57AA2">
        <w:rPr>
          <w:rFonts w:ascii="Calibri" w:hAnsi="Calibri" w:cs="Calibri"/>
        </w:rPr>
        <w:t xml:space="preserve">naravnih </w:t>
      </w:r>
      <w:r>
        <w:rPr>
          <w:rFonts w:ascii="Calibri" w:hAnsi="Calibri" w:cs="Calibri"/>
        </w:rPr>
        <w:t xml:space="preserve">virov, </w:t>
      </w:r>
      <w:r w:rsidR="00A57AA2">
        <w:rPr>
          <w:rFonts w:ascii="Calibri" w:hAnsi="Calibri" w:cs="Calibri"/>
        </w:rPr>
        <w:t xml:space="preserve">povzročajo </w:t>
      </w:r>
      <w:r w:rsidR="005B5A61">
        <w:rPr>
          <w:rFonts w:ascii="Calibri" w:hAnsi="Calibri" w:cs="Calibri"/>
        </w:rPr>
        <w:t xml:space="preserve">negativne učinke na biodiverziteto, spodbujajo konvencionalne okolju škodljive prakse in ovirajo vlaganje podjetij v zelene tehnologije. </w:t>
      </w:r>
    </w:p>
    <w:p w14:paraId="36C916BA" w14:textId="50F4808E" w:rsidR="00FC1EA1" w:rsidRPr="00FC1EA1" w:rsidRDefault="00E61558" w:rsidP="00FC1EA1">
      <w:pPr>
        <w:spacing w:after="0" w:line="240" w:lineRule="auto"/>
        <w:jc w:val="both"/>
        <w:rPr>
          <w:rFonts w:ascii="Arial" w:hAnsi="Arial" w:cs="Arial"/>
          <w:color w:val="000000"/>
          <w:sz w:val="20"/>
          <w:szCs w:val="20"/>
        </w:rPr>
      </w:pPr>
      <w:r>
        <w:rPr>
          <w:rFonts w:ascii="Calibri" w:hAnsi="Calibri" w:cs="Calibri"/>
        </w:rPr>
        <w:lastRenderedPageBreak/>
        <w:t xml:space="preserve">Za hitrejšo in bolj uspešno ozelenitev gospodarske rasti bi bilo potrebno </w:t>
      </w:r>
      <w:r w:rsidR="00525F14">
        <w:rPr>
          <w:rFonts w:ascii="Calibri" w:hAnsi="Calibri" w:cs="Calibri"/>
        </w:rPr>
        <w:t>postaviti konkretne cilje za razpise</w:t>
      </w:r>
      <w:r>
        <w:rPr>
          <w:rFonts w:ascii="Calibri" w:hAnsi="Calibri" w:cs="Calibri"/>
        </w:rPr>
        <w:t xml:space="preserve"> projekt</w:t>
      </w:r>
      <w:r w:rsidR="00525F14">
        <w:rPr>
          <w:rFonts w:ascii="Calibri" w:hAnsi="Calibri" w:cs="Calibri"/>
        </w:rPr>
        <w:t>ov, ki spodbujajo nizkoogljično gospodarstvo, zagotoviti ustreznejšo koordinacijo pristojnih akterjev za doseganje podnebnih ciljev</w:t>
      </w:r>
      <w:r w:rsidR="008B25FA">
        <w:rPr>
          <w:rFonts w:ascii="Calibri" w:hAnsi="Calibri" w:cs="Calibri"/>
        </w:rPr>
        <w:t xml:space="preserve"> </w:t>
      </w:r>
      <w:r w:rsidR="008B25FA">
        <w:t>za vse ukrepe namenjene prehodu v podnebno nevtralno družbo in vzpostavitvi nizkoogljičnega krožnega gospodarstva, določi kvantitativne cilje zmanjšanja emisij, področje prehoda v podnebno nevtralno družbo postaviti kot prioritetno področje pri financiranju raziskovalno-razvojnih programov in projektov</w:t>
      </w:r>
      <w:r w:rsidR="00525F14">
        <w:rPr>
          <w:rFonts w:ascii="Calibri" w:hAnsi="Calibri" w:cs="Calibri"/>
        </w:rPr>
        <w:t xml:space="preserve"> ter </w:t>
      </w:r>
      <w:r w:rsidR="00763DCD">
        <w:rPr>
          <w:rFonts w:ascii="Calibri" w:hAnsi="Calibri" w:cs="Calibri"/>
        </w:rPr>
        <w:t>nadgradi</w:t>
      </w:r>
      <w:r w:rsidR="00525F14">
        <w:rPr>
          <w:rFonts w:ascii="Calibri" w:hAnsi="Calibri" w:cs="Calibri"/>
        </w:rPr>
        <w:t xml:space="preserve"> načrtovanje porabe sredstev </w:t>
      </w:r>
      <w:r w:rsidR="000F7143">
        <w:rPr>
          <w:rFonts w:ascii="Calibri" w:hAnsi="Calibri" w:cs="Calibri"/>
        </w:rPr>
        <w:t>S</w:t>
      </w:r>
      <w:r w:rsidR="00525F14">
        <w:rPr>
          <w:rFonts w:ascii="Calibri" w:hAnsi="Calibri" w:cs="Calibri"/>
        </w:rPr>
        <w:t>klada za podnebne spremembe</w:t>
      </w:r>
      <w:r w:rsidR="00763DCD">
        <w:rPr>
          <w:rFonts w:ascii="Calibri" w:hAnsi="Calibri" w:cs="Calibri"/>
        </w:rPr>
        <w:t xml:space="preserve"> tako, da se zastavi konkretne cilje in zagotovi spremljanje učinkov</w:t>
      </w:r>
      <w:r w:rsidR="00525F14">
        <w:rPr>
          <w:rFonts w:ascii="Calibri" w:hAnsi="Calibri" w:cs="Calibri"/>
        </w:rPr>
        <w:t xml:space="preserve">. </w:t>
      </w:r>
    </w:p>
    <w:p w14:paraId="5A28850F" w14:textId="77777777" w:rsidR="006346C0" w:rsidRDefault="006346C0" w:rsidP="009661A0">
      <w:pPr>
        <w:spacing w:after="0" w:line="240" w:lineRule="auto"/>
        <w:jc w:val="both"/>
        <w:rPr>
          <w:rFonts w:ascii="Calibri" w:hAnsi="Calibri" w:cs="Calibri"/>
        </w:rPr>
      </w:pPr>
    </w:p>
    <w:p w14:paraId="21DF1BAF" w14:textId="5CF6CA30" w:rsidR="00EE70D5" w:rsidRPr="00472C4D" w:rsidRDefault="003825D3" w:rsidP="00EE70D5">
      <w:pPr>
        <w:spacing w:after="0" w:line="240" w:lineRule="auto"/>
        <w:jc w:val="both"/>
        <w:rPr>
          <w:rFonts w:ascii="Calibri" w:hAnsi="Calibri" w:cs="Calibri"/>
          <w:b/>
          <w:bCs/>
        </w:rPr>
      </w:pPr>
      <w:r w:rsidRPr="0057522A">
        <w:rPr>
          <w:rFonts w:ascii="Calibri" w:hAnsi="Calibri" w:cs="Calibri"/>
          <w:b/>
          <w:bCs/>
        </w:rPr>
        <w:t>4</w:t>
      </w:r>
      <w:r w:rsidR="00EE70D5" w:rsidRPr="0057522A">
        <w:rPr>
          <w:rFonts w:ascii="Calibri" w:hAnsi="Calibri" w:cs="Calibri"/>
          <w:b/>
          <w:bCs/>
        </w:rPr>
        <w:t>.2 Promet</w:t>
      </w:r>
    </w:p>
    <w:p w14:paraId="41599800" w14:textId="46916B8E" w:rsidR="00620BDA" w:rsidRPr="00472C4D" w:rsidRDefault="00620BDA" w:rsidP="00C52E4C">
      <w:pPr>
        <w:spacing w:after="0" w:line="240" w:lineRule="auto"/>
        <w:jc w:val="both"/>
        <w:rPr>
          <w:rFonts w:ascii="Calibri" w:hAnsi="Calibri" w:cs="Calibri"/>
        </w:rPr>
      </w:pPr>
    </w:p>
    <w:p w14:paraId="2BFD0927" w14:textId="358D12B8" w:rsidR="00923A12" w:rsidRPr="00472C4D" w:rsidRDefault="002E58CC" w:rsidP="00C52E4C">
      <w:pPr>
        <w:spacing w:after="0" w:line="240" w:lineRule="auto"/>
        <w:jc w:val="both"/>
        <w:rPr>
          <w:rFonts w:ascii="Calibri" w:hAnsi="Calibri" w:cs="Calibri"/>
        </w:rPr>
      </w:pPr>
      <w:r>
        <w:rPr>
          <w:rFonts w:ascii="Calibri" w:hAnsi="Calibri" w:cs="Calibri"/>
        </w:rPr>
        <w:t>Zaradi</w:t>
      </w:r>
      <w:r w:rsidR="00923A12" w:rsidRPr="00472C4D">
        <w:rPr>
          <w:rFonts w:ascii="Calibri" w:hAnsi="Calibri" w:cs="Calibri"/>
        </w:rPr>
        <w:t xml:space="preserve"> naraščan</w:t>
      </w:r>
      <w:r w:rsidR="00D95988">
        <w:rPr>
          <w:rFonts w:ascii="Calibri" w:hAnsi="Calibri" w:cs="Calibri"/>
        </w:rPr>
        <w:t>j</w:t>
      </w:r>
      <w:r>
        <w:rPr>
          <w:rFonts w:ascii="Calibri" w:hAnsi="Calibri" w:cs="Calibri"/>
        </w:rPr>
        <w:t>a</w:t>
      </w:r>
      <w:r w:rsidR="00923A12" w:rsidRPr="00472C4D">
        <w:rPr>
          <w:rFonts w:ascii="Calibri" w:hAnsi="Calibri" w:cs="Calibri"/>
        </w:rPr>
        <w:t xml:space="preserve"> emisij v sektorju promet, področje ukrepanja zajema širok nabor aktivnosti za </w:t>
      </w:r>
      <w:r w:rsidR="00AD7E5F">
        <w:rPr>
          <w:rFonts w:ascii="Calibri" w:hAnsi="Calibri" w:cs="Calibri"/>
        </w:rPr>
        <w:t xml:space="preserve">izboljšanje </w:t>
      </w:r>
      <w:r w:rsidR="00923A12" w:rsidRPr="00472C4D">
        <w:rPr>
          <w:rFonts w:ascii="Calibri" w:hAnsi="Calibri" w:cs="Calibri"/>
        </w:rPr>
        <w:t xml:space="preserve">integriranega javnega potniškega prometa, </w:t>
      </w:r>
      <w:r w:rsidR="00AD7E5F">
        <w:rPr>
          <w:rFonts w:ascii="Calibri" w:hAnsi="Calibri" w:cs="Calibri"/>
        </w:rPr>
        <w:t>učinkovitosti vozil, nadgradnje</w:t>
      </w:r>
      <w:r w:rsidR="00923A12" w:rsidRPr="00472C4D">
        <w:rPr>
          <w:rFonts w:ascii="Calibri" w:hAnsi="Calibri" w:cs="Calibri"/>
        </w:rPr>
        <w:t xml:space="preserve"> prometne infra</w:t>
      </w:r>
      <w:r w:rsidR="00AD7E5F">
        <w:rPr>
          <w:rFonts w:ascii="Calibri" w:hAnsi="Calibri" w:cs="Calibri"/>
        </w:rPr>
        <w:t>struktu</w:t>
      </w:r>
      <w:r w:rsidR="00DA7FA3">
        <w:rPr>
          <w:rFonts w:ascii="Calibri" w:hAnsi="Calibri" w:cs="Calibri"/>
        </w:rPr>
        <w:t>re</w:t>
      </w:r>
      <w:r w:rsidR="00EC10BC">
        <w:rPr>
          <w:rFonts w:ascii="Calibri" w:hAnsi="Calibri" w:cs="Calibri"/>
        </w:rPr>
        <w:t>, spodbujanje trajnostnega tovornega prometa</w:t>
      </w:r>
      <w:r w:rsidR="00DA7FA3">
        <w:rPr>
          <w:rFonts w:ascii="Calibri" w:hAnsi="Calibri" w:cs="Calibri"/>
        </w:rPr>
        <w:t xml:space="preserve"> in </w:t>
      </w:r>
      <w:r w:rsidR="00AD7E5F">
        <w:rPr>
          <w:rFonts w:ascii="Calibri" w:hAnsi="Calibri" w:cs="Calibri"/>
        </w:rPr>
        <w:t>drugih ukrepov trajnostne mobilnosti</w:t>
      </w:r>
      <w:r w:rsidR="00923A12" w:rsidRPr="00472C4D">
        <w:rPr>
          <w:rFonts w:ascii="Calibri" w:hAnsi="Calibri" w:cs="Calibri"/>
        </w:rPr>
        <w:t>.</w:t>
      </w:r>
    </w:p>
    <w:p w14:paraId="48F26FBF" w14:textId="24296217" w:rsidR="00AE1984" w:rsidRPr="00472C4D" w:rsidRDefault="00BF6681" w:rsidP="00C52E4C">
      <w:pPr>
        <w:spacing w:after="0" w:line="240" w:lineRule="auto"/>
        <w:jc w:val="both"/>
        <w:rPr>
          <w:rFonts w:ascii="Calibri" w:hAnsi="Calibri" w:cs="Calibri"/>
        </w:rPr>
      </w:pPr>
      <w:r>
        <w:rPr>
          <w:rFonts w:ascii="Calibri" w:hAnsi="Calibri" w:cs="Calibri"/>
        </w:rPr>
        <w:t xml:space="preserve">V </w:t>
      </w:r>
      <w:r w:rsidR="00402C5B" w:rsidRPr="00472C4D">
        <w:rPr>
          <w:rFonts w:ascii="Calibri" w:hAnsi="Calibri" w:cs="Calibri"/>
        </w:rPr>
        <w:t>let</w:t>
      </w:r>
      <w:r>
        <w:rPr>
          <w:rFonts w:ascii="Calibri" w:hAnsi="Calibri" w:cs="Calibri"/>
        </w:rPr>
        <w:t>ih</w:t>
      </w:r>
      <w:r w:rsidR="00402C5B" w:rsidRPr="00472C4D">
        <w:rPr>
          <w:rFonts w:ascii="Calibri" w:hAnsi="Calibri" w:cs="Calibri"/>
        </w:rPr>
        <w:t xml:space="preserve"> 2018 </w:t>
      </w:r>
      <w:r w:rsidR="00DC072F">
        <w:rPr>
          <w:rFonts w:ascii="Calibri" w:hAnsi="Calibri" w:cs="Calibri"/>
        </w:rPr>
        <w:t>in 2019</w:t>
      </w:r>
      <w:r>
        <w:rPr>
          <w:rFonts w:ascii="Calibri" w:hAnsi="Calibri" w:cs="Calibri"/>
        </w:rPr>
        <w:t xml:space="preserve"> so bili</w:t>
      </w:r>
      <w:r w:rsidR="00DC072F">
        <w:rPr>
          <w:rFonts w:ascii="Calibri" w:hAnsi="Calibri" w:cs="Calibri"/>
        </w:rPr>
        <w:t xml:space="preserve"> </w:t>
      </w:r>
      <w:r w:rsidR="004B6EC0" w:rsidRPr="00472C4D">
        <w:rPr>
          <w:rFonts w:ascii="Calibri" w:hAnsi="Calibri" w:cs="Calibri"/>
        </w:rPr>
        <w:t>izvedeni</w:t>
      </w:r>
      <w:r w:rsidR="002744C4" w:rsidRPr="00472C4D">
        <w:rPr>
          <w:rFonts w:ascii="Calibri" w:hAnsi="Calibri" w:cs="Calibri"/>
        </w:rPr>
        <w:t xml:space="preserve"> naslednji ukrepi:</w:t>
      </w:r>
    </w:p>
    <w:p w14:paraId="497C604E" w14:textId="51876928" w:rsidR="002744C4" w:rsidRPr="001872B5" w:rsidRDefault="00402C5B" w:rsidP="001872B5">
      <w:pPr>
        <w:pStyle w:val="Odstavekseznama"/>
        <w:numPr>
          <w:ilvl w:val="0"/>
          <w:numId w:val="4"/>
        </w:numPr>
        <w:spacing w:after="0" w:line="240" w:lineRule="auto"/>
        <w:jc w:val="both"/>
        <w:rPr>
          <w:rFonts w:ascii="Calibri" w:hAnsi="Calibri" w:cs="Calibri"/>
        </w:rPr>
      </w:pPr>
      <w:r w:rsidRPr="001872B5">
        <w:rPr>
          <w:rFonts w:ascii="Calibri" w:hAnsi="Calibri" w:cs="Calibri"/>
        </w:rPr>
        <w:t>Celostne prometne strategije (CPS) pomagajo občinam vzpostaviti trajnostno načrtovanje prometa. CPS je</w:t>
      </w:r>
      <w:r w:rsidR="0041385B">
        <w:rPr>
          <w:rFonts w:ascii="Calibri" w:hAnsi="Calibri" w:cs="Calibri"/>
        </w:rPr>
        <w:t xml:space="preserve"> </w:t>
      </w:r>
      <w:r w:rsidR="009F6658">
        <w:rPr>
          <w:rFonts w:ascii="Calibri" w:hAnsi="Calibri" w:cs="Calibri"/>
        </w:rPr>
        <w:t xml:space="preserve">sprejelo že </w:t>
      </w:r>
      <w:r w:rsidR="00B8051E">
        <w:rPr>
          <w:rFonts w:ascii="Calibri" w:hAnsi="Calibri" w:cs="Calibri"/>
        </w:rPr>
        <w:t>82 občin -</w:t>
      </w:r>
      <w:r w:rsidR="009F6658">
        <w:rPr>
          <w:rFonts w:ascii="Calibri" w:hAnsi="Calibri" w:cs="Calibri"/>
        </w:rPr>
        <w:t xml:space="preserve"> v letu 2018 </w:t>
      </w:r>
      <w:r w:rsidR="00B8051E">
        <w:rPr>
          <w:rFonts w:ascii="Calibri" w:hAnsi="Calibri" w:cs="Calibri"/>
        </w:rPr>
        <w:t>je CPS sprejelo 9 občin</w:t>
      </w:r>
      <w:r w:rsidRPr="001872B5">
        <w:rPr>
          <w:rFonts w:ascii="Calibri" w:hAnsi="Calibri" w:cs="Calibri"/>
        </w:rPr>
        <w:t>,</w:t>
      </w:r>
      <w:r w:rsidR="00B8051E">
        <w:rPr>
          <w:rFonts w:ascii="Calibri" w:hAnsi="Calibri" w:cs="Calibri"/>
        </w:rPr>
        <w:t xml:space="preserve"> v letu 2019 tri.</w:t>
      </w:r>
      <w:r w:rsidRPr="001872B5">
        <w:rPr>
          <w:rFonts w:ascii="Calibri" w:hAnsi="Calibri" w:cs="Calibri"/>
        </w:rPr>
        <w:t xml:space="preserve"> </w:t>
      </w:r>
      <w:r w:rsidR="00A51A5A">
        <w:rPr>
          <w:rFonts w:ascii="Calibri" w:hAnsi="Calibri" w:cs="Calibri"/>
        </w:rPr>
        <w:t>Regionalno CPS sta sprejeli</w:t>
      </w:r>
      <w:r w:rsidRPr="001872B5">
        <w:rPr>
          <w:rFonts w:ascii="Calibri" w:hAnsi="Calibri" w:cs="Calibri"/>
        </w:rPr>
        <w:t xml:space="preserve"> Ljubljanska urbana regija</w:t>
      </w:r>
      <w:r w:rsidR="00A51A5A">
        <w:rPr>
          <w:rFonts w:ascii="Calibri" w:hAnsi="Calibri" w:cs="Calibri"/>
        </w:rPr>
        <w:t xml:space="preserve"> in čezmejna Goriška regija</w:t>
      </w:r>
      <w:r w:rsidRPr="001872B5">
        <w:rPr>
          <w:rFonts w:ascii="Calibri" w:hAnsi="Calibri" w:cs="Calibri"/>
        </w:rPr>
        <w:t>.</w:t>
      </w:r>
      <w:r w:rsidR="00A51A5A" w:rsidRPr="00A51A5A">
        <w:t xml:space="preserve"> </w:t>
      </w:r>
      <w:r w:rsidR="00A51A5A">
        <w:t>Na celjsko-velenjskem območju je bila podpisana zaveza 11 občin o sodelovanju na področju trajnostne mobilnosti.</w:t>
      </w:r>
    </w:p>
    <w:p w14:paraId="2CB3E441" w14:textId="7D2DB1C3" w:rsidR="00402C5B" w:rsidRPr="002E58CC" w:rsidRDefault="00DC072F" w:rsidP="001872B5">
      <w:pPr>
        <w:pStyle w:val="Odstavekseznama"/>
        <w:numPr>
          <w:ilvl w:val="0"/>
          <w:numId w:val="4"/>
        </w:numPr>
        <w:spacing w:after="0" w:line="240" w:lineRule="auto"/>
        <w:jc w:val="both"/>
        <w:rPr>
          <w:rFonts w:ascii="Calibri" w:hAnsi="Calibri" w:cs="Calibri"/>
          <w:i/>
          <w:iCs/>
        </w:rPr>
      </w:pPr>
      <w:r>
        <w:rPr>
          <w:rFonts w:ascii="Calibri" w:hAnsi="Calibri" w:cs="Calibri"/>
        </w:rPr>
        <w:t>V letu 201</w:t>
      </w:r>
      <w:r w:rsidR="001A567B">
        <w:rPr>
          <w:rFonts w:ascii="Calibri" w:hAnsi="Calibri" w:cs="Calibri"/>
        </w:rPr>
        <w:t>8</w:t>
      </w:r>
      <w:r>
        <w:rPr>
          <w:rFonts w:ascii="Calibri" w:hAnsi="Calibri" w:cs="Calibri"/>
        </w:rPr>
        <w:t xml:space="preserve"> so bile </w:t>
      </w:r>
      <w:r w:rsidR="001A567B">
        <w:rPr>
          <w:rFonts w:ascii="Calibri" w:hAnsi="Calibri" w:cs="Calibri"/>
        </w:rPr>
        <w:t>izdane</w:t>
      </w:r>
      <w:r w:rsidR="00402C5B" w:rsidRPr="001872B5">
        <w:rPr>
          <w:rFonts w:ascii="Calibri" w:hAnsi="Calibri" w:cs="Calibri"/>
        </w:rPr>
        <w:t xml:space="preserve"> </w:t>
      </w:r>
      <w:r w:rsidR="001A567B">
        <w:rPr>
          <w:rFonts w:ascii="Calibri" w:hAnsi="Calibri" w:cs="Calibri"/>
        </w:rPr>
        <w:t>N</w:t>
      </w:r>
      <w:r w:rsidR="00402C5B" w:rsidRPr="001872B5">
        <w:rPr>
          <w:rFonts w:ascii="Calibri" w:hAnsi="Calibri" w:cs="Calibri"/>
        </w:rPr>
        <w:t xml:space="preserve">acionalne smernice za pripravo mobilnostnih načrtov za </w:t>
      </w:r>
      <w:r w:rsidR="00402C5B" w:rsidRPr="002E58CC">
        <w:rPr>
          <w:rFonts w:ascii="Calibri" w:hAnsi="Calibri" w:cs="Calibri"/>
        </w:rPr>
        <w:t>ustanove</w:t>
      </w:r>
      <w:r w:rsidR="002E58CC" w:rsidRPr="002E58CC">
        <w:rPr>
          <w:rFonts w:ascii="Calibri" w:hAnsi="Calibri" w:cs="Calibri"/>
          <w:i/>
          <w:iCs/>
        </w:rPr>
        <w:t xml:space="preserve"> </w:t>
      </w:r>
      <w:r w:rsidR="002E58CC" w:rsidRPr="002E58CC">
        <w:rPr>
          <w:rStyle w:val="Intenzivenpoudarek"/>
          <w:i w:val="0"/>
          <w:iCs w:val="0"/>
          <w:color w:val="auto"/>
        </w:rPr>
        <w:t xml:space="preserve">in izvedena dva seminarja izobraževanja za pripravljavce </w:t>
      </w:r>
      <w:r w:rsidR="00083D2B">
        <w:rPr>
          <w:rStyle w:val="Intenzivenpoudarek"/>
          <w:i w:val="0"/>
          <w:iCs w:val="0"/>
          <w:color w:val="auto"/>
        </w:rPr>
        <w:t xml:space="preserve">mobilnostnih </w:t>
      </w:r>
      <w:r w:rsidR="002E58CC" w:rsidRPr="002E58CC">
        <w:rPr>
          <w:rStyle w:val="Intenzivenpoudarek"/>
          <w:i w:val="0"/>
          <w:iCs w:val="0"/>
          <w:color w:val="auto"/>
        </w:rPr>
        <w:t>načrtov</w:t>
      </w:r>
      <w:r w:rsidR="00083D2B">
        <w:rPr>
          <w:rStyle w:val="Intenzivenpoudarek"/>
          <w:i w:val="0"/>
          <w:iCs w:val="0"/>
          <w:color w:val="auto"/>
        </w:rPr>
        <w:t xml:space="preserve"> (MN)</w:t>
      </w:r>
      <w:r w:rsidR="002E58CC" w:rsidRPr="002E58CC">
        <w:rPr>
          <w:rStyle w:val="Intenzivenpoudarek"/>
          <w:i w:val="0"/>
          <w:iCs w:val="0"/>
          <w:color w:val="auto"/>
        </w:rPr>
        <w:t xml:space="preserve"> za podjetja ter objavljen razpis Eko sklada za sofinanciranje priprave </w:t>
      </w:r>
      <w:r w:rsidR="00083D2B">
        <w:rPr>
          <w:rStyle w:val="Intenzivenpoudarek"/>
          <w:i w:val="0"/>
          <w:iCs w:val="0"/>
          <w:color w:val="auto"/>
        </w:rPr>
        <w:t>MN</w:t>
      </w:r>
      <w:r w:rsidR="002E58CC" w:rsidRPr="002E58CC">
        <w:rPr>
          <w:rStyle w:val="Intenzivenpoudarek"/>
          <w:i w:val="0"/>
          <w:iCs w:val="0"/>
          <w:color w:val="auto"/>
        </w:rPr>
        <w:t xml:space="preserve"> za podjetja.</w:t>
      </w:r>
    </w:p>
    <w:p w14:paraId="4B3EEDB5" w14:textId="14230BC6" w:rsidR="00402C5B" w:rsidRPr="00065C8A" w:rsidRDefault="00402C5B" w:rsidP="001872B5">
      <w:pPr>
        <w:pStyle w:val="Odstavekseznama"/>
        <w:numPr>
          <w:ilvl w:val="0"/>
          <w:numId w:val="4"/>
        </w:numPr>
        <w:spacing w:after="0" w:line="240" w:lineRule="auto"/>
        <w:jc w:val="both"/>
        <w:rPr>
          <w:rFonts w:ascii="Calibri" w:hAnsi="Calibri" w:cs="Calibri"/>
        </w:rPr>
      </w:pPr>
      <w:r w:rsidRPr="001872B5">
        <w:rPr>
          <w:rFonts w:ascii="Calibri" w:hAnsi="Calibri" w:cs="Calibri"/>
        </w:rPr>
        <w:t>Evropsk</w:t>
      </w:r>
      <w:r w:rsidR="00240666" w:rsidRPr="001872B5">
        <w:rPr>
          <w:rFonts w:ascii="Calibri" w:hAnsi="Calibri" w:cs="Calibri"/>
        </w:rPr>
        <w:t>emu</w:t>
      </w:r>
      <w:r w:rsidRPr="001872B5">
        <w:rPr>
          <w:rFonts w:ascii="Calibri" w:hAnsi="Calibri" w:cs="Calibri"/>
        </w:rPr>
        <w:t xml:space="preserve"> ted</w:t>
      </w:r>
      <w:r w:rsidR="00240666" w:rsidRPr="001872B5">
        <w:rPr>
          <w:rFonts w:ascii="Calibri" w:hAnsi="Calibri" w:cs="Calibri"/>
        </w:rPr>
        <w:t>nu</w:t>
      </w:r>
      <w:r w:rsidRPr="001872B5">
        <w:rPr>
          <w:rFonts w:ascii="Calibri" w:hAnsi="Calibri" w:cs="Calibri"/>
        </w:rPr>
        <w:t xml:space="preserve"> mobilnosti (ETM), </w:t>
      </w:r>
      <w:r w:rsidR="00240666" w:rsidRPr="001872B5">
        <w:rPr>
          <w:rFonts w:ascii="Calibri" w:hAnsi="Calibri" w:cs="Calibri"/>
        </w:rPr>
        <w:t xml:space="preserve">ki promovira trajnostno mobilnost v lokalnih skupnostih, </w:t>
      </w:r>
      <w:r w:rsidRPr="001872B5">
        <w:rPr>
          <w:rFonts w:ascii="Calibri" w:hAnsi="Calibri" w:cs="Calibri"/>
        </w:rPr>
        <w:t xml:space="preserve">se je </w:t>
      </w:r>
      <w:r w:rsidR="001A567B">
        <w:rPr>
          <w:rFonts w:ascii="Calibri" w:hAnsi="Calibri" w:cs="Calibri"/>
        </w:rPr>
        <w:t xml:space="preserve">v letu 2018 </w:t>
      </w:r>
      <w:r w:rsidRPr="001872B5">
        <w:rPr>
          <w:rFonts w:ascii="Calibri" w:hAnsi="Calibri" w:cs="Calibri"/>
        </w:rPr>
        <w:t>pridružilo 77 občin</w:t>
      </w:r>
      <w:r w:rsidR="001A567B">
        <w:rPr>
          <w:rFonts w:ascii="Calibri" w:hAnsi="Calibri" w:cs="Calibri"/>
        </w:rPr>
        <w:t>, v letu 2019 80</w:t>
      </w:r>
      <w:r w:rsidRPr="001872B5">
        <w:rPr>
          <w:rFonts w:ascii="Calibri" w:hAnsi="Calibri" w:cs="Calibri"/>
        </w:rPr>
        <w:t>.</w:t>
      </w:r>
      <w:r w:rsidR="00677C15">
        <w:rPr>
          <w:rFonts w:ascii="Calibri" w:hAnsi="Calibri" w:cs="Calibri"/>
        </w:rPr>
        <w:t xml:space="preserve"> Osrednja tema v letu 2017 je bila multimodalnost, v letu 2018 pešačenje.</w:t>
      </w:r>
      <w:r w:rsidRPr="001872B5">
        <w:rPr>
          <w:rFonts w:ascii="Calibri" w:hAnsi="Calibri" w:cs="Calibri"/>
        </w:rPr>
        <w:t xml:space="preserve"> </w:t>
      </w:r>
      <w:r w:rsidR="00037B62">
        <w:rPr>
          <w:rFonts w:ascii="Calibri" w:hAnsi="Calibri" w:cs="Calibri"/>
        </w:rPr>
        <w:t xml:space="preserve">Ena izmed uspešnih aktivnosti je </w:t>
      </w:r>
      <w:r w:rsidR="00037B62" w:rsidRPr="00065C8A">
        <w:rPr>
          <w:rFonts w:ascii="Calibri" w:hAnsi="Calibri" w:cs="Calibri"/>
          <w:i/>
        </w:rPr>
        <w:t>Pešbus</w:t>
      </w:r>
      <w:r w:rsidR="00037B62">
        <w:rPr>
          <w:rFonts w:ascii="Calibri" w:hAnsi="Calibri" w:cs="Calibri"/>
        </w:rPr>
        <w:t xml:space="preserve">, ki ga </w:t>
      </w:r>
      <w:r w:rsidR="00037B62">
        <w:t>je od leta 2016 do leta 2019 izvedlo že 94 šol. V šolskem letu 2019/2020 naj bi potekal v 63 šolah po 150 progah, ustavljal na 370 postajah in v šolo pripeljal vsaj 2.500 otrok.</w:t>
      </w:r>
    </w:p>
    <w:p w14:paraId="367F6A07" w14:textId="0520A298" w:rsidR="00065C8A" w:rsidRPr="001872B5" w:rsidRDefault="00AC6743" w:rsidP="001872B5">
      <w:pPr>
        <w:pStyle w:val="Odstavekseznama"/>
        <w:numPr>
          <w:ilvl w:val="0"/>
          <w:numId w:val="4"/>
        </w:numPr>
        <w:spacing w:after="0" w:line="240" w:lineRule="auto"/>
        <w:jc w:val="both"/>
        <w:rPr>
          <w:rFonts w:ascii="Calibri" w:hAnsi="Calibri" w:cs="Calibri"/>
        </w:rPr>
      </w:pPr>
      <w:r>
        <w:t>V letu 2019 je bil u</w:t>
      </w:r>
      <w:r w:rsidR="00065C8A">
        <w:t xml:space="preserve">stanovljen Direktorat za trajnostno mobilnost in prometno politiko </w:t>
      </w:r>
      <w:r>
        <w:t>na Ministrstvu za infrastrukturo</w:t>
      </w:r>
      <w:r w:rsidR="00065C8A">
        <w:t>, ki izvaja strokovne in upravne naloge s področij javnega potniškega prometa, trajnostne mobilnosti in prometne politike</w:t>
      </w:r>
      <w:r>
        <w:t>.</w:t>
      </w:r>
    </w:p>
    <w:p w14:paraId="6A7FBE10" w14:textId="3492AA85" w:rsidR="001872B5" w:rsidRDefault="00065C8A" w:rsidP="00D679FC">
      <w:pPr>
        <w:pStyle w:val="Odstavekseznama"/>
        <w:numPr>
          <w:ilvl w:val="0"/>
          <w:numId w:val="4"/>
        </w:numPr>
        <w:spacing w:after="0" w:line="240" w:lineRule="auto"/>
        <w:jc w:val="both"/>
        <w:rPr>
          <w:rFonts w:ascii="Calibri" w:hAnsi="Calibri" w:cs="Calibri"/>
        </w:rPr>
      </w:pPr>
      <w:r>
        <w:rPr>
          <w:rFonts w:ascii="Calibri" w:hAnsi="Calibri" w:cs="Calibri"/>
        </w:rPr>
        <w:t xml:space="preserve">V letu 2018 je bil </w:t>
      </w:r>
      <w:r w:rsidR="00015093">
        <w:rPr>
          <w:rFonts w:ascii="Calibri" w:hAnsi="Calibri" w:cs="Calibri"/>
        </w:rPr>
        <w:t>sprejet</w:t>
      </w:r>
      <w:r w:rsidR="00C37160" w:rsidRPr="00D679FC">
        <w:rPr>
          <w:rFonts w:ascii="Calibri" w:hAnsi="Calibri" w:cs="Calibri"/>
        </w:rPr>
        <w:t xml:space="preserve"> </w:t>
      </w:r>
      <w:r w:rsidR="00C37160" w:rsidRPr="00D679FC">
        <w:rPr>
          <w:rFonts w:ascii="Calibri" w:hAnsi="Calibri" w:cs="Calibri"/>
          <w:i/>
          <w:iCs/>
        </w:rPr>
        <w:t>Akcijski program za alternativna goriva v prometu</w:t>
      </w:r>
      <w:r w:rsidR="00240666" w:rsidRPr="00D679FC">
        <w:rPr>
          <w:rFonts w:ascii="Calibri" w:hAnsi="Calibri" w:cs="Calibri"/>
        </w:rPr>
        <w:t xml:space="preserve">, ki izpostavlja vizijo, da se </w:t>
      </w:r>
      <w:r w:rsidR="001B1745" w:rsidRPr="00D679FC">
        <w:rPr>
          <w:rFonts w:ascii="Calibri" w:hAnsi="Calibri" w:cs="Calibri"/>
        </w:rPr>
        <w:t>S</w:t>
      </w:r>
      <w:r w:rsidR="00240666" w:rsidRPr="00D679FC">
        <w:rPr>
          <w:rFonts w:ascii="Calibri" w:hAnsi="Calibri" w:cs="Calibri"/>
        </w:rPr>
        <w:t xml:space="preserve">lovenija </w:t>
      </w:r>
      <w:r w:rsidR="001B1745" w:rsidRPr="00D679FC">
        <w:rPr>
          <w:rFonts w:ascii="Calibri" w:hAnsi="Calibri" w:cs="Calibri"/>
        </w:rPr>
        <w:t xml:space="preserve">uveljavi kot zelena država na področju raziskav, inovacij, industrije in prometa. </w:t>
      </w:r>
      <w:r w:rsidR="00F071E3" w:rsidRPr="00D679FC">
        <w:rPr>
          <w:rFonts w:ascii="Calibri" w:hAnsi="Calibri" w:cs="Calibri"/>
        </w:rPr>
        <w:t>Akcijski p</w:t>
      </w:r>
      <w:r w:rsidR="00FD53DF" w:rsidRPr="00D679FC">
        <w:rPr>
          <w:rFonts w:ascii="Calibri" w:hAnsi="Calibri" w:cs="Calibri"/>
        </w:rPr>
        <w:t xml:space="preserve">rogram </w:t>
      </w:r>
      <w:r w:rsidR="00F071E3" w:rsidRPr="00D679FC">
        <w:rPr>
          <w:rFonts w:ascii="Calibri" w:hAnsi="Calibri" w:cs="Calibri"/>
        </w:rPr>
        <w:t xml:space="preserve">je pripravljen za tri leta ter se dopolnjuje vsaki dve leti z veljavnostjo za naslednje tri leta. </w:t>
      </w:r>
      <w:r w:rsidR="001205D4" w:rsidRPr="00D679FC">
        <w:rPr>
          <w:rFonts w:ascii="Calibri" w:hAnsi="Calibri" w:cs="Calibri"/>
        </w:rPr>
        <w:t xml:space="preserve">Stremi k prestrukturiranju </w:t>
      </w:r>
      <w:r w:rsidR="00544164">
        <w:rPr>
          <w:rFonts w:ascii="Calibri" w:hAnsi="Calibri" w:cs="Calibri"/>
        </w:rPr>
        <w:t xml:space="preserve">rabe goriv v </w:t>
      </w:r>
      <w:r w:rsidR="001205D4" w:rsidRPr="00D679FC">
        <w:rPr>
          <w:rFonts w:ascii="Calibri" w:hAnsi="Calibri" w:cs="Calibri"/>
        </w:rPr>
        <w:t>osebne</w:t>
      </w:r>
      <w:r w:rsidR="00544164">
        <w:rPr>
          <w:rFonts w:ascii="Calibri" w:hAnsi="Calibri" w:cs="Calibri"/>
        </w:rPr>
        <w:t>m</w:t>
      </w:r>
      <w:r w:rsidR="001205D4" w:rsidRPr="00D679FC">
        <w:rPr>
          <w:rFonts w:ascii="Calibri" w:hAnsi="Calibri" w:cs="Calibri"/>
        </w:rPr>
        <w:t>, tovorne</w:t>
      </w:r>
      <w:r w:rsidR="00544164">
        <w:rPr>
          <w:rFonts w:ascii="Calibri" w:hAnsi="Calibri" w:cs="Calibri"/>
        </w:rPr>
        <w:t>m in</w:t>
      </w:r>
      <w:r w:rsidR="001205D4" w:rsidRPr="00D679FC">
        <w:rPr>
          <w:rFonts w:ascii="Calibri" w:hAnsi="Calibri" w:cs="Calibri"/>
        </w:rPr>
        <w:t xml:space="preserve"> JPP promet</w:t>
      </w:r>
      <w:r w:rsidR="00544164">
        <w:rPr>
          <w:rFonts w:ascii="Calibri" w:hAnsi="Calibri" w:cs="Calibri"/>
        </w:rPr>
        <w:t>u</w:t>
      </w:r>
      <w:r w:rsidR="0033369D">
        <w:rPr>
          <w:rFonts w:ascii="Calibri" w:hAnsi="Calibri" w:cs="Calibri"/>
        </w:rPr>
        <w:t>,</w:t>
      </w:r>
      <w:r w:rsidR="00544164">
        <w:rPr>
          <w:rFonts w:ascii="Calibri" w:hAnsi="Calibri" w:cs="Calibri"/>
        </w:rPr>
        <w:t xml:space="preserve"> v smeri večanja deleža rabe </w:t>
      </w:r>
      <w:r w:rsidR="001205D4" w:rsidRPr="00D679FC">
        <w:rPr>
          <w:rFonts w:ascii="Calibri" w:hAnsi="Calibri" w:cs="Calibri"/>
        </w:rPr>
        <w:t xml:space="preserve">alternativnih goriv </w:t>
      </w:r>
      <w:r w:rsidR="0033369D">
        <w:rPr>
          <w:rFonts w:ascii="Calibri" w:hAnsi="Calibri" w:cs="Calibri"/>
        </w:rPr>
        <w:t xml:space="preserve">v prometu </w:t>
      </w:r>
      <w:r w:rsidR="001205D4" w:rsidRPr="00D679FC">
        <w:rPr>
          <w:rFonts w:ascii="Calibri" w:hAnsi="Calibri" w:cs="Calibri"/>
        </w:rPr>
        <w:t>in p</w:t>
      </w:r>
      <w:r w:rsidR="00544164">
        <w:rPr>
          <w:rFonts w:ascii="Calibri" w:hAnsi="Calibri" w:cs="Calibri"/>
        </w:rPr>
        <w:t>odporne</w:t>
      </w:r>
      <w:r w:rsidR="001205D4" w:rsidRPr="00D679FC">
        <w:rPr>
          <w:rFonts w:ascii="Calibri" w:hAnsi="Calibri" w:cs="Calibri"/>
        </w:rPr>
        <w:t xml:space="preserve"> infrastrukture.</w:t>
      </w:r>
      <w:r w:rsidR="00D679FC" w:rsidRPr="00D679FC">
        <w:rPr>
          <w:rFonts w:ascii="Calibri" w:hAnsi="Calibri" w:cs="Calibri"/>
        </w:rPr>
        <w:t xml:space="preserve"> </w:t>
      </w:r>
    </w:p>
    <w:p w14:paraId="7D01B05A" w14:textId="371505FD" w:rsidR="006A7197" w:rsidRPr="00BF5661" w:rsidRDefault="006A7197" w:rsidP="00925448">
      <w:pPr>
        <w:pStyle w:val="Odstavekseznama"/>
        <w:numPr>
          <w:ilvl w:val="0"/>
          <w:numId w:val="4"/>
        </w:numPr>
        <w:spacing w:after="0" w:line="240" w:lineRule="auto"/>
        <w:jc w:val="both"/>
        <w:rPr>
          <w:rFonts w:ascii="Calibri" w:hAnsi="Calibri" w:cs="Calibri"/>
        </w:rPr>
      </w:pPr>
      <w:r>
        <w:rPr>
          <w:rFonts w:ascii="Calibri" w:hAnsi="Calibri" w:cs="Calibri"/>
        </w:rPr>
        <w:t>V letu 2018 je bil s</w:t>
      </w:r>
      <w:r w:rsidRPr="001872B5">
        <w:rPr>
          <w:rFonts w:ascii="Calibri" w:hAnsi="Calibri" w:cs="Calibri"/>
        </w:rPr>
        <w:t xml:space="preserve">prejet </w:t>
      </w:r>
      <w:r w:rsidRPr="001872B5">
        <w:rPr>
          <w:rFonts w:ascii="Calibri" w:hAnsi="Calibri" w:cs="Calibri"/>
          <w:i/>
          <w:iCs/>
        </w:rPr>
        <w:t>Pravilnik</w:t>
      </w:r>
      <w:r w:rsidRPr="001872B5">
        <w:rPr>
          <w:rFonts w:ascii="Calibri" w:hAnsi="Calibri" w:cs="Calibri"/>
        </w:rPr>
        <w:t xml:space="preserve"> </w:t>
      </w:r>
      <w:r w:rsidRPr="001872B5">
        <w:rPr>
          <w:rFonts w:ascii="Calibri" w:hAnsi="Calibri" w:cs="Calibri"/>
          <w:i/>
          <w:iCs/>
        </w:rPr>
        <w:t xml:space="preserve">o kolesarskih povezavah (Ur. l. RS, št. 29/18). </w:t>
      </w:r>
    </w:p>
    <w:p w14:paraId="47202376" w14:textId="77777777" w:rsidR="00BF5661" w:rsidRPr="001872B5" w:rsidRDefault="00BF5661" w:rsidP="00BF5661">
      <w:pPr>
        <w:pStyle w:val="Odstavekseznama"/>
        <w:numPr>
          <w:ilvl w:val="0"/>
          <w:numId w:val="4"/>
        </w:numPr>
        <w:spacing w:after="0" w:line="240" w:lineRule="auto"/>
        <w:jc w:val="both"/>
        <w:rPr>
          <w:rFonts w:ascii="Calibri" w:hAnsi="Calibri" w:cs="Calibri"/>
        </w:rPr>
      </w:pPr>
      <w:r>
        <w:rPr>
          <w:rFonts w:ascii="Calibri" w:hAnsi="Calibri" w:cs="Calibri"/>
          <w:color w:val="000000"/>
        </w:rPr>
        <w:t>V letu 2018 je bilo u</w:t>
      </w:r>
      <w:r w:rsidRPr="001872B5">
        <w:rPr>
          <w:rFonts w:ascii="Calibri" w:hAnsi="Calibri" w:cs="Calibri"/>
          <w:color w:val="000000"/>
        </w:rPr>
        <w:t xml:space="preserve">vedeno elektronsko cestninjenje tovornega prometa na avtocestah. </w:t>
      </w:r>
    </w:p>
    <w:p w14:paraId="05C3E476" w14:textId="45D829BF" w:rsidR="00BF5661" w:rsidRPr="00BF5661" w:rsidRDefault="00BF5661" w:rsidP="00BF5661">
      <w:pPr>
        <w:pStyle w:val="Odstavekseznama"/>
        <w:numPr>
          <w:ilvl w:val="0"/>
          <w:numId w:val="4"/>
        </w:numPr>
        <w:spacing w:after="0" w:line="240" w:lineRule="auto"/>
        <w:jc w:val="both"/>
        <w:rPr>
          <w:rFonts w:ascii="Calibri" w:hAnsi="Calibri" w:cs="Calibri"/>
        </w:rPr>
      </w:pPr>
      <w:r>
        <w:rPr>
          <w:rFonts w:ascii="Calibri" w:hAnsi="Calibri" w:cs="Calibri"/>
          <w:color w:val="000000"/>
        </w:rPr>
        <w:t>Leta 2018 je stopil</w:t>
      </w:r>
      <w:r w:rsidRPr="001872B5">
        <w:rPr>
          <w:rFonts w:ascii="Calibri" w:hAnsi="Calibri" w:cs="Calibri"/>
          <w:color w:val="000000"/>
        </w:rPr>
        <w:t xml:space="preserve"> </w:t>
      </w:r>
      <w:r>
        <w:rPr>
          <w:rFonts w:ascii="Calibri" w:hAnsi="Calibri" w:cs="Calibri"/>
          <w:color w:val="000000"/>
        </w:rPr>
        <w:t xml:space="preserve">v veljavo </w:t>
      </w:r>
      <w:r w:rsidRPr="001872B5">
        <w:rPr>
          <w:rFonts w:ascii="Calibri" w:hAnsi="Calibri" w:cs="Calibri"/>
          <w:color w:val="000000"/>
        </w:rPr>
        <w:t xml:space="preserve">Zakon o dajatvah na motorna vozila (54/2017), po katerem so </w:t>
      </w:r>
      <w:r>
        <w:rPr>
          <w:rFonts w:ascii="Calibri" w:hAnsi="Calibri" w:cs="Calibri"/>
          <w:color w:val="000000"/>
        </w:rPr>
        <w:t>e</w:t>
      </w:r>
      <w:r w:rsidRPr="001872B5">
        <w:rPr>
          <w:rFonts w:ascii="Calibri" w:hAnsi="Calibri" w:cs="Calibri"/>
          <w:color w:val="000000"/>
        </w:rPr>
        <w:t>lektrična vozila oproščena plačila dajatve.</w:t>
      </w:r>
      <w:r>
        <w:rPr>
          <w:rFonts w:ascii="Calibri" w:hAnsi="Calibri" w:cs="Calibri"/>
          <w:color w:val="000000"/>
        </w:rPr>
        <w:t xml:space="preserve"> </w:t>
      </w:r>
    </w:p>
    <w:p w14:paraId="27C224F0" w14:textId="77777777" w:rsidR="00BF5661" w:rsidRDefault="00BF5661" w:rsidP="00BF5661">
      <w:pPr>
        <w:pStyle w:val="Odstavekseznama"/>
        <w:numPr>
          <w:ilvl w:val="0"/>
          <w:numId w:val="4"/>
        </w:numPr>
        <w:spacing w:after="0" w:line="240" w:lineRule="auto"/>
        <w:jc w:val="both"/>
        <w:rPr>
          <w:rFonts w:ascii="Calibri" w:hAnsi="Calibri" w:cs="Calibri"/>
        </w:rPr>
      </w:pPr>
      <w:r>
        <w:rPr>
          <w:rFonts w:ascii="Calibri" w:hAnsi="Calibri" w:cs="Calibri"/>
        </w:rPr>
        <w:t>Z letom 2018 je p</w:t>
      </w:r>
      <w:r w:rsidRPr="001872B5">
        <w:rPr>
          <w:rFonts w:ascii="Calibri" w:hAnsi="Calibri" w:cs="Calibri"/>
        </w:rPr>
        <w:t xml:space="preserve">ričela veljati nova Uredba o trajnostnih merilih za biogoriva in emisiji toplogrednih plinov v življenjskem ciklu goriv v prometu (Ur. l. RS, št. 19/17), ki vpeljuje nove utežne faktorje pri izračunu deleža OVE v prometu: tekoča biogoriva iz odpadkov se upoštevajo s faktorjem 2, raba električne energije iz OVE v železniškem in cestnem prometu pa s faktorjema 2,5 in 5. </w:t>
      </w:r>
    </w:p>
    <w:p w14:paraId="500A5BAA" w14:textId="59F574AA" w:rsidR="00AC6743" w:rsidRPr="00D679FC" w:rsidRDefault="00AC6743" w:rsidP="00D679FC">
      <w:pPr>
        <w:pStyle w:val="Odstavekseznama"/>
        <w:numPr>
          <w:ilvl w:val="0"/>
          <w:numId w:val="4"/>
        </w:numPr>
        <w:spacing w:after="0" w:line="240" w:lineRule="auto"/>
        <w:jc w:val="both"/>
        <w:rPr>
          <w:rFonts w:ascii="Calibri" w:hAnsi="Calibri" w:cs="Calibri"/>
        </w:rPr>
      </w:pPr>
      <w:r>
        <w:t xml:space="preserve">V letu 2019 je bil pripravljen </w:t>
      </w:r>
      <w:r w:rsidRPr="00AC6743">
        <w:rPr>
          <w:i/>
        </w:rPr>
        <w:t>Akcijski načrt za udejanjanje trajnostne mobilnosti</w:t>
      </w:r>
      <w:r>
        <w:t xml:space="preserve"> </w:t>
      </w:r>
      <w:r w:rsidRPr="00AC6743">
        <w:rPr>
          <w:i/>
        </w:rPr>
        <w:t>v območju osrednjeslovenskega (ljubljanskega) širšega mestnega območja</w:t>
      </w:r>
      <w:r>
        <w:t xml:space="preserve"> za obdobje 2019‒2025. Ukrepi so razdeljeni na železniški promet (735 mio EUR), javni promet in trajnostna mobilnost (609 mio EUR), cestni promet (644 mio EUR), vodni promet (0,03 mio EUR) ter zračni promet (32 mio EUR). </w:t>
      </w:r>
    </w:p>
    <w:p w14:paraId="7E418C56" w14:textId="77777777" w:rsidR="00EF31AF" w:rsidRPr="00EF31AF" w:rsidRDefault="00EF31AF" w:rsidP="00C52E4C">
      <w:pPr>
        <w:pStyle w:val="Odstavekseznama"/>
        <w:numPr>
          <w:ilvl w:val="0"/>
          <w:numId w:val="4"/>
        </w:numPr>
        <w:spacing w:after="0" w:line="240" w:lineRule="auto"/>
        <w:jc w:val="both"/>
        <w:rPr>
          <w:rFonts w:ascii="Calibri" w:hAnsi="Calibri" w:cs="Calibri"/>
        </w:rPr>
      </w:pPr>
      <w:r>
        <w:lastRenderedPageBreak/>
        <w:t xml:space="preserve">Od leta 2019 so za vse potnike na voljo enkratna, dnevna in tedenska neimenska enotna vozovnica, poleg mesečnih in letnih, ki so bile na voljo že pred tem. Z enotno vozovnico lahko potniki na določeni relaciji potujejo večkrat dnevno z vsemi vrstami in izvajalci javnega prevoza, vendar v sistem ni vključen Ljubljanski potniški promet. </w:t>
      </w:r>
    </w:p>
    <w:p w14:paraId="057B88C0" w14:textId="156C6FC0" w:rsidR="001872B5" w:rsidRPr="006267CC" w:rsidRDefault="00CC4A67" w:rsidP="00C52E4C">
      <w:pPr>
        <w:pStyle w:val="Odstavekseznama"/>
        <w:numPr>
          <w:ilvl w:val="0"/>
          <w:numId w:val="4"/>
        </w:numPr>
        <w:spacing w:after="0" w:line="240" w:lineRule="auto"/>
        <w:jc w:val="both"/>
        <w:rPr>
          <w:rFonts w:ascii="Calibri" w:hAnsi="Calibri" w:cs="Calibri"/>
        </w:rPr>
      </w:pPr>
      <w:r w:rsidRPr="0020382C">
        <w:rPr>
          <w:rFonts w:ascii="Calibri" w:hAnsi="Calibri" w:cs="Calibri"/>
        </w:rPr>
        <w:t xml:space="preserve">Proračunska sredstva </w:t>
      </w:r>
      <w:r w:rsidR="000545E9" w:rsidRPr="0020382C">
        <w:rPr>
          <w:rFonts w:ascii="Calibri" w:hAnsi="Calibri" w:cs="Calibri"/>
        </w:rPr>
        <w:t>Direkcije</w:t>
      </w:r>
      <w:r w:rsidRPr="0020382C">
        <w:rPr>
          <w:rFonts w:ascii="Calibri" w:hAnsi="Calibri" w:cs="Calibri"/>
        </w:rPr>
        <w:t xml:space="preserve"> RS za infrastrukturo, sredstva Kohezijskega sklada in pridobljena</w:t>
      </w:r>
      <w:r w:rsidR="000333FC">
        <w:rPr>
          <w:rFonts w:ascii="Calibri" w:hAnsi="Calibri" w:cs="Calibri"/>
        </w:rPr>
        <w:t xml:space="preserve"> evropska sredstva</w:t>
      </w:r>
      <w:r w:rsidRPr="001872B5">
        <w:rPr>
          <w:rFonts w:ascii="Calibri" w:hAnsi="Calibri" w:cs="Calibri"/>
        </w:rPr>
        <w:t xml:space="preserve"> so omogočila izvajanje različnih projektov – </w:t>
      </w:r>
      <w:r w:rsidR="00AF710F" w:rsidRPr="001872B5">
        <w:rPr>
          <w:rFonts w:ascii="Calibri" w:hAnsi="Calibri" w:cs="Calibri"/>
          <w:color w:val="000000"/>
        </w:rPr>
        <w:t xml:space="preserve">nadgradnja vozlišča Pragersko, proge Maribor – Šentilj, odseka železniške proge Poljčane – Slovenska Bistrica, železniške proge Zidani most – Celje, sanacija ozkega grla na območju </w:t>
      </w:r>
      <w:proofErr w:type="spellStart"/>
      <w:r w:rsidR="00AF710F" w:rsidRPr="001872B5">
        <w:rPr>
          <w:rFonts w:ascii="Calibri" w:hAnsi="Calibri" w:cs="Calibri"/>
          <w:color w:val="000000"/>
        </w:rPr>
        <w:t>Bivja</w:t>
      </w:r>
      <w:proofErr w:type="spellEnd"/>
      <w:r w:rsidR="00AF710F" w:rsidRPr="001872B5">
        <w:rPr>
          <w:rFonts w:ascii="Calibri" w:hAnsi="Calibri" w:cs="Calibri"/>
          <w:color w:val="000000"/>
        </w:rPr>
        <w:t xml:space="preserve"> – </w:t>
      </w:r>
      <w:proofErr w:type="spellStart"/>
      <w:r w:rsidR="00AF710F" w:rsidRPr="001872B5">
        <w:rPr>
          <w:rFonts w:ascii="Calibri" w:hAnsi="Calibri" w:cs="Calibri"/>
          <w:color w:val="000000"/>
        </w:rPr>
        <w:t>Izvlečni</w:t>
      </w:r>
      <w:proofErr w:type="spellEnd"/>
      <w:r w:rsidR="00AF710F" w:rsidRPr="001872B5">
        <w:rPr>
          <w:rFonts w:ascii="Calibri" w:hAnsi="Calibri" w:cs="Calibri"/>
          <w:color w:val="000000"/>
        </w:rPr>
        <w:t xml:space="preserve"> tir, nadgradnja železniškega predora Karavanke, čezmejna železniška povezava Trst-Divača,</w:t>
      </w:r>
      <w:r w:rsidR="00AF710F" w:rsidRPr="001872B5">
        <w:rPr>
          <w:rFonts w:ascii="Calibri" w:hAnsi="Calibri" w:cs="Calibri"/>
        </w:rPr>
        <w:t xml:space="preserve"> nadaljevala so se dela na Kočevski progi, </w:t>
      </w:r>
      <w:r w:rsidR="00AF710F" w:rsidRPr="001872B5">
        <w:rPr>
          <w:rFonts w:ascii="Calibri" w:hAnsi="Calibri" w:cs="Calibri"/>
          <w:color w:val="000000"/>
        </w:rPr>
        <w:t>projekt uvedbe daljinskega vodenja prometa na glavnih progah javne železniške infrastrukture državna meja–Dobova–Ljubljana in Zidani Most–Šentilj–državna meja, projekt uvedbe ETCS sistema na železniških odsekih Dobova-Zidani most in Pragersko-Marib</w:t>
      </w:r>
      <w:r w:rsidR="001429FB">
        <w:rPr>
          <w:rFonts w:ascii="Calibri" w:hAnsi="Calibri" w:cs="Calibri"/>
          <w:color w:val="000000"/>
        </w:rPr>
        <w:t xml:space="preserve">or-Šentilj. </w:t>
      </w:r>
      <w:r w:rsidR="0046509D">
        <w:t>Nadaljevala se je</w:t>
      </w:r>
      <w:r w:rsidR="000B3329">
        <w:t xml:space="preserve"> modernizacija proge Pesnica–Šentilj–državna meja, Rimske Toplice–Laško in Laško–Celje ter Maribor–Počehova. Februarja 2019 je bil vzpostavljen četrti železniški tovorni koridor (</w:t>
      </w:r>
      <w:proofErr w:type="spellStart"/>
      <w:r w:rsidR="000B3329">
        <w:t>Rail</w:t>
      </w:r>
      <w:proofErr w:type="spellEnd"/>
      <w:r w:rsidR="000B3329">
        <w:t xml:space="preserve"> </w:t>
      </w:r>
      <w:proofErr w:type="spellStart"/>
      <w:r w:rsidR="000B3329">
        <w:t>Freight</w:t>
      </w:r>
      <w:proofErr w:type="spellEnd"/>
      <w:r w:rsidR="000B3329">
        <w:t xml:space="preserve"> </w:t>
      </w:r>
      <w:proofErr w:type="spellStart"/>
      <w:r w:rsidR="000B3329">
        <w:t>Corridor</w:t>
      </w:r>
      <w:proofErr w:type="spellEnd"/>
      <w:r w:rsidR="000B3329">
        <w:t>) skozi Slovenijo, in sicer Jantarni koridor (</w:t>
      </w:r>
      <w:proofErr w:type="spellStart"/>
      <w:r w:rsidR="000B3329">
        <w:t>Amber</w:t>
      </w:r>
      <w:proofErr w:type="spellEnd"/>
      <w:r w:rsidR="000B3329">
        <w:t xml:space="preserve"> </w:t>
      </w:r>
      <w:proofErr w:type="spellStart"/>
      <w:r w:rsidR="000B3329">
        <w:t>corridor</w:t>
      </w:r>
      <w:proofErr w:type="spellEnd"/>
      <w:r w:rsidR="000B3329">
        <w:t xml:space="preserve">): Koper – Ljubljana – </w:t>
      </w:r>
      <w:proofErr w:type="spellStart"/>
      <w:r w:rsidR="000B3329">
        <w:t>Zalaszentivan</w:t>
      </w:r>
      <w:proofErr w:type="spellEnd"/>
      <w:r w:rsidR="000B3329">
        <w:t>–</w:t>
      </w:r>
      <w:proofErr w:type="spellStart"/>
      <w:r w:rsidR="000B3329">
        <w:t>Sopron</w:t>
      </w:r>
      <w:proofErr w:type="spellEnd"/>
      <w:r w:rsidR="000B3329">
        <w:t>/</w:t>
      </w:r>
      <w:proofErr w:type="spellStart"/>
      <w:r w:rsidR="000B3329">
        <w:t>Csorna</w:t>
      </w:r>
      <w:proofErr w:type="spellEnd"/>
      <w:r w:rsidR="000B3329">
        <w:t xml:space="preserve"> – (</w:t>
      </w:r>
      <w:proofErr w:type="spellStart"/>
      <w:r w:rsidR="000B3329">
        <w:t>madžarskosrbska</w:t>
      </w:r>
      <w:proofErr w:type="spellEnd"/>
      <w:r w:rsidR="000B3329">
        <w:t xml:space="preserve"> meja) – </w:t>
      </w:r>
      <w:proofErr w:type="spellStart"/>
      <w:r w:rsidR="000B3329">
        <w:t>Kelebia</w:t>
      </w:r>
      <w:proofErr w:type="spellEnd"/>
      <w:r w:rsidR="000B3329">
        <w:t xml:space="preserve"> – Budimpešta – </w:t>
      </w:r>
      <w:proofErr w:type="spellStart"/>
      <w:r w:rsidR="000B3329">
        <w:t>Komárom</w:t>
      </w:r>
      <w:proofErr w:type="spellEnd"/>
      <w:r w:rsidR="000B3329">
        <w:t xml:space="preserve"> – Leopoldov/Rajka – Bratislava – </w:t>
      </w:r>
      <w:proofErr w:type="spellStart"/>
      <w:r w:rsidR="000B3329">
        <w:t>Žilina</w:t>
      </w:r>
      <w:proofErr w:type="spellEnd"/>
      <w:r w:rsidR="000B3329">
        <w:t xml:space="preserve"> – Katovice/Krakov – Varšava/</w:t>
      </w:r>
      <w:proofErr w:type="spellStart"/>
      <w:r w:rsidR="000B3329">
        <w:t>Lukow</w:t>
      </w:r>
      <w:proofErr w:type="spellEnd"/>
      <w:r w:rsidR="000B3329">
        <w:t xml:space="preserve"> – </w:t>
      </w:r>
      <w:proofErr w:type="spellStart"/>
      <w:r w:rsidR="000B3329">
        <w:t>Terespol</w:t>
      </w:r>
      <w:proofErr w:type="spellEnd"/>
      <w:r w:rsidR="000B3329">
        <w:t>– (</w:t>
      </w:r>
      <w:proofErr w:type="spellStart"/>
      <w:r w:rsidR="000B3329">
        <w:t>poljskobeloruska</w:t>
      </w:r>
      <w:proofErr w:type="spellEnd"/>
      <w:r w:rsidR="000B3329">
        <w:t xml:space="preserve"> meja). </w:t>
      </w:r>
      <w:r w:rsidR="001429FB">
        <w:rPr>
          <w:rFonts w:ascii="Calibri" w:hAnsi="Calibri" w:cs="Calibri"/>
          <w:color w:val="000000"/>
        </w:rPr>
        <w:t>U</w:t>
      </w:r>
      <w:r w:rsidR="00AF710F" w:rsidRPr="001872B5">
        <w:rPr>
          <w:rFonts w:ascii="Calibri" w:hAnsi="Calibri" w:cs="Calibri"/>
          <w:color w:val="000000"/>
        </w:rPr>
        <w:t xml:space="preserve">stanovljena </w:t>
      </w:r>
      <w:r w:rsidR="001429FB">
        <w:rPr>
          <w:rFonts w:ascii="Calibri" w:hAnsi="Calibri" w:cs="Calibri"/>
          <w:color w:val="000000"/>
        </w:rPr>
        <w:t xml:space="preserve">je bila </w:t>
      </w:r>
      <w:r w:rsidR="00AF710F" w:rsidRPr="001872B5">
        <w:rPr>
          <w:rFonts w:ascii="Calibri" w:hAnsi="Calibri" w:cs="Calibri"/>
          <w:color w:val="000000"/>
        </w:rPr>
        <w:t>družba za izgradnjo drugega tira: 2TDK, Družba za razvoj projekta.</w:t>
      </w:r>
      <w:r w:rsidR="001429FB" w:rsidRPr="001429FB">
        <w:t xml:space="preserve"> </w:t>
      </w:r>
      <w:r w:rsidR="001429FB">
        <w:t>Poleg tega je v gradnji več podvozov, protihrupnih ograj, železniških postaj, peronov, podhodov in ukrepov za odpravo ozkih grl na infrastrukturi.</w:t>
      </w:r>
    </w:p>
    <w:p w14:paraId="5CE1C837" w14:textId="77777777" w:rsidR="006267CC" w:rsidRPr="006267CC" w:rsidRDefault="006267CC" w:rsidP="00C52E4C">
      <w:pPr>
        <w:pStyle w:val="Odstavekseznama"/>
        <w:numPr>
          <w:ilvl w:val="0"/>
          <w:numId w:val="4"/>
        </w:numPr>
        <w:spacing w:after="0" w:line="240" w:lineRule="auto"/>
        <w:jc w:val="both"/>
        <w:rPr>
          <w:rFonts w:ascii="Calibri" w:hAnsi="Calibri" w:cs="Calibri"/>
        </w:rPr>
      </w:pPr>
      <w:r>
        <w:t>V letu 2019 se je začela prenova železniške postaje Maribor v vrednosti 55 milijonov evrov. Končana naj bi bila septembra 2020. Začela se je tudi nadgradnja železniškega postajališča Štore.</w:t>
      </w:r>
    </w:p>
    <w:p w14:paraId="53390B0C" w14:textId="5AC62A4C" w:rsidR="006267CC" w:rsidRPr="0046509D" w:rsidRDefault="006267CC" w:rsidP="00C52E4C">
      <w:pPr>
        <w:pStyle w:val="Odstavekseznama"/>
        <w:numPr>
          <w:ilvl w:val="0"/>
          <w:numId w:val="4"/>
        </w:numPr>
        <w:spacing w:after="0" w:line="240" w:lineRule="auto"/>
        <w:jc w:val="both"/>
        <w:rPr>
          <w:rFonts w:ascii="Calibri" w:hAnsi="Calibri" w:cs="Calibri"/>
        </w:rPr>
      </w:pPr>
      <w:r>
        <w:t xml:space="preserve">Maja 2019 so Slovenske železnice (SŽ) podpisale pogodbo za nakup dodatnih 26 vlakov Stadler. Skupna vrednost naročila v letu 2019 je znašala 151 milijonov evrov brez DDV-ja, skupno za 52 vlakov pa 320 milijonov. </w:t>
      </w:r>
    </w:p>
    <w:p w14:paraId="6B3B31FB" w14:textId="7359A8E8" w:rsidR="0046509D" w:rsidRPr="006267CC" w:rsidRDefault="0046509D" w:rsidP="00C52E4C">
      <w:pPr>
        <w:pStyle w:val="Odstavekseznama"/>
        <w:numPr>
          <w:ilvl w:val="0"/>
          <w:numId w:val="4"/>
        </w:numPr>
        <w:spacing w:after="0" w:line="240" w:lineRule="auto"/>
        <w:jc w:val="both"/>
        <w:rPr>
          <w:rFonts w:ascii="Calibri" w:hAnsi="Calibri" w:cs="Calibri"/>
        </w:rPr>
      </w:pPr>
      <w:r>
        <w:t>Direkcija RS za infrastrukturo je z junijem 2019 izvedla ukrepe za prehod tranzitnega tovornega prometa z najbolj obremenjenih cest na vzporedno avtocestno omrežje, ki predstavlja varnejšo cestno povezavo z boljšimi prometno tehničnimi elementi. Ukrepi so bili izvedeni na glavnih cestah Jelšane – Postojna (G1-6) in Starod – Kozina (G1-7) ter nekaterih glavnih in regionalnih cestah v severovzhodnem delu Slovenije.</w:t>
      </w:r>
    </w:p>
    <w:p w14:paraId="0748A3A3" w14:textId="0FF8EE2A" w:rsidR="006267CC" w:rsidRPr="001872B5" w:rsidRDefault="006267CC" w:rsidP="00C52E4C">
      <w:pPr>
        <w:pStyle w:val="Odstavekseznama"/>
        <w:numPr>
          <w:ilvl w:val="0"/>
          <w:numId w:val="4"/>
        </w:numPr>
        <w:spacing w:after="0" w:line="240" w:lineRule="auto"/>
        <w:jc w:val="both"/>
        <w:rPr>
          <w:rFonts w:ascii="Calibri" w:hAnsi="Calibri" w:cs="Calibri"/>
        </w:rPr>
      </w:pPr>
      <w:r>
        <w:t>V letu 2019 je bilo uvedenih 18 hitrih avtobusnih linij med večjimi kraji in Ljubljano. Ti avtobusi imajo majhno število postankov. Slovenske železnice so v začetku leta uvedle spletni nakup vozovnic za vlak preko spletne trgovine in mobilne aplikacije. V okviru Ljubljanskega potniškega prometa je bil izveden pilotni projekt prevoza na klic v Škofljici.</w:t>
      </w:r>
    </w:p>
    <w:p w14:paraId="65C6CE3C" w14:textId="244A7DDA" w:rsidR="00FA4B38" w:rsidRPr="001872B5" w:rsidRDefault="00FA4B38" w:rsidP="0025392E">
      <w:pPr>
        <w:pStyle w:val="Odstavekseznama"/>
        <w:numPr>
          <w:ilvl w:val="0"/>
          <w:numId w:val="4"/>
        </w:numPr>
        <w:spacing w:after="0" w:line="240" w:lineRule="auto"/>
        <w:jc w:val="both"/>
        <w:rPr>
          <w:rFonts w:ascii="Calibri" w:hAnsi="Calibri" w:cs="Calibri"/>
        </w:rPr>
      </w:pPr>
      <w:r>
        <w:t>V letu 2019 je bilo z novelo Zakona o dohodnini uveljavljeno znižanje bonitete za uporabo službenega vozila v zasebne namene za vozila na električni pogon. Boniteta je bila znižana z 1,5</w:t>
      </w:r>
      <w:r w:rsidR="00AD7EC2">
        <w:t xml:space="preserve"> %</w:t>
      </w:r>
      <w:r>
        <w:t xml:space="preserve"> na 0,3 % nabavne vrednosti vozila mesečno.</w:t>
      </w:r>
    </w:p>
    <w:p w14:paraId="355B9875" w14:textId="31ECA3B8" w:rsidR="001872B5" w:rsidRDefault="001713CC" w:rsidP="001A215C">
      <w:pPr>
        <w:pStyle w:val="Odstavekseznama"/>
        <w:numPr>
          <w:ilvl w:val="0"/>
          <w:numId w:val="4"/>
        </w:numPr>
        <w:spacing w:after="0" w:line="240" w:lineRule="auto"/>
        <w:jc w:val="both"/>
        <w:rPr>
          <w:rFonts w:ascii="Calibri" w:hAnsi="Calibri" w:cs="Calibri"/>
        </w:rPr>
      </w:pPr>
      <w:r w:rsidRPr="001872B5">
        <w:rPr>
          <w:rFonts w:ascii="Calibri" w:hAnsi="Calibri" w:cs="Calibri"/>
        </w:rPr>
        <w:t>Leta 2017 je bil v EU uveden nov standard za merjenje emisij CO</w:t>
      </w:r>
      <w:r w:rsidRPr="001872B5">
        <w:rPr>
          <w:rFonts w:ascii="Calibri" w:hAnsi="Calibri" w:cs="Calibri"/>
          <w:vertAlign w:val="subscript"/>
        </w:rPr>
        <w:t>2</w:t>
      </w:r>
      <w:r w:rsidRPr="001872B5">
        <w:rPr>
          <w:rFonts w:ascii="Calibri" w:hAnsi="Calibri" w:cs="Calibri"/>
        </w:rPr>
        <w:t xml:space="preserve"> WLTP, ki za nove avtomobile predpisuje meritve rabe goriva in emisij CO</w:t>
      </w:r>
      <w:r w:rsidRPr="001872B5">
        <w:rPr>
          <w:rFonts w:ascii="Calibri" w:hAnsi="Calibri" w:cs="Calibri"/>
          <w:vertAlign w:val="subscript"/>
        </w:rPr>
        <w:t xml:space="preserve">2 </w:t>
      </w:r>
      <w:r w:rsidRPr="001872B5">
        <w:rPr>
          <w:rFonts w:ascii="Calibri" w:hAnsi="Calibri" w:cs="Calibri"/>
        </w:rPr>
        <w:t xml:space="preserve">bolj skladno z realno vožnjo. </w:t>
      </w:r>
      <w:r w:rsidR="0025392E" w:rsidRPr="001872B5">
        <w:rPr>
          <w:rFonts w:ascii="Calibri" w:hAnsi="Calibri" w:cs="Calibri"/>
        </w:rPr>
        <w:t>V letu 2018 se je spremljalo specifične emisije CO</w:t>
      </w:r>
      <w:r w:rsidR="0025392E" w:rsidRPr="001872B5">
        <w:rPr>
          <w:rFonts w:ascii="Calibri" w:hAnsi="Calibri" w:cs="Calibri"/>
          <w:vertAlign w:val="subscript"/>
        </w:rPr>
        <w:t>2</w:t>
      </w:r>
      <w:r w:rsidR="0025392E" w:rsidRPr="001872B5">
        <w:rPr>
          <w:rFonts w:ascii="Calibri" w:hAnsi="Calibri" w:cs="Calibri"/>
        </w:rPr>
        <w:t xml:space="preserve"> novih vozil, toda zaradi izkoriščanja fleksibilnosti pri meritvah izpustov CO</w:t>
      </w:r>
      <w:r w:rsidR="000E6071">
        <w:rPr>
          <w:rFonts w:ascii="Calibri" w:hAnsi="Calibri" w:cs="Calibri"/>
          <w:vertAlign w:val="subscript"/>
        </w:rPr>
        <w:t>2</w:t>
      </w:r>
      <w:r w:rsidR="0025392E" w:rsidRPr="001872B5">
        <w:rPr>
          <w:rFonts w:ascii="Calibri" w:hAnsi="Calibri" w:cs="Calibri"/>
        </w:rPr>
        <w:t xml:space="preserve"> proizvajalcev avtomobilov v preteklosti, le te ne odražajo realnega stanja ob normalni uporabi vozil. </w:t>
      </w:r>
      <w:r w:rsidR="00010E3B">
        <w:t>Od leta 2019 imajo vsa vozila, ki so v prodaji, objavljene samo podatke po WLTP merilnem ciklu.</w:t>
      </w:r>
    </w:p>
    <w:p w14:paraId="33575BDC" w14:textId="77777777" w:rsidR="001872B5" w:rsidRDefault="001A215C" w:rsidP="00AF4AA5">
      <w:pPr>
        <w:pStyle w:val="Odstavekseznama"/>
        <w:numPr>
          <w:ilvl w:val="0"/>
          <w:numId w:val="4"/>
        </w:numPr>
        <w:spacing w:after="0" w:line="240" w:lineRule="auto"/>
        <w:jc w:val="both"/>
        <w:rPr>
          <w:rFonts w:ascii="Calibri" w:hAnsi="Calibri" w:cs="Calibri"/>
        </w:rPr>
      </w:pPr>
      <w:r w:rsidRPr="001872B5">
        <w:rPr>
          <w:rFonts w:ascii="Calibri" w:hAnsi="Calibri" w:cs="Calibri"/>
        </w:rPr>
        <w:t>Potekalo je izobraževanje voznikov in upravljavcev voznega parka tovornih vozil o varčni vožnji in logistiki. Šolanje varčne vožnje omogočajo tudi centri varne vožnje. Odziv je majhen.</w:t>
      </w:r>
    </w:p>
    <w:p w14:paraId="27BF143D" w14:textId="77777777" w:rsidR="00074DF6" w:rsidRPr="00074DF6" w:rsidRDefault="001620CF" w:rsidP="00015093">
      <w:pPr>
        <w:pStyle w:val="Odstavekseznama"/>
        <w:numPr>
          <w:ilvl w:val="0"/>
          <w:numId w:val="4"/>
        </w:numPr>
        <w:spacing w:after="0" w:line="240" w:lineRule="auto"/>
        <w:jc w:val="both"/>
        <w:rPr>
          <w:rFonts w:ascii="Calibri" w:hAnsi="Calibri" w:cs="Calibri"/>
        </w:rPr>
      </w:pPr>
      <w:r w:rsidRPr="00C1463C">
        <w:rPr>
          <w:rFonts w:ascii="Calibri" w:hAnsi="Calibri" w:cs="Calibri"/>
        </w:rPr>
        <w:t xml:space="preserve">Eko sklad je </w:t>
      </w:r>
      <w:r w:rsidR="00D5528C" w:rsidRPr="00C1463C">
        <w:rPr>
          <w:rFonts w:ascii="Calibri" w:hAnsi="Calibri" w:cs="Calibri"/>
        </w:rPr>
        <w:t>za namene trajnostne mobilnosti izplačal vrsto</w:t>
      </w:r>
      <w:r w:rsidRPr="00C1463C">
        <w:rPr>
          <w:rFonts w:ascii="Calibri" w:hAnsi="Calibri" w:cs="Calibri"/>
        </w:rPr>
        <w:t xml:space="preserve"> nepovratnih s</w:t>
      </w:r>
      <w:r w:rsidR="00D5528C" w:rsidRPr="00C1463C">
        <w:rPr>
          <w:rFonts w:ascii="Calibri" w:hAnsi="Calibri" w:cs="Calibri"/>
        </w:rPr>
        <w:t>podbud</w:t>
      </w:r>
      <w:r w:rsidRPr="00C1463C">
        <w:rPr>
          <w:rFonts w:ascii="Calibri" w:hAnsi="Calibri" w:cs="Calibri"/>
        </w:rPr>
        <w:t xml:space="preserve">: </w:t>
      </w:r>
      <w:r w:rsidR="00015093" w:rsidRPr="00C1463C">
        <w:rPr>
          <w:rFonts w:ascii="Calibri" w:hAnsi="Calibri" w:cs="Calibri"/>
        </w:rPr>
        <w:t xml:space="preserve">v letu 2018 je bilo </w:t>
      </w:r>
      <w:r w:rsidRPr="00C1463C">
        <w:rPr>
          <w:rFonts w:ascii="Calibri" w:hAnsi="Calibri" w:cs="Calibri"/>
        </w:rPr>
        <w:t xml:space="preserve">za </w:t>
      </w:r>
      <w:r w:rsidR="007A0C71" w:rsidRPr="00C1463C">
        <w:rPr>
          <w:rFonts w:ascii="Calibri" w:hAnsi="Calibri" w:cs="Calibri"/>
        </w:rPr>
        <w:t xml:space="preserve">55 </w:t>
      </w:r>
      <w:r w:rsidRPr="00C1463C">
        <w:rPr>
          <w:rFonts w:ascii="Calibri" w:hAnsi="Calibri" w:cs="Calibri"/>
        </w:rPr>
        <w:t>polniln</w:t>
      </w:r>
      <w:r w:rsidR="007A0C71" w:rsidRPr="00C1463C">
        <w:rPr>
          <w:rFonts w:ascii="Calibri" w:hAnsi="Calibri" w:cs="Calibri"/>
        </w:rPr>
        <w:t>ih postaj</w:t>
      </w:r>
      <w:r w:rsidRPr="00C1463C">
        <w:rPr>
          <w:rFonts w:ascii="Calibri" w:hAnsi="Calibri" w:cs="Calibri"/>
        </w:rPr>
        <w:t xml:space="preserve"> </w:t>
      </w:r>
      <w:r w:rsidR="00D5528C" w:rsidRPr="00C1463C">
        <w:rPr>
          <w:rFonts w:ascii="Calibri" w:hAnsi="Calibri" w:cs="Calibri"/>
        </w:rPr>
        <w:t xml:space="preserve">v občinah z deležem v Natura 2000 </w:t>
      </w:r>
      <w:r w:rsidRPr="00C1463C">
        <w:rPr>
          <w:rFonts w:ascii="Calibri" w:hAnsi="Calibri" w:cs="Calibri"/>
        </w:rPr>
        <w:t>za električna vozila</w:t>
      </w:r>
      <w:r w:rsidR="007A0C71" w:rsidRPr="00C1463C">
        <w:rPr>
          <w:rFonts w:ascii="Calibri" w:hAnsi="Calibri" w:cs="Calibri"/>
        </w:rPr>
        <w:t xml:space="preserve"> izplačanih 364.000</w:t>
      </w:r>
      <w:r w:rsidRPr="00C1463C">
        <w:rPr>
          <w:rFonts w:ascii="Calibri" w:hAnsi="Calibri" w:cs="Calibri"/>
        </w:rPr>
        <w:t xml:space="preserve"> evrov, </w:t>
      </w:r>
      <w:r w:rsidR="00015093" w:rsidRPr="00C1463C">
        <w:rPr>
          <w:rFonts w:ascii="Calibri" w:hAnsi="Calibri" w:cs="Calibri"/>
        </w:rPr>
        <w:t>v letu 2019 335.773 evrov</w:t>
      </w:r>
      <w:r w:rsidRPr="00C1463C">
        <w:rPr>
          <w:rFonts w:ascii="Calibri" w:hAnsi="Calibri" w:cs="Calibri"/>
        </w:rPr>
        <w:t xml:space="preserve">, </w:t>
      </w:r>
      <w:r w:rsidR="00015093" w:rsidRPr="00C1463C">
        <w:rPr>
          <w:rFonts w:ascii="Calibri" w:hAnsi="Calibri" w:cs="Calibri"/>
        </w:rPr>
        <w:t xml:space="preserve">za izgradnjo kolesarske infrastrukture, postavitev postaj sistema izposoje javnih koles in električnih koles sta </w:t>
      </w:r>
      <w:r w:rsidR="00C1463C" w:rsidRPr="00C1463C">
        <w:rPr>
          <w:rFonts w:ascii="Calibri" w:hAnsi="Calibri" w:cs="Calibri"/>
        </w:rPr>
        <w:t xml:space="preserve">v letu 2019 </w:t>
      </w:r>
      <w:r w:rsidR="00015093" w:rsidRPr="00C1463C">
        <w:rPr>
          <w:rFonts w:ascii="Calibri" w:hAnsi="Calibri" w:cs="Calibri"/>
        </w:rPr>
        <w:t xml:space="preserve">dve občini </w:t>
      </w:r>
      <w:r w:rsidR="00C1463C" w:rsidRPr="00C1463C">
        <w:rPr>
          <w:rFonts w:ascii="Calibri" w:hAnsi="Calibri" w:cs="Calibri"/>
        </w:rPr>
        <w:t xml:space="preserve">dobili </w:t>
      </w:r>
      <w:r w:rsidR="00015093">
        <w:t>odločbo o dodelitvi pravice do nepovratne finančne spodbude v višini 847.059 evrov</w:t>
      </w:r>
      <w:r w:rsidR="00C1463C">
        <w:t xml:space="preserve">. </w:t>
      </w:r>
    </w:p>
    <w:p w14:paraId="15AA13D7" w14:textId="33C42803" w:rsidR="00C1463C" w:rsidRPr="00C1463C" w:rsidRDefault="00C1463C" w:rsidP="00074DF6">
      <w:pPr>
        <w:pStyle w:val="Odstavekseznama"/>
        <w:spacing w:after="0" w:line="240" w:lineRule="auto"/>
        <w:ind w:left="360"/>
        <w:jc w:val="both"/>
        <w:rPr>
          <w:rFonts w:ascii="Calibri" w:hAnsi="Calibri" w:cs="Calibri"/>
        </w:rPr>
      </w:pPr>
      <w:r>
        <w:lastRenderedPageBreak/>
        <w:t xml:space="preserve">V letu 2018 je višina izplačanih spodbud občanom za </w:t>
      </w:r>
      <w:r>
        <w:rPr>
          <w:rFonts w:ascii="Calibri" w:hAnsi="Calibri" w:cs="Calibri"/>
        </w:rPr>
        <w:t>nakup novega e-vozila ali</w:t>
      </w:r>
      <w:r w:rsidR="001620CF" w:rsidRPr="00C1463C">
        <w:rPr>
          <w:rFonts w:ascii="Calibri" w:hAnsi="Calibri" w:cs="Calibri"/>
        </w:rPr>
        <w:t xml:space="preserve"> predelanega vozila na električni pogon</w:t>
      </w:r>
      <w:r>
        <w:rPr>
          <w:rFonts w:ascii="Calibri" w:hAnsi="Calibri" w:cs="Calibri"/>
        </w:rPr>
        <w:t xml:space="preserve"> znašala 2,06 milijona evrov. </w:t>
      </w:r>
      <w:r>
        <w:t xml:space="preserve">Višina izplačanih spodbud pravnim osebam za nakup novih e-vozil oz. predelanih vozil na električni pogon, novih vozil za javni potniški promet na plin, je znašala 3,45 milijona evrov. Skupaj je bilo subvencioniranih 572 vozil, od tega 342 vozil občanov. Večina, 433, je bilo novih električnih vozil kategorij M1, N1 in L7e,111 priključnih hibridov, 13 električnih koles, 7 avtobusov na plin, 8 pa predelanih vozil. </w:t>
      </w:r>
      <w:r w:rsidR="00535E00" w:rsidRPr="00C1463C">
        <w:rPr>
          <w:rFonts w:ascii="Calibri" w:hAnsi="Calibri" w:cs="Calibri"/>
        </w:rPr>
        <w:t xml:space="preserve">Na voljo so bili tudi ugodni krediti za nakup priključnega hibrida ali za vozila, ki kot pogonsko gorivo uporabljajo plin ter za motorna kolesa, kolesa z motorjem in kolesa na električni pogon. </w:t>
      </w:r>
      <w:r w:rsidR="00307884" w:rsidRPr="00C1463C">
        <w:rPr>
          <w:rFonts w:ascii="Calibri" w:hAnsi="Calibri" w:cs="Calibri"/>
        </w:rPr>
        <w:t>Izplačane spodbude za vozila z nizkimi emisijami so v letu 2018 dosegle zmanjšanje emisij za 785 t/CO</w:t>
      </w:r>
      <w:r w:rsidR="00307884" w:rsidRPr="00C1463C">
        <w:rPr>
          <w:rFonts w:ascii="Calibri" w:hAnsi="Calibri" w:cs="Calibri"/>
          <w:vertAlign w:val="subscript"/>
        </w:rPr>
        <w:t>2</w:t>
      </w:r>
      <w:r w:rsidR="00307884" w:rsidRPr="00C1463C">
        <w:rPr>
          <w:rFonts w:ascii="Calibri" w:hAnsi="Calibri" w:cs="Calibri"/>
        </w:rPr>
        <w:t>, kar na evro subvencije znaša 0,14 kg/CO</w:t>
      </w:r>
      <w:r w:rsidR="00307884" w:rsidRPr="00C1463C">
        <w:rPr>
          <w:rFonts w:ascii="Calibri" w:hAnsi="Calibri" w:cs="Calibri"/>
          <w:vertAlign w:val="subscript"/>
        </w:rPr>
        <w:t>2</w:t>
      </w:r>
      <w:r w:rsidR="00307884" w:rsidRPr="00C1463C">
        <w:rPr>
          <w:rFonts w:ascii="Calibri" w:hAnsi="Calibri" w:cs="Calibri"/>
        </w:rPr>
        <w:t>.</w:t>
      </w:r>
    </w:p>
    <w:p w14:paraId="3BC0AB1E" w14:textId="5E4FA844" w:rsidR="007A0C71" w:rsidRPr="004D06F9" w:rsidRDefault="00C1463C" w:rsidP="004D06F9">
      <w:pPr>
        <w:pStyle w:val="Odstavekseznama"/>
        <w:spacing w:after="0" w:line="240" w:lineRule="auto"/>
        <w:ind w:left="360"/>
        <w:jc w:val="both"/>
      </w:pPr>
      <w:r>
        <w:rPr>
          <w:rFonts w:ascii="Calibri" w:hAnsi="Calibri" w:cs="Calibri"/>
        </w:rPr>
        <w:t xml:space="preserve">V letu 2019 </w:t>
      </w:r>
      <w:r w:rsidR="00535E00">
        <w:t>je bilo občanom za nakup novega e-vozila oz. predelanega vozila na električni pogon izplačanih 2,8 milijona evrov nepovratnih sredstev</w:t>
      </w:r>
      <w:r w:rsidR="00535E00">
        <w:rPr>
          <w:rFonts w:ascii="Calibri" w:hAnsi="Calibri" w:cs="Calibri"/>
        </w:rPr>
        <w:t>.</w:t>
      </w:r>
      <w:r w:rsidR="00535E00" w:rsidRPr="00535E00">
        <w:t xml:space="preserve"> </w:t>
      </w:r>
      <w:r w:rsidR="00535E00">
        <w:t>Za nakup novih e-vozil oz. predelanih vozil na električni pogon, novih vozil za javni potniški promet na plin in novih komunalnih vozil je bilo izplačanih pravnim osebam 6,6 milijona evrov.</w:t>
      </w:r>
      <w:r w:rsidR="004520BE">
        <w:t xml:space="preserve"> </w:t>
      </w:r>
      <w:r>
        <w:t>Skupaj je bilo podprtih 871 vozil, od tega 512 vozil občanov. Večina, 733, je bilo novih električnih vozil kategorij M1, N1 in L7e, 107 električnih koles, 27 avtobusov na plin in 2 komunalni vozili.</w:t>
      </w:r>
      <w:r w:rsidR="004520BE" w:rsidRPr="004520BE">
        <w:t xml:space="preserve"> </w:t>
      </w:r>
      <w:r w:rsidR="004520BE">
        <w:t>Ugodno kreditiranje Eko sklada je bilo na voljo za nakup električnega osebnega avtomobila ali za nakup vozila, ki kot pogonsko gorivo uporablja plin, za motorna kolesa, kolesa z motorjem in kolesa na električni pogon.</w:t>
      </w:r>
      <w:r w:rsidR="006A5185" w:rsidRPr="006A5185">
        <w:t xml:space="preserve"> </w:t>
      </w:r>
      <w:r w:rsidR="006A5185">
        <w:t>S spodbudami Eko sklada za vozila z nizkimi emisijami je bilo leta 2019 doseženo zmanjšanje rabe energije za 3,4 GWh/leto in zmanjšanje emisije CO</w:t>
      </w:r>
      <w:r w:rsidR="006A5185">
        <w:rPr>
          <w:vertAlign w:val="subscript"/>
        </w:rPr>
        <w:t>2</w:t>
      </w:r>
      <w:r w:rsidR="006A5185">
        <w:t xml:space="preserve"> za 1,1 kt/leto.</w:t>
      </w:r>
    </w:p>
    <w:p w14:paraId="30F73323" w14:textId="4FF56019" w:rsidR="004D06F9" w:rsidRPr="004D06F9" w:rsidRDefault="00015093" w:rsidP="004D06F9">
      <w:pPr>
        <w:pStyle w:val="Odstavekseznama"/>
        <w:numPr>
          <w:ilvl w:val="0"/>
          <w:numId w:val="4"/>
        </w:numPr>
        <w:spacing w:after="0" w:line="240" w:lineRule="auto"/>
        <w:jc w:val="both"/>
        <w:rPr>
          <w:rFonts w:ascii="Calibri" w:hAnsi="Calibri" w:cs="Calibri"/>
        </w:rPr>
      </w:pPr>
      <w:r>
        <w:t xml:space="preserve">V letih 2018 in 2019 sta potekala projekta </w:t>
      </w:r>
      <w:r w:rsidRPr="00BC236A">
        <w:rPr>
          <w:i/>
        </w:rPr>
        <w:t>URBAN-E</w:t>
      </w:r>
      <w:r>
        <w:t xml:space="preserve"> in </w:t>
      </w:r>
      <w:r w:rsidRPr="00BC236A">
        <w:rPr>
          <w:i/>
        </w:rPr>
        <w:t>NEXT-E</w:t>
      </w:r>
      <w:r>
        <w:t xml:space="preserve"> za sofinanciranje polnilnic visoke moči (skupaj 77 polnilnic moč 50 kW in 6 polnilnic moči 150-305 kW na evropskem jedrnem omrežju TEN-T), financirana iz sredstev instrumenta za povezovanje Evrope (IPE). Oba projekta se bosta končala konec leta 2020.</w:t>
      </w:r>
    </w:p>
    <w:p w14:paraId="158A7F6E" w14:textId="73ABD149" w:rsidR="004D06F9" w:rsidRPr="008C0219" w:rsidRDefault="004D06F9" w:rsidP="004D06F9">
      <w:pPr>
        <w:pStyle w:val="Odstavekseznama"/>
        <w:numPr>
          <w:ilvl w:val="0"/>
          <w:numId w:val="4"/>
        </w:numPr>
        <w:spacing w:after="0" w:line="240" w:lineRule="auto"/>
        <w:jc w:val="both"/>
        <w:rPr>
          <w:rFonts w:ascii="Calibri" w:hAnsi="Calibri" w:cs="Calibri"/>
        </w:rPr>
      </w:pPr>
      <w:r w:rsidRPr="008C0219">
        <w:rPr>
          <w:rFonts w:ascii="Calibri" w:hAnsi="Calibri" w:cs="Calibri"/>
        </w:rPr>
        <w:t>M</w:t>
      </w:r>
      <w:r w:rsidR="001965C1">
        <w:rPr>
          <w:rFonts w:ascii="Calibri" w:hAnsi="Calibri" w:cs="Calibri"/>
        </w:rPr>
        <w:t>inistrstvo za infrastrukturo je</w:t>
      </w:r>
      <w:r>
        <w:t xml:space="preserve"> v letu 2017 objavil javni razpis za dodelitev nepovratnih sredstev mestnim občinam, ki imajo CPS</w:t>
      </w:r>
      <w:r w:rsidR="008C0219">
        <w:t>, tudi za sofinanciranje investicij v infrastrukturo za kolesarje</w:t>
      </w:r>
      <w:r w:rsidR="00023DBE">
        <w:t xml:space="preserve"> in pešce</w:t>
      </w:r>
      <w:r>
        <w:t xml:space="preserve">. </w:t>
      </w:r>
      <w:r w:rsidR="008C0219">
        <w:t>Med drugimi projekti je bilo potrjenih 57 projektov, ki vključujejo infrastrukturo za kolesarje</w:t>
      </w:r>
      <w:r w:rsidR="00023DBE">
        <w:t>,</w:t>
      </w:r>
      <w:r w:rsidR="008C0219">
        <w:t xml:space="preserve"> z ocenjeno vrednostjo na</w:t>
      </w:r>
      <w:r w:rsidR="00023DBE">
        <w:t>ložb v višini 9 milijonov evrov ter</w:t>
      </w:r>
      <w:r w:rsidR="008C0219">
        <w:t xml:space="preserve"> </w:t>
      </w:r>
      <w:r w:rsidR="00023DBE">
        <w:t xml:space="preserve">61 projektov, ki vključujejo infrastrukturo za pešce (pločnike, pešpoti ali skupni prometni prostor) z vrednostjo 15 milijonov evrov. </w:t>
      </w:r>
      <w:r>
        <w:t>Izvedba projektov je predvidena do vključno leta 2020. Mestne občine so upravičene do sofinanciranja kolesarske infrastrukture</w:t>
      </w:r>
      <w:r w:rsidR="007A6E7F">
        <w:t xml:space="preserve"> in infrastrukture za pešc</w:t>
      </w:r>
      <w:r w:rsidR="00023DBE">
        <w:t>e</w:t>
      </w:r>
      <w:r>
        <w:t xml:space="preserve"> tudi preko mehanizma celostnih teritorialnih naložb (CTN). Vključenih </w:t>
      </w:r>
      <w:r w:rsidR="00023DBE">
        <w:t xml:space="preserve">je </w:t>
      </w:r>
      <w:r>
        <w:t>42 projektov</w:t>
      </w:r>
      <w:r w:rsidR="008C0219">
        <w:t>, ki</w:t>
      </w:r>
      <w:r>
        <w:t xml:space="preserve"> vključuje</w:t>
      </w:r>
      <w:r w:rsidR="008C0219">
        <w:t>jo</w:t>
      </w:r>
      <w:r>
        <w:t xml:space="preserve"> gradnjo kolesarske povezav s predvideno vi</w:t>
      </w:r>
      <w:r w:rsidR="008C0219">
        <w:t xml:space="preserve">šino naložb 48 milijonov evrov, s </w:t>
      </w:r>
      <w:r>
        <w:t>sofinancira</w:t>
      </w:r>
      <w:r w:rsidR="008C0219">
        <w:t>njem</w:t>
      </w:r>
      <w:r>
        <w:t xml:space="preserve"> 23 milijonov</w:t>
      </w:r>
      <w:r w:rsidR="00023DBE">
        <w:t xml:space="preserve"> ter 22 projektov, ki vključujejo  pločnike, pešpoti in mešane poti za pešce in kolesarje, skupni prometni prostor, brvi in dvigalo. Vrednost vloženih sredstev za infrastrukturo za pešce je 19 milijonov evrov.</w:t>
      </w:r>
    </w:p>
    <w:p w14:paraId="44561EC6" w14:textId="77777777" w:rsidR="00923A12" w:rsidRPr="00472C4D" w:rsidRDefault="00923A12" w:rsidP="00C52E4C">
      <w:pPr>
        <w:spacing w:after="0" w:line="240" w:lineRule="auto"/>
        <w:jc w:val="both"/>
        <w:rPr>
          <w:rFonts w:ascii="Calibri" w:hAnsi="Calibri" w:cs="Calibri"/>
        </w:rPr>
      </w:pPr>
    </w:p>
    <w:p w14:paraId="0567BE03" w14:textId="09B64574" w:rsidR="00D25456" w:rsidRPr="002B24BC" w:rsidRDefault="00D25456" w:rsidP="00D25456">
      <w:pPr>
        <w:spacing w:after="0" w:line="240" w:lineRule="auto"/>
        <w:jc w:val="both"/>
        <w:rPr>
          <w:rFonts w:ascii="Calibri" w:hAnsi="Calibri" w:cs="Calibri"/>
          <w:u w:val="single"/>
        </w:rPr>
      </w:pPr>
      <w:r w:rsidRPr="00F93B5D">
        <w:rPr>
          <w:rFonts w:ascii="Calibri" w:hAnsi="Calibri" w:cs="Calibri"/>
          <w:u w:val="single"/>
        </w:rPr>
        <w:t>Priporočila:</w:t>
      </w:r>
    </w:p>
    <w:p w14:paraId="0BF15830" w14:textId="77777777" w:rsidR="00174413" w:rsidRDefault="00174413" w:rsidP="00C52E4C">
      <w:pPr>
        <w:spacing w:after="0" w:line="240" w:lineRule="auto"/>
        <w:jc w:val="both"/>
        <w:rPr>
          <w:rFonts w:ascii="Calibri" w:hAnsi="Calibri" w:cs="Calibri"/>
        </w:rPr>
      </w:pPr>
    </w:p>
    <w:p w14:paraId="53D8115C" w14:textId="3CED44A4" w:rsidR="00620BDA" w:rsidRDefault="00312CC5" w:rsidP="00C52E4C">
      <w:pPr>
        <w:spacing w:after="0" w:line="240" w:lineRule="auto"/>
        <w:jc w:val="both"/>
        <w:rPr>
          <w:rFonts w:ascii="Calibri" w:hAnsi="Calibri" w:cs="Calibri"/>
        </w:rPr>
      </w:pPr>
      <w:r w:rsidRPr="00472C4D">
        <w:rPr>
          <w:rFonts w:ascii="Calibri" w:hAnsi="Calibri" w:cs="Calibri"/>
        </w:rPr>
        <w:t>V prihodnje bi bil</w:t>
      </w:r>
      <w:r w:rsidR="00CD0831" w:rsidRPr="00472C4D">
        <w:rPr>
          <w:rFonts w:ascii="Calibri" w:hAnsi="Calibri" w:cs="Calibri"/>
        </w:rPr>
        <w:t>a</w:t>
      </w:r>
      <w:r w:rsidRPr="00472C4D">
        <w:rPr>
          <w:rFonts w:ascii="Calibri" w:hAnsi="Calibri" w:cs="Calibri"/>
        </w:rPr>
        <w:t xml:space="preserve"> potrebn</w:t>
      </w:r>
      <w:r w:rsidR="00CD0831" w:rsidRPr="00472C4D">
        <w:rPr>
          <w:rFonts w:ascii="Calibri" w:hAnsi="Calibri" w:cs="Calibri"/>
        </w:rPr>
        <w:t xml:space="preserve">a </w:t>
      </w:r>
      <w:r w:rsidR="00744A93">
        <w:rPr>
          <w:rFonts w:ascii="Calibri" w:hAnsi="Calibri" w:cs="Calibri"/>
        </w:rPr>
        <w:t>pospešitev izvajanja ukrepov</w:t>
      </w:r>
      <w:r w:rsidR="00CD0831" w:rsidRPr="00472C4D">
        <w:rPr>
          <w:rFonts w:ascii="Calibri" w:hAnsi="Calibri" w:cs="Calibri"/>
        </w:rPr>
        <w:t xml:space="preserve"> pri</w:t>
      </w:r>
      <w:r w:rsidRPr="00472C4D">
        <w:rPr>
          <w:rFonts w:ascii="Calibri" w:hAnsi="Calibri" w:cs="Calibri"/>
        </w:rPr>
        <w:t xml:space="preserve"> ureditvi infrastrukture namenjene javnemu potniškemu prometu, kolesarjem in pešcem</w:t>
      </w:r>
      <w:r w:rsidR="00CD0831" w:rsidRPr="00472C4D">
        <w:rPr>
          <w:rFonts w:ascii="Calibri" w:hAnsi="Calibri" w:cs="Calibri"/>
        </w:rPr>
        <w:t xml:space="preserve">, </w:t>
      </w:r>
      <w:r w:rsidRPr="00472C4D">
        <w:rPr>
          <w:rFonts w:ascii="Calibri" w:hAnsi="Calibri" w:cs="Calibri"/>
        </w:rPr>
        <w:t>razvoj</w:t>
      </w:r>
      <w:r w:rsidR="00896DBF" w:rsidRPr="00472C4D">
        <w:rPr>
          <w:rFonts w:ascii="Calibri" w:hAnsi="Calibri" w:cs="Calibri"/>
        </w:rPr>
        <w:t>u</w:t>
      </w:r>
      <w:r w:rsidRPr="00472C4D">
        <w:rPr>
          <w:rFonts w:ascii="Calibri" w:hAnsi="Calibri" w:cs="Calibri"/>
        </w:rPr>
        <w:t xml:space="preserve"> storitev, ki se nanašajo na povečane frekvence voženj, ustrezne kapacitete vozil, usklajenost voznih redov itd.</w:t>
      </w:r>
      <w:r w:rsidR="00923A12" w:rsidRPr="00472C4D">
        <w:rPr>
          <w:rFonts w:ascii="Calibri" w:hAnsi="Calibri" w:cs="Calibri"/>
        </w:rPr>
        <w:t xml:space="preserve"> </w:t>
      </w:r>
      <w:r w:rsidR="00896DBF" w:rsidRPr="00472C4D">
        <w:rPr>
          <w:rFonts w:ascii="Calibri" w:hAnsi="Calibri" w:cs="Calibri"/>
        </w:rPr>
        <w:t xml:space="preserve">Na učinkovitejšo mobilnost lahko vpliva </w:t>
      </w:r>
      <w:r w:rsidR="00896DBF" w:rsidRPr="00422854">
        <w:rPr>
          <w:rFonts w:ascii="Calibri" w:hAnsi="Calibri" w:cs="Calibri"/>
        </w:rPr>
        <w:t>uporaba</w:t>
      </w:r>
      <w:r w:rsidR="00896DBF" w:rsidRPr="00472C4D">
        <w:rPr>
          <w:rFonts w:ascii="Calibri" w:hAnsi="Calibri" w:cs="Calibri"/>
        </w:rPr>
        <w:t xml:space="preserve"> inteligentnih transportnih sistemov, informacijskih sistemov, prikazovalnikov in spremljanje vozil v realnem času.   </w:t>
      </w:r>
    </w:p>
    <w:p w14:paraId="274E52B5" w14:textId="08C9B17A" w:rsidR="00D17BED" w:rsidRPr="00281C48" w:rsidRDefault="00D17BED" w:rsidP="00C52E4C">
      <w:pPr>
        <w:spacing w:after="0" w:line="240" w:lineRule="auto"/>
        <w:jc w:val="both"/>
        <w:rPr>
          <w:rFonts w:ascii="Calibri" w:hAnsi="Calibri" w:cs="Calibri"/>
        </w:rPr>
      </w:pPr>
      <w:r w:rsidRPr="00281C48">
        <w:rPr>
          <w:rStyle w:val="Intenzivenpoudarek"/>
          <w:i w:val="0"/>
          <w:iCs w:val="0"/>
          <w:color w:val="auto"/>
        </w:rPr>
        <w:t>Potrebno je pospešeno prioritetno</w:t>
      </w:r>
      <w:r w:rsidRPr="00281C48">
        <w:rPr>
          <w:rStyle w:val="Intenzivenpoudarek"/>
          <w:color w:val="auto"/>
        </w:rPr>
        <w:t xml:space="preserve"> </w:t>
      </w:r>
      <w:r w:rsidRPr="00281C48">
        <w:rPr>
          <w:rStyle w:val="Intenzivenpoudarek"/>
          <w:i w:val="0"/>
          <w:iCs w:val="0"/>
          <w:color w:val="auto"/>
        </w:rPr>
        <w:t>vlaganje</w:t>
      </w:r>
      <w:r w:rsidRPr="00281C48">
        <w:rPr>
          <w:rStyle w:val="Intenzivenpoudarek"/>
          <w:color w:val="auto"/>
        </w:rPr>
        <w:t xml:space="preserve"> </w:t>
      </w:r>
      <w:r w:rsidRPr="00281C48">
        <w:rPr>
          <w:rFonts w:ascii="Calibri" w:hAnsi="Calibri" w:cs="Calibri"/>
        </w:rPr>
        <w:t xml:space="preserve">v </w:t>
      </w:r>
      <w:r w:rsidR="00BA0F41" w:rsidRPr="00281C48">
        <w:rPr>
          <w:rFonts w:ascii="Calibri" w:hAnsi="Calibri" w:cs="Calibri"/>
        </w:rPr>
        <w:t>izboljšanj</w:t>
      </w:r>
      <w:r w:rsidRPr="00281C48">
        <w:rPr>
          <w:rFonts w:ascii="Calibri" w:hAnsi="Calibri" w:cs="Calibri"/>
        </w:rPr>
        <w:t>e</w:t>
      </w:r>
      <w:r w:rsidR="00BA0F41" w:rsidRPr="00281C48">
        <w:rPr>
          <w:rFonts w:ascii="Calibri" w:hAnsi="Calibri" w:cs="Calibri"/>
        </w:rPr>
        <w:t xml:space="preserve"> učinkovitosti tovornega prometa na cestnem in železniškem omrežju</w:t>
      </w:r>
      <w:r w:rsidRPr="00281C48">
        <w:rPr>
          <w:rFonts w:ascii="Calibri" w:hAnsi="Calibri" w:cs="Calibri"/>
        </w:rPr>
        <w:t>. Potrebna je</w:t>
      </w:r>
      <w:r w:rsidRPr="00281C48">
        <w:rPr>
          <w:rStyle w:val="Intenzivenpoudarek"/>
          <w:color w:val="auto"/>
        </w:rPr>
        <w:t xml:space="preserve"> </w:t>
      </w:r>
      <w:r w:rsidRPr="00281C48">
        <w:rPr>
          <w:rStyle w:val="Intenzivenpoudarek"/>
          <w:i w:val="0"/>
          <w:iCs w:val="0"/>
          <w:color w:val="auto"/>
        </w:rPr>
        <w:t>obnova</w:t>
      </w:r>
      <w:r w:rsidRPr="00281C48">
        <w:rPr>
          <w:rStyle w:val="Intenzivenpoudarek"/>
          <w:color w:val="auto"/>
        </w:rPr>
        <w:t xml:space="preserve"> </w:t>
      </w:r>
      <w:r w:rsidRPr="00281C48">
        <w:rPr>
          <w:rStyle w:val="Intenzivenpoudarek"/>
          <w:i w:val="0"/>
          <w:iCs w:val="0"/>
          <w:color w:val="auto"/>
        </w:rPr>
        <w:t>in izgradnja nove infrastrukt</w:t>
      </w:r>
      <w:r w:rsidR="006526DC">
        <w:rPr>
          <w:rStyle w:val="Intenzivenpoudarek"/>
          <w:i w:val="0"/>
          <w:iCs w:val="0"/>
          <w:color w:val="auto"/>
        </w:rPr>
        <w:t>ure s ciljem pridobiti dostopno</w:t>
      </w:r>
      <w:r w:rsidRPr="00281C48">
        <w:rPr>
          <w:rStyle w:val="Intenzivenpoudarek"/>
          <w:i w:val="0"/>
          <w:iCs w:val="0"/>
          <w:color w:val="auto"/>
        </w:rPr>
        <w:t xml:space="preserve"> in konkurenčno železnico.</w:t>
      </w:r>
      <w:r w:rsidRPr="00281C48">
        <w:rPr>
          <w:i/>
          <w:iCs/>
          <w:sz w:val="18"/>
          <w:szCs w:val="18"/>
        </w:rPr>
        <w:t xml:space="preserve"> </w:t>
      </w:r>
    </w:p>
    <w:p w14:paraId="16891EC9" w14:textId="67B45A51" w:rsidR="001A005C" w:rsidRDefault="00FC6423" w:rsidP="00C52E4C">
      <w:pPr>
        <w:spacing w:after="0" w:line="240" w:lineRule="auto"/>
        <w:jc w:val="both"/>
        <w:rPr>
          <w:rFonts w:ascii="Calibri" w:hAnsi="Calibri" w:cs="Calibri"/>
        </w:rPr>
      </w:pPr>
      <w:r w:rsidRPr="00472C4D">
        <w:rPr>
          <w:rFonts w:ascii="Calibri" w:hAnsi="Calibri" w:cs="Calibri"/>
        </w:rPr>
        <w:t>Davek na motorna vozila se plačuje za vozila, ki se dajo prvič v promet ali se prvič registrirajo na območju RS, kar velja tudi za električna in hibridna vozila. V Zakonu o davku na motorna vozila je potrebno posodobiti lestvico za stopnje obdavčitve glede emisij CO</w:t>
      </w:r>
      <w:r w:rsidRPr="00472C4D">
        <w:rPr>
          <w:rFonts w:ascii="Calibri" w:hAnsi="Calibri" w:cs="Calibri"/>
          <w:vertAlign w:val="subscript"/>
        </w:rPr>
        <w:t xml:space="preserve">2 </w:t>
      </w:r>
      <w:r w:rsidRPr="00472C4D">
        <w:rPr>
          <w:rFonts w:ascii="Calibri" w:hAnsi="Calibri" w:cs="Calibri"/>
        </w:rPr>
        <w:t xml:space="preserve">in uvesti dodatne razrede, kar bi stimuliralo rabo </w:t>
      </w:r>
      <w:r w:rsidR="007832E0" w:rsidRPr="00472C4D">
        <w:rPr>
          <w:rFonts w:ascii="Calibri" w:hAnsi="Calibri" w:cs="Calibri"/>
        </w:rPr>
        <w:t>okoljsko spre</w:t>
      </w:r>
      <w:r w:rsidR="005D24D2">
        <w:rPr>
          <w:rFonts w:ascii="Calibri" w:hAnsi="Calibri" w:cs="Calibri"/>
        </w:rPr>
        <w:t>je</w:t>
      </w:r>
      <w:r w:rsidR="007832E0" w:rsidRPr="00472C4D">
        <w:rPr>
          <w:rFonts w:ascii="Calibri" w:hAnsi="Calibri" w:cs="Calibri"/>
        </w:rPr>
        <w:t>m</w:t>
      </w:r>
      <w:r w:rsidR="00A62790">
        <w:rPr>
          <w:rFonts w:ascii="Calibri" w:hAnsi="Calibri" w:cs="Calibri"/>
        </w:rPr>
        <w:t>l</w:t>
      </w:r>
      <w:r w:rsidR="007832E0" w:rsidRPr="00472C4D">
        <w:rPr>
          <w:rFonts w:ascii="Calibri" w:hAnsi="Calibri" w:cs="Calibri"/>
        </w:rPr>
        <w:t>jivejših</w:t>
      </w:r>
      <w:r w:rsidRPr="00472C4D">
        <w:rPr>
          <w:rFonts w:ascii="Calibri" w:hAnsi="Calibri" w:cs="Calibri"/>
        </w:rPr>
        <w:t xml:space="preserve"> </w:t>
      </w:r>
      <w:r w:rsidRPr="00D17BED">
        <w:rPr>
          <w:rFonts w:ascii="Calibri" w:hAnsi="Calibri" w:cs="Calibri"/>
        </w:rPr>
        <w:t>vozil.</w:t>
      </w:r>
      <w:r w:rsidR="001A005C" w:rsidRPr="00472C4D">
        <w:rPr>
          <w:rFonts w:ascii="Calibri" w:hAnsi="Calibri" w:cs="Calibri"/>
        </w:rPr>
        <w:t xml:space="preserve"> </w:t>
      </w:r>
    </w:p>
    <w:p w14:paraId="0D771E1A" w14:textId="50C00433" w:rsidR="00795A46" w:rsidRPr="00472C4D" w:rsidRDefault="00795A46" w:rsidP="00C52E4C">
      <w:pPr>
        <w:spacing w:after="0" w:line="240" w:lineRule="auto"/>
        <w:jc w:val="both"/>
        <w:rPr>
          <w:rFonts w:ascii="Calibri" w:hAnsi="Calibri" w:cs="Calibri"/>
        </w:rPr>
      </w:pPr>
      <w:r>
        <w:lastRenderedPageBreak/>
        <w:t>Ustanoviti je potrebno upravljavca sistema javnega potniškega prometa, prilagoditve voznih redov in vzpostavitve informacijskih platform v obsegu. Zagotoviti čimprejšnjo vključitev vseh ponudnikov mestnega potniškega prometa v sistem enotne vozovnice, vključno z Ljubljanskim potniškim prometom, izvedena mora biti tudi nadaljnja integracija voznih redov avtobusnega, železniškega, mestnih in šolskih prevozov. V sklopu integracije je treba zagotoviti zadostno število kompetentnih kadrov za vzpostavitev, vodenje, vzdrževanje in razvoj integriranega javnega potniškega prometa.</w:t>
      </w:r>
    </w:p>
    <w:p w14:paraId="6800D8E7" w14:textId="7340868F" w:rsidR="00F47C06" w:rsidRPr="00472C4D" w:rsidRDefault="001C22FA" w:rsidP="00C52E4C">
      <w:pPr>
        <w:spacing w:after="0" w:line="240" w:lineRule="auto"/>
        <w:jc w:val="both"/>
        <w:rPr>
          <w:rFonts w:ascii="Calibri" w:hAnsi="Calibri" w:cs="Calibri"/>
        </w:rPr>
      </w:pPr>
      <w:r w:rsidRPr="00472C4D">
        <w:rPr>
          <w:rFonts w:ascii="Calibri" w:hAnsi="Calibri" w:cs="Calibri"/>
        </w:rPr>
        <w:t>Pospešeno zmanjševanje em</w:t>
      </w:r>
      <w:r w:rsidR="00F70FBA" w:rsidRPr="00472C4D">
        <w:rPr>
          <w:rFonts w:ascii="Calibri" w:hAnsi="Calibri" w:cs="Calibri"/>
        </w:rPr>
        <w:t>i</w:t>
      </w:r>
      <w:r w:rsidRPr="00472C4D">
        <w:rPr>
          <w:rFonts w:ascii="Calibri" w:hAnsi="Calibri" w:cs="Calibri"/>
        </w:rPr>
        <w:t>sij TGP bi spodbudil</w:t>
      </w:r>
      <w:r w:rsidR="005D24D2">
        <w:rPr>
          <w:rFonts w:ascii="Calibri" w:hAnsi="Calibri" w:cs="Calibri"/>
        </w:rPr>
        <w:t>e</w:t>
      </w:r>
      <w:r w:rsidRPr="00472C4D">
        <w:rPr>
          <w:rFonts w:ascii="Calibri" w:hAnsi="Calibri" w:cs="Calibri"/>
        </w:rPr>
        <w:t xml:space="preserve"> </w:t>
      </w:r>
      <w:r w:rsidR="00F70FBA" w:rsidRPr="00472C4D">
        <w:rPr>
          <w:rFonts w:ascii="Calibri" w:hAnsi="Calibri" w:cs="Calibri"/>
        </w:rPr>
        <w:t>tudi</w:t>
      </w:r>
      <w:r w:rsidRPr="00472C4D">
        <w:rPr>
          <w:rFonts w:ascii="Calibri" w:hAnsi="Calibri" w:cs="Calibri"/>
        </w:rPr>
        <w:t xml:space="preserve"> </w:t>
      </w:r>
      <w:r w:rsidR="005D24D2">
        <w:rPr>
          <w:rFonts w:ascii="Calibri" w:hAnsi="Calibri" w:cs="Calibri"/>
        </w:rPr>
        <w:t>aktivnosti</w:t>
      </w:r>
      <w:r w:rsidRPr="00472C4D">
        <w:rPr>
          <w:rFonts w:ascii="Calibri" w:hAnsi="Calibri" w:cs="Calibri"/>
        </w:rPr>
        <w:t xml:space="preserve"> kot so izboljšana</w:t>
      </w:r>
      <w:r w:rsidR="001A005C" w:rsidRPr="00472C4D">
        <w:rPr>
          <w:rFonts w:ascii="Calibri" w:hAnsi="Calibri" w:cs="Calibri"/>
        </w:rPr>
        <w:t xml:space="preserve"> shem</w:t>
      </w:r>
      <w:r w:rsidRPr="00472C4D">
        <w:rPr>
          <w:rFonts w:ascii="Calibri" w:hAnsi="Calibri" w:cs="Calibri"/>
        </w:rPr>
        <w:t>a</w:t>
      </w:r>
      <w:r w:rsidR="001A005C" w:rsidRPr="00472C4D">
        <w:rPr>
          <w:rFonts w:ascii="Calibri" w:hAnsi="Calibri" w:cs="Calibri"/>
        </w:rPr>
        <w:t xml:space="preserve"> za subvencioniranje </w:t>
      </w:r>
      <w:r w:rsidR="00C46084">
        <w:rPr>
          <w:rFonts w:ascii="Calibri" w:hAnsi="Calibri" w:cs="Calibri"/>
        </w:rPr>
        <w:t xml:space="preserve">električnih </w:t>
      </w:r>
      <w:r w:rsidR="001A005C" w:rsidRPr="00472C4D">
        <w:rPr>
          <w:rFonts w:ascii="Calibri" w:hAnsi="Calibri" w:cs="Calibri"/>
        </w:rPr>
        <w:t>vozil</w:t>
      </w:r>
      <w:r w:rsidR="00AA1D5E">
        <w:rPr>
          <w:rFonts w:ascii="Calibri" w:hAnsi="Calibri" w:cs="Calibri"/>
        </w:rPr>
        <w:t xml:space="preserve"> za doseganje večje stroškovne učinkovitosti</w:t>
      </w:r>
      <w:r w:rsidR="00C46084">
        <w:rPr>
          <w:rFonts w:ascii="Calibri" w:hAnsi="Calibri" w:cs="Calibri"/>
        </w:rPr>
        <w:t xml:space="preserve"> teh spodbud</w:t>
      </w:r>
      <w:r w:rsidRPr="00472C4D">
        <w:rPr>
          <w:rFonts w:ascii="Calibri" w:hAnsi="Calibri" w:cs="Calibri"/>
        </w:rPr>
        <w:t xml:space="preserve">, polnilnice za stanovalce večstanovanjskih stavb, </w:t>
      </w:r>
      <w:r w:rsidR="00320FAC">
        <w:rPr>
          <w:rFonts w:ascii="Calibri" w:hAnsi="Calibri" w:cs="Calibri"/>
        </w:rPr>
        <w:t>povračilo stroškov za prevoz na delo v obliki vozovnice JPP</w:t>
      </w:r>
      <w:r w:rsidRPr="00472C4D">
        <w:rPr>
          <w:rFonts w:ascii="Calibri" w:hAnsi="Calibri" w:cs="Calibri"/>
        </w:rPr>
        <w:t xml:space="preserve">, omejevanje parkiranja na delovnem mestu, </w:t>
      </w:r>
      <w:r w:rsidR="00D17BED" w:rsidRPr="00D17BED">
        <w:t>uporaba elektronskega cestninjenja tovornih vozil tudi kot orodja za upravljanje prometa, vzpostavitev elektronskega cestninjenja v prostem prometnem toku,</w:t>
      </w:r>
      <w:r w:rsidR="00D17BED" w:rsidRPr="00472C4D">
        <w:rPr>
          <w:rFonts w:ascii="Calibri" w:hAnsi="Calibri" w:cs="Calibri"/>
        </w:rPr>
        <w:t xml:space="preserve"> </w:t>
      </w:r>
      <w:r w:rsidR="00BE5965" w:rsidRPr="00BE5965">
        <w:t>preučitev in postopno zaračunavanje zunanjih stroškov za tovorni promet,</w:t>
      </w:r>
      <w:r w:rsidR="00BE5965" w:rsidRPr="00472C4D">
        <w:rPr>
          <w:rFonts w:ascii="Calibri" w:hAnsi="Calibri" w:cs="Calibri"/>
        </w:rPr>
        <w:t xml:space="preserve"> </w:t>
      </w:r>
      <w:r w:rsidR="00795A46">
        <w:rPr>
          <w:rFonts w:ascii="Calibri" w:hAnsi="Calibri" w:cs="Calibri"/>
        </w:rPr>
        <w:t xml:space="preserve">poenostavitev postopkov umeščanja kolesarskih povezav v prostor, </w:t>
      </w:r>
      <w:r w:rsidRPr="00472C4D">
        <w:rPr>
          <w:rFonts w:ascii="Calibri" w:hAnsi="Calibri" w:cs="Calibri"/>
        </w:rPr>
        <w:t xml:space="preserve">zagotovilo zadostnega števila kompetentnega kadra na pristojnih področjih, </w:t>
      </w:r>
      <w:r w:rsidRPr="00D17BED">
        <w:rPr>
          <w:rFonts w:ascii="Calibri" w:hAnsi="Calibri" w:cs="Calibri"/>
        </w:rPr>
        <w:t>zagotovitev stabilnega in kontinuiranega financiranja itd.</w:t>
      </w:r>
    </w:p>
    <w:p w14:paraId="40B925AD" w14:textId="77777777" w:rsidR="008F3DC0" w:rsidRDefault="008F3DC0" w:rsidP="00C52E4C">
      <w:pPr>
        <w:spacing w:after="0" w:line="240" w:lineRule="auto"/>
        <w:jc w:val="both"/>
        <w:rPr>
          <w:rFonts w:ascii="Calibri" w:hAnsi="Calibri" w:cs="Calibri"/>
        </w:rPr>
      </w:pPr>
    </w:p>
    <w:p w14:paraId="1CE77269" w14:textId="543553F4" w:rsidR="00104ECF" w:rsidRPr="00472C4D" w:rsidRDefault="003825D3" w:rsidP="00C52E4C">
      <w:pPr>
        <w:spacing w:after="0" w:line="240" w:lineRule="auto"/>
        <w:jc w:val="both"/>
        <w:rPr>
          <w:rFonts w:ascii="Calibri" w:hAnsi="Calibri" w:cs="Calibri"/>
          <w:b/>
          <w:bCs/>
        </w:rPr>
      </w:pPr>
      <w:r w:rsidRPr="008F4D15">
        <w:rPr>
          <w:rFonts w:ascii="Calibri" w:hAnsi="Calibri" w:cs="Calibri"/>
          <w:b/>
          <w:bCs/>
        </w:rPr>
        <w:t>4</w:t>
      </w:r>
      <w:r w:rsidR="00104ECF" w:rsidRPr="008F4D15">
        <w:rPr>
          <w:rFonts w:ascii="Calibri" w:hAnsi="Calibri" w:cs="Calibri"/>
          <w:b/>
          <w:bCs/>
        </w:rPr>
        <w:t>.</w:t>
      </w:r>
      <w:r w:rsidR="00EE70D5" w:rsidRPr="008F4D15">
        <w:rPr>
          <w:rFonts w:ascii="Calibri" w:hAnsi="Calibri" w:cs="Calibri"/>
          <w:b/>
          <w:bCs/>
        </w:rPr>
        <w:t>3</w:t>
      </w:r>
      <w:r w:rsidR="00104ECF" w:rsidRPr="008F4D15">
        <w:rPr>
          <w:rFonts w:ascii="Calibri" w:hAnsi="Calibri" w:cs="Calibri"/>
          <w:b/>
          <w:bCs/>
        </w:rPr>
        <w:t xml:space="preserve"> Kmetijstvo</w:t>
      </w:r>
    </w:p>
    <w:p w14:paraId="643C6EDE" w14:textId="31020EB2" w:rsidR="00104ECF" w:rsidRPr="00472C4D" w:rsidRDefault="00104ECF" w:rsidP="00C52E4C">
      <w:pPr>
        <w:spacing w:after="0" w:line="240" w:lineRule="auto"/>
        <w:jc w:val="both"/>
        <w:rPr>
          <w:rFonts w:ascii="Calibri" w:hAnsi="Calibri" w:cs="Calibri"/>
        </w:rPr>
      </w:pPr>
    </w:p>
    <w:p w14:paraId="36FA8FEA" w14:textId="094CAEB1" w:rsidR="00C46EC7" w:rsidRPr="00472C4D" w:rsidRDefault="002D21F9" w:rsidP="00C52E4C">
      <w:pPr>
        <w:spacing w:after="0" w:line="240" w:lineRule="auto"/>
        <w:jc w:val="both"/>
        <w:rPr>
          <w:rFonts w:ascii="Calibri" w:hAnsi="Calibri" w:cs="Calibri"/>
        </w:rPr>
      </w:pPr>
      <w:r w:rsidRPr="00472C4D">
        <w:rPr>
          <w:rFonts w:ascii="Calibri" w:hAnsi="Calibri" w:cs="Calibri"/>
        </w:rPr>
        <w:t>Prvo področje ukrepov naslavlja spodbujanje zmanjšanja emisij TGP. Izvajale so se naslednje aktivnosti:</w:t>
      </w:r>
    </w:p>
    <w:p w14:paraId="292C8E2B" w14:textId="3A57CFE1" w:rsidR="001872B5" w:rsidRDefault="002D21F9" w:rsidP="000F329B">
      <w:pPr>
        <w:pStyle w:val="Odstavekseznama"/>
        <w:numPr>
          <w:ilvl w:val="0"/>
          <w:numId w:val="6"/>
        </w:numPr>
        <w:autoSpaceDE w:val="0"/>
        <w:autoSpaceDN w:val="0"/>
        <w:adjustRightInd w:val="0"/>
        <w:spacing w:after="0" w:line="240" w:lineRule="auto"/>
        <w:jc w:val="both"/>
        <w:rPr>
          <w:rFonts w:ascii="Calibri" w:hAnsi="Calibri" w:cs="Calibri"/>
        </w:rPr>
      </w:pPr>
      <w:r w:rsidRPr="001872B5">
        <w:rPr>
          <w:rFonts w:ascii="Calibri" w:hAnsi="Calibri" w:cs="Calibri"/>
        </w:rPr>
        <w:t xml:space="preserve">Ker </w:t>
      </w:r>
      <w:r w:rsidRPr="001872B5">
        <w:rPr>
          <w:rFonts w:ascii="Calibri" w:hAnsi="Calibri" w:cs="Calibri"/>
          <w:color w:val="000000"/>
        </w:rPr>
        <w:t xml:space="preserve">emisije metana iz prebavil rejnih živali povzročajo </w:t>
      </w:r>
      <w:r w:rsidR="00341780">
        <w:rPr>
          <w:rFonts w:ascii="Calibri" w:hAnsi="Calibri" w:cs="Calibri"/>
          <w:color w:val="000000"/>
        </w:rPr>
        <w:t xml:space="preserve">več kot </w:t>
      </w:r>
      <w:r w:rsidRPr="001872B5">
        <w:rPr>
          <w:rFonts w:ascii="Calibri" w:hAnsi="Calibri" w:cs="Calibri"/>
          <w:color w:val="000000"/>
        </w:rPr>
        <w:t>5</w:t>
      </w:r>
      <w:r w:rsidR="00341780">
        <w:rPr>
          <w:rFonts w:ascii="Calibri" w:hAnsi="Calibri" w:cs="Calibri"/>
          <w:color w:val="000000"/>
        </w:rPr>
        <w:t>3</w:t>
      </w:r>
      <w:r w:rsidR="007555F2">
        <w:rPr>
          <w:rFonts w:ascii="Calibri" w:hAnsi="Calibri" w:cs="Calibri"/>
          <w:color w:val="000000"/>
        </w:rPr>
        <w:t xml:space="preserve"> </w:t>
      </w:r>
      <w:r w:rsidRPr="001872B5">
        <w:rPr>
          <w:rFonts w:ascii="Calibri" w:hAnsi="Calibri" w:cs="Calibri"/>
          <w:color w:val="000000"/>
        </w:rPr>
        <w:t>% vseh emisij TGP v kmetijstvu, je bilo v</w:t>
      </w:r>
      <w:r w:rsidR="00341780">
        <w:rPr>
          <w:rFonts w:ascii="Calibri" w:hAnsi="Calibri" w:cs="Calibri"/>
        </w:rPr>
        <w:t xml:space="preserve"> letu 2017</w:t>
      </w:r>
      <w:r w:rsidRPr="001872B5">
        <w:rPr>
          <w:rFonts w:ascii="Calibri" w:hAnsi="Calibri" w:cs="Calibri"/>
        </w:rPr>
        <w:t xml:space="preserve"> </w:t>
      </w:r>
      <w:r w:rsidRPr="001872B5">
        <w:rPr>
          <w:rFonts w:ascii="Calibri" w:hAnsi="Calibri" w:cs="Calibri"/>
          <w:color w:val="000000"/>
        </w:rPr>
        <w:t>208.</w:t>
      </w:r>
      <w:r w:rsidR="00341780">
        <w:rPr>
          <w:rFonts w:ascii="Calibri" w:hAnsi="Calibri" w:cs="Calibri"/>
          <w:color w:val="000000"/>
        </w:rPr>
        <w:t>335</w:t>
      </w:r>
      <w:r w:rsidRPr="001872B5">
        <w:rPr>
          <w:rFonts w:ascii="Calibri" w:hAnsi="Calibri" w:cs="Calibri"/>
          <w:color w:val="000000"/>
        </w:rPr>
        <w:t xml:space="preserve"> ur</w:t>
      </w:r>
      <w:r w:rsidR="00341780">
        <w:rPr>
          <w:rFonts w:ascii="Calibri" w:hAnsi="Calibri" w:cs="Calibri"/>
          <w:color w:val="000000"/>
        </w:rPr>
        <w:t>, v letu  2018 pa 177.487 ur</w:t>
      </w:r>
      <w:r w:rsidRPr="001872B5">
        <w:rPr>
          <w:rFonts w:ascii="Calibri" w:hAnsi="Calibri" w:cs="Calibri"/>
          <w:color w:val="000000"/>
        </w:rPr>
        <w:t xml:space="preserve"> namenjenih</w:t>
      </w:r>
      <w:r w:rsidRPr="001872B5">
        <w:rPr>
          <w:rFonts w:ascii="Calibri" w:hAnsi="Calibri" w:cs="Calibri"/>
        </w:rPr>
        <w:t xml:space="preserve"> tehnološko-okoljskemu svetovanju in varovanju proizvodnih virov </w:t>
      </w:r>
      <w:r w:rsidR="009F1066" w:rsidRPr="001872B5">
        <w:rPr>
          <w:rFonts w:ascii="Calibri" w:hAnsi="Calibri" w:cs="Calibri"/>
        </w:rPr>
        <w:t>(</w:t>
      </w:r>
      <w:r w:rsidRPr="001872B5">
        <w:rPr>
          <w:rFonts w:ascii="Calibri" w:hAnsi="Calibri" w:cs="Calibri"/>
        </w:rPr>
        <w:t>področja pridelave krme, prehrane živali, ureditve hlevov in reje živali, pašništva in gnojenja kmetijskih rastlin</w:t>
      </w:r>
      <w:r w:rsidR="009F1066" w:rsidRPr="001872B5">
        <w:rPr>
          <w:rFonts w:ascii="Calibri" w:hAnsi="Calibri" w:cs="Calibri"/>
        </w:rPr>
        <w:t>)</w:t>
      </w:r>
      <w:r w:rsidRPr="001872B5">
        <w:rPr>
          <w:rFonts w:ascii="Calibri" w:hAnsi="Calibri" w:cs="Calibri"/>
        </w:rPr>
        <w:t xml:space="preserve">. </w:t>
      </w:r>
      <w:r w:rsidR="00396C39" w:rsidRPr="001872B5">
        <w:rPr>
          <w:rFonts w:ascii="Calibri" w:hAnsi="Calibri" w:cs="Calibri"/>
        </w:rPr>
        <w:t xml:space="preserve">  </w:t>
      </w:r>
    </w:p>
    <w:p w14:paraId="414E4A9A" w14:textId="6224F440" w:rsidR="00341780" w:rsidRPr="00C80D13" w:rsidRDefault="00396C39" w:rsidP="00341780">
      <w:pPr>
        <w:pStyle w:val="Odstavekseznama"/>
        <w:numPr>
          <w:ilvl w:val="0"/>
          <w:numId w:val="6"/>
        </w:numPr>
        <w:autoSpaceDE w:val="0"/>
        <w:autoSpaceDN w:val="0"/>
        <w:adjustRightInd w:val="0"/>
        <w:spacing w:after="0" w:line="240" w:lineRule="auto"/>
        <w:jc w:val="both"/>
        <w:rPr>
          <w:rFonts w:ascii="Calibri" w:hAnsi="Calibri" w:cs="Calibri"/>
        </w:rPr>
      </w:pPr>
      <w:r w:rsidRPr="00C80D13">
        <w:rPr>
          <w:rFonts w:ascii="Calibri" w:hAnsi="Calibri" w:cs="Calibri"/>
        </w:rPr>
        <w:t>V okviru</w:t>
      </w:r>
      <w:r w:rsidR="000F329B" w:rsidRPr="00C80D13">
        <w:rPr>
          <w:rFonts w:ascii="Calibri" w:hAnsi="Calibri" w:cs="Calibri"/>
        </w:rPr>
        <w:t xml:space="preserve"> ukrep</w:t>
      </w:r>
      <w:r w:rsidRPr="00C80D13">
        <w:rPr>
          <w:rFonts w:ascii="Calibri" w:hAnsi="Calibri" w:cs="Calibri"/>
        </w:rPr>
        <w:t>a</w:t>
      </w:r>
      <w:r w:rsidR="000F329B" w:rsidRPr="00C80D13">
        <w:rPr>
          <w:rFonts w:ascii="Calibri" w:hAnsi="Calibri" w:cs="Calibri"/>
        </w:rPr>
        <w:t xml:space="preserve"> Prenos znanja in dejavnosti informiranja (M01) s podukrepom Podpora za dejavnosti poklicnega usposabljanja in pridobivanja spretnosti (M01.1) so bila v letu 2018 uspešno izvedena tri javna naročila za izvedbo usposabljanj na področju dobrobiti živali, eno javno naročilo za redno usposabljanje na področju kmetijsko-okoljsko-podnebnih plačil in eno javno naročilo za usposabljanje za ukrep Ekološko kmetovanje. </w:t>
      </w:r>
      <w:r w:rsidR="00341780" w:rsidRPr="00341780">
        <w:t xml:space="preserve">V letu 2019 </w:t>
      </w:r>
      <w:r w:rsidR="00341780">
        <w:t xml:space="preserve">sta bili </w:t>
      </w:r>
      <w:r w:rsidR="00341780" w:rsidRPr="00341780">
        <w:t>uspešno izvedeni dve javni naročili za izvedbo usposabljanj na področju dobrobiti živali in dve javni naročili za redno usposabljanje na področju kmetijsko-okoljsko-podnebnih plačil.</w:t>
      </w:r>
      <w:r w:rsidR="00341780" w:rsidRPr="00C80D13">
        <w:rPr>
          <w:b/>
        </w:rPr>
        <w:t xml:space="preserve"> </w:t>
      </w:r>
      <w:r w:rsidR="00C80D13" w:rsidRPr="00C80D13">
        <w:t>Do konca leta 2019 se je u</w:t>
      </w:r>
      <w:r w:rsidR="00341780" w:rsidRPr="00C80D13">
        <w:t>sposabljanj na področ</w:t>
      </w:r>
      <w:r w:rsidR="00C80D13" w:rsidRPr="00C80D13">
        <w:t>j</w:t>
      </w:r>
      <w:r w:rsidR="00341780" w:rsidRPr="00C80D13">
        <w:t>u kmetijsko-okoljsko-podnebnih plačil od začetka izvajanja PRP 2014‒2020 udeležilo 33.865 udeležencev, usposabljanj na področju ekološkega kmetovanja 13.214 udeležencev in usposabljanj za dobrobiti živali 23.476 udeležencev.</w:t>
      </w:r>
      <w:r w:rsidR="00341780" w:rsidRPr="00C80D13">
        <w:rPr>
          <w:b/>
        </w:rPr>
        <w:t xml:space="preserve"> </w:t>
      </w:r>
    </w:p>
    <w:p w14:paraId="38D4E8E7" w14:textId="2FB009BE" w:rsidR="003D362A" w:rsidRPr="002E7878" w:rsidRDefault="00812A89" w:rsidP="00812A89">
      <w:pPr>
        <w:pStyle w:val="Odstavekseznama"/>
        <w:numPr>
          <w:ilvl w:val="0"/>
          <w:numId w:val="6"/>
        </w:numPr>
        <w:autoSpaceDE w:val="0"/>
        <w:autoSpaceDN w:val="0"/>
        <w:adjustRightInd w:val="0"/>
        <w:spacing w:after="0" w:line="240" w:lineRule="auto"/>
        <w:jc w:val="both"/>
        <w:rPr>
          <w:rFonts w:ascii="Calibri" w:hAnsi="Calibri" w:cs="Calibri"/>
        </w:rPr>
      </w:pPr>
      <w:r w:rsidRPr="00371042">
        <w:rPr>
          <w:rFonts w:ascii="Calibri" w:hAnsi="Calibri" w:cs="Calibri"/>
        </w:rPr>
        <w:t>V PRP 2014−2020 je ukrep</w:t>
      </w:r>
      <w:r w:rsidR="003D362A" w:rsidRPr="00371042">
        <w:rPr>
          <w:rFonts w:ascii="Calibri" w:hAnsi="Calibri" w:cs="Calibri"/>
        </w:rPr>
        <w:t xml:space="preserve"> Sodelovanje (M16) podp</w:t>
      </w:r>
      <w:r w:rsidRPr="00371042">
        <w:rPr>
          <w:rFonts w:ascii="Calibri" w:hAnsi="Calibri" w:cs="Calibri"/>
        </w:rPr>
        <w:t>rl</w:t>
      </w:r>
      <w:r w:rsidR="003D362A" w:rsidRPr="00371042">
        <w:rPr>
          <w:rFonts w:ascii="Calibri" w:hAnsi="Calibri" w:cs="Calibri"/>
        </w:rPr>
        <w:t xml:space="preserve"> </w:t>
      </w:r>
      <w:r w:rsidR="00F47C06" w:rsidRPr="00371042">
        <w:rPr>
          <w:rFonts w:ascii="Calibri" w:hAnsi="Calibri" w:cs="Calibri"/>
        </w:rPr>
        <w:t>sodelovanja</w:t>
      </w:r>
      <w:r w:rsidR="003D362A" w:rsidRPr="00371042">
        <w:rPr>
          <w:rFonts w:ascii="Calibri" w:hAnsi="Calibri" w:cs="Calibri"/>
        </w:rPr>
        <w:t xml:space="preserve"> akterje</w:t>
      </w:r>
      <w:r w:rsidR="00F47C06" w:rsidRPr="00371042">
        <w:rPr>
          <w:rFonts w:ascii="Calibri" w:hAnsi="Calibri" w:cs="Calibri"/>
        </w:rPr>
        <w:t>v</w:t>
      </w:r>
      <w:r w:rsidR="003D362A" w:rsidRPr="00371042">
        <w:rPr>
          <w:rFonts w:ascii="Calibri" w:hAnsi="Calibri" w:cs="Calibri"/>
        </w:rPr>
        <w:t xml:space="preserve"> na podeželskih območjih</w:t>
      </w:r>
      <w:r w:rsidR="00F47C06" w:rsidRPr="00371042">
        <w:rPr>
          <w:rFonts w:ascii="Calibri" w:hAnsi="Calibri" w:cs="Calibri"/>
        </w:rPr>
        <w:t>, ki so nepovezana ter jim omogočil lažje</w:t>
      </w:r>
      <w:r w:rsidR="003D362A" w:rsidRPr="00371042">
        <w:rPr>
          <w:rFonts w:ascii="Calibri" w:hAnsi="Calibri" w:cs="Calibri"/>
        </w:rPr>
        <w:t xml:space="preserve"> premagovanje ekonomskih, okoljskih in drugih omejitev</w:t>
      </w:r>
      <w:r w:rsidR="00F47C06" w:rsidRPr="00371042">
        <w:rPr>
          <w:rFonts w:ascii="Calibri" w:hAnsi="Calibri" w:cs="Calibri"/>
        </w:rPr>
        <w:t>.</w:t>
      </w:r>
      <w:r w:rsidR="003D362A" w:rsidRPr="00371042">
        <w:rPr>
          <w:rFonts w:ascii="Calibri" w:hAnsi="Calibri" w:cs="Calibri"/>
        </w:rPr>
        <w:t xml:space="preserve"> </w:t>
      </w:r>
      <w:r w:rsidR="00F5261A" w:rsidRPr="00371042">
        <w:rPr>
          <w:rFonts w:ascii="Calibri" w:hAnsi="Calibri" w:cs="Calibri"/>
        </w:rPr>
        <w:t>V</w:t>
      </w:r>
      <w:r w:rsidRPr="00371042">
        <w:rPr>
          <w:rFonts w:ascii="Calibri" w:hAnsi="Calibri" w:cs="Calibri"/>
        </w:rPr>
        <w:t xml:space="preserve"> letu 2018 </w:t>
      </w:r>
      <w:r w:rsidR="00F5261A" w:rsidRPr="00371042">
        <w:rPr>
          <w:rFonts w:ascii="Calibri" w:hAnsi="Calibri" w:cs="Calibri"/>
        </w:rPr>
        <w:t>so bili o</w:t>
      </w:r>
      <w:r w:rsidR="003D362A" w:rsidRPr="00371042">
        <w:rPr>
          <w:rFonts w:ascii="Calibri" w:hAnsi="Calibri" w:cs="Calibri"/>
        </w:rPr>
        <w:t xml:space="preserve">dobreni </w:t>
      </w:r>
      <w:r w:rsidR="00F5261A" w:rsidRPr="00371042">
        <w:rPr>
          <w:rFonts w:ascii="Calibri" w:hAnsi="Calibri" w:cs="Calibri"/>
        </w:rPr>
        <w:t>tudi projekti za skupno ukrepanje za blaženje podnebnih sprememb in prilagajanje nanje. P</w:t>
      </w:r>
      <w:r w:rsidR="003D362A" w:rsidRPr="00371042">
        <w:rPr>
          <w:rFonts w:ascii="Calibri" w:hAnsi="Calibri" w:cs="Calibri"/>
        </w:rPr>
        <w:t xml:space="preserve">rojekti </w:t>
      </w:r>
      <w:r w:rsidRPr="00371042">
        <w:rPr>
          <w:rFonts w:ascii="Calibri" w:hAnsi="Calibri" w:cs="Calibri"/>
        </w:rPr>
        <w:t>obravnavajo</w:t>
      </w:r>
      <w:r w:rsidR="003D362A" w:rsidRPr="00371042">
        <w:rPr>
          <w:rFonts w:ascii="Calibri" w:hAnsi="Calibri" w:cs="Calibri"/>
        </w:rPr>
        <w:t xml:space="preserve"> pridelovanje zrnatih stročnic in travno-deteljnih mešanic, ki prispevajo k zmanjšanju izpustov didušikovega oksida</w:t>
      </w:r>
      <w:r w:rsidRPr="00371042">
        <w:rPr>
          <w:rFonts w:ascii="Calibri" w:hAnsi="Calibri" w:cs="Calibri"/>
        </w:rPr>
        <w:t>,</w:t>
      </w:r>
      <w:r w:rsidR="003D362A" w:rsidRPr="00371042">
        <w:rPr>
          <w:rFonts w:ascii="Calibri" w:hAnsi="Calibri" w:cs="Calibri"/>
        </w:rPr>
        <w:t xml:space="preserve"> izboljšane tehnologije prireje govejega mesa, ki prispevajo k manjšim izpustom metana in izkoriščanje koruznih oklaskov kot obnovljivega vira energije. </w:t>
      </w:r>
      <w:r w:rsidR="00C80D13" w:rsidRPr="00C80D13">
        <w:t xml:space="preserve">V letu 2019 se je začelo financiranje projektov, ki so bili izbrani na podlagi dveh razpisov, objavljenih v letu 2018. Za podukrep 16.5 Podpora za skupno ukrepanje za blažitev podnebnih sprememb ali prilagajanje nanje ter za skupne pristope k okoljskim projektom in stalnim okoljskim praksam so bili izbrani trije pilotni projekti in 10 projektov Evropskega partnerstva za inovacije na področju kmetijske produktivnosti in trajnosti. Za podukrep 16.2 Podpora za pilotne projekte ter za razvoj novih proizvodov, praks, procesov in tehnologij je bilo izbranih 18 pilotnih projektov in 16 projektov Evropskega partnerstva za inovacije na področju kmetijske produktivnosti in trajnosti. </w:t>
      </w:r>
    </w:p>
    <w:p w14:paraId="548A15B5" w14:textId="77777777" w:rsidR="002E7878" w:rsidRPr="00371042" w:rsidRDefault="002E7878" w:rsidP="002E7878">
      <w:pPr>
        <w:pStyle w:val="Odstavekseznama"/>
        <w:autoSpaceDE w:val="0"/>
        <w:autoSpaceDN w:val="0"/>
        <w:adjustRightInd w:val="0"/>
        <w:spacing w:after="0" w:line="240" w:lineRule="auto"/>
        <w:ind w:left="360"/>
        <w:jc w:val="both"/>
        <w:rPr>
          <w:rFonts w:ascii="Calibri" w:hAnsi="Calibri" w:cs="Calibri"/>
        </w:rPr>
      </w:pPr>
    </w:p>
    <w:p w14:paraId="6304560C" w14:textId="0CC2FA68" w:rsidR="009C56DB" w:rsidRPr="00472C4D" w:rsidRDefault="009C56DB" w:rsidP="000F329B">
      <w:pPr>
        <w:pStyle w:val="Default"/>
        <w:jc w:val="both"/>
        <w:rPr>
          <w:rFonts w:ascii="Calibri" w:hAnsi="Calibri" w:cs="Calibri"/>
          <w:sz w:val="22"/>
          <w:szCs w:val="22"/>
          <w:lang w:val="sl-SI"/>
        </w:rPr>
      </w:pPr>
    </w:p>
    <w:p w14:paraId="4448BF4B" w14:textId="77777777" w:rsidR="001872B5" w:rsidRDefault="001810B8" w:rsidP="000F329B">
      <w:pPr>
        <w:pStyle w:val="Default"/>
        <w:jc w:val="both"/>
        <w:rPr>
          <w:rFonts w:ascii="Calibri" w:hAnsi="Calibri" w:cs="Calibri"/>
          <w:sz w:val="22"/>
          <w:szCs w:val="22"/>
          <w:lang w:val="sl-SI"/>
        </w:rPr>
      </w:pPr>
      <w:r w:rsidRPr="00472C4D">
        <w:rPr>
          <w:rFonts w:ascii="Calibri" w:hAnsi="Calibri" w:cs="Calibri"/>
          <w:sz w:val="22"/>
          <w:szCs w:val="22"/>
          <w:lang w:val="sl-SI"/>
        </w:rPr>
        <w:lastRenderedPageBreak/>
        <w:t xml:space="preserve">Drugo področje ukrepov naslavlja povečanje učinkovitosti reje domačih živali, povečanje deleža pašne reje in spodbujanje učinkovitejšega kroženja dušika v kmetijstvu. </w:t>
      </w:r>
    </w:p>
    <w:p w14:paraId="71FD6C34" w14:textId="5F47A82D" w:rsidR="001810B8" w:rsidRPr="00472C4D" w:rsidRDefault="001810B8" w:rsidP="001872B5">
      <w:pPr>
        <w:pStyle w:val="Default"/>
        <w:numPr>
          <w:ilvl w:val="0"/>
          <w:numId w:val="7"/>
        </w:numPr>
        <w:jc w:val="both"/>
        <w:rPr>
          <w:rFonts w:ascii="Calibri" w:hAnsi="Calibri" w:cs="Calibri"/>
          <w:sz w:val="22"/>
          <w:szCs w:val="22"/>
          <w:lang w:val="sl-SI"/>
        </w:rPr>
      </w:pPr>
      <w:r w:rsidRPr="00472C4D">
        <w:rPr>
          <w:rFonts w:ascii="Calibri" w:hAnsi="Calibri" w:cs="Calibri"/>
          <w:sz w:val="22"/>
          <w:szCs w:val="22"/>
          <w:lang w:val="sl-SI"/>
        </w:rPr>
        <w:t xml:space="preserve">V letu 2018 </w:t>
      </w:r>
      <w:r w:rsidR="00A24969" w:rsidRPr="00472C4D">
        <w:rPr>
          <w:rFonts w:ascii="Calibri" w:hAnsi="Calibri" w:cs="Calibri"/>
          <w:sz w:val="22"/>
          <w:szCs w:val="22"/>
          <w:lang w:val="sl-SI"/>
        </w:rPr>
        <w:t>so bile spodbujene naložbe v</w:t>
      </w:r>
      <w:r w:rsidR="00A07805" w:rsidRPr="00472C4D">
        <w:rPr>
          <w:rFonts w:ascii="Calibri" w:hAnsi="Calibri" w:cs="Calibri"/>
          <w:sz w:val="22"/>
          <w:szCs w:val="22"/>
          <w:lang w:val="sl-SI"/>
        </w:rPr>
        <w:t xml:space="preserve"> </w:t>
      </w:r>
      <w:r w:rsidRPr="00472C4D">
        <w:rPr>
          <w:rFonts w:ascii="Calibri" w:hAnsi="Calibri" w:cs="Calibri"/>
          <w:sz w:val="22"/>
          <w:szCs w:val="22"/>
          <w:lang w:val="sl-SI"/>
        </w:rPr>
        <w:t>izboljšanje učinkovitosti rabe živinskih gnojil in zmanjšanje emisij toplogrednih plinov in amonijaka (posodobitve hlevov, gradnja objektov za skladiščenje živinskih gnojil, gradnja objektov za proizvodnjo bioplina, nakup specialne opreme za učinkovitejšo rabo dušika, stroški postavitve pašnikov)</w:t>
      </w:r>
      <w:r w:rsidR="00D60B8A" w:rsidRPr="00472C4D">
        <w:rPr>
          <w:rFonts w:ascii="Calibri" w:hAnsi="Calibri" w:cs="Calibri"/>
          <w:sz w:val="22"/>
          <w:szCs w:val="22"/>
          <w:lang w:val="sl-SI"/>
        </w:rPr>
        <w:t xml:space="preserve"> ter</w:t>
      </w:r>
      <w:r w:rsidR="00A24969" w:rsidRPr="00472C4D">
        <w:rPr>
          <w:rFonts w:ascii="Calibri" w:hAnsi="Calibri" w:cs="Calibri"/>
          <w:sz w:val="22"/>
          <w:szCs w:val="22"/>
          <w:lang w:val="sl-SI"/>
        </w:rPr>
        <w:t xml:space="preserve"> </w:t>
      </w:r>
      <w:r w:rsidRPr="00472C4D">
        <w:rPr>
          <w:rFonts w:ascii="Calibri" w:hAnsi="Calibri" w:cs="Calibri"/>
          <w:sz w:val="22"/>
          <w:szCs w:val="22"/>
          <w:lang w:val="sl-SI"/>
        </w:rPr>
        <w:t>izgradnj</w:t>
      </w:r>
      <w:r w:rsidR="00A07805" w:rsidRPr="00472C4D">
        <w:rPr>
          <w:rFonts w:ascii="Calibri" w:hAnsi="Calibri" w:cs="Calibri"/>
          <w:sz w:val="22"/>
          <w:szCs w:val="22"/>
          <w:lang w:val="sl-SI"/>
        </w:rPr>
        <w:t>a</w:t>
      </w:r>
      <w:r w:rsidRPr="00472C4D">
        <w:rPr>
          <w:rFonts w:ascii="Calibri" w:hAnsi="Calibri" w:cs="Calibri"/>
          <w:sz w:val="22"/>
          <w:szCs w:val="22"/>
          <w:lang w:val="sl-SI"/>
        </w:rPr>
        <w:t xml:space="preserve"> in posodobitev namakalnih sistemov, ki prispevajo k učinkovitejšemu kroženju dušika in s tem k zmanjšanju emisij didušikovega oksida</w:t>
      </w:r>
      <w:r w:rsidR="00017F2F">
        <w:rPr>
          <w:rFonts w:ascii="Calibri" w:hAnsi="Calibri" w:cs="Calibri"/>
          <w:sz w:val="22"/>
          <w:szCs w:val="22"/>
          <w:lang w:val="sl-SI"/>
        </w:rPr>
        <w:t>. V obdobju 2005-2019</w:t>
      </w:r>
      <w:r w:rsidR="00A24969" w:rsidRPr="00472C4D">
        <w:rPr>
          <w:rFonts w:ascii="Calibri" w:hAnsi="Calibri" w:cs="Calibri"/>
          <w:sz w:val="22"/>
          <w:szCs w:val="22"/>
          <w:lang w:val="sl-SI"/>
        </w:rPr>
        <w:t xml:space="preserve"> je bilo za </w:t>
      </w:r>
      <w:r w:rsidR="00017F2F">
        <w:rPr>
          <w:rFonts w:ascii="Calibri" w:hAnsi="Calibri" w:cs="Calibri"/>
          <w:sz w:val="22"/>
          <w:szCs w:val="22"/>
          <w:lang w:val="sl-SI"/>
        </w:rPr>
        <w:t>415</w:t>
      </w:r>
      <w:r w:rsidR="00A24969" w:rsidRPr="00472C4D">
        <w:rPr>
          <w:rFonts w:ascii="Calibri" w:hAnsi="Calibri" w:cs="Calibri"/>
          <w:sz w:val="22"/>
          <w:szCs w:val="22"/>
          <w:lang w:val="sl-SI"/>
        </w:rPr>
        <w:t xml:space="preserve"> odobrenih vlog namenjenih</w:t>
      </w:r>
      <w:r w:rsidRPr="00472C4D">
        <w:rPr>
          <w:rFonts w:ascii="Calibri" w:hAnsi="Calibri" w:cs="Calibri"/>
          <w:sz w:val="22"/>
          <w:szCs w:val="22"/>
          <w:lang w:val="sl-SI"/>
        </w:rPr>
        <w:t xml:space="preserve"> </w:t>
      </w:r>
      <w:r w:rsidR="00017F2F">
        <w:rPr>
          <w:rFonts w:ascii="Calibri" w:hAnsi="Calibri" w:cs="Calibri"/>
          <w:sz w:val="22"/>
          <w:szCs w:val="22"/>
          <w:lang w:val="sl-SI"/>
        </w:rPr>
        <w:t>43</w:t>
      </w:r>
      <w:r w:rsidRPr="00472C4D">
        <w:rPr>
          <w:rFonts w:ascii="Calibri" w:hAnsi="Calibri" w:cs="Calibri"/>
          <w:sz w:val="22"/>
          <w:szCs w:val="22"/>
          <w:lang w:val="sl-SI"/>
        </w:rPr>
        <w:t>.</w:t>
      </w:r>
      <w:r w:rsidR="00017F2F">
        <w:rPr>
          <w:rFonts w:ascii="Calibri" w:hAnsi="Calibri" w:cs="Calibri"/>
          <w:sz w:val="22"/>
          <w:szCs w:val="22"/>
          <w:lang w:val="sl-SI"/>
        </w:rPr>
        <w:t>746</w:t>
      </w:r>
      <w:r w:rsidRPr="00472C4D">
        <w:rPr>
          <w:rFonts w:ascii="Calibri" w:hAnsi="Calibri" w:cs="Calibri"/>
          <w:sz w:val="22"/>
          <w:szCs w:val="22"/>
          <w:lang w:val="sl-SI"/>
        </w:rPr>
        <w:t>.</w:t>
      </w:r>
      <w:r w:rsidR="00017F2F">
        <w:rPr>
          <w:rFonts w:ascii="Calibri" w:hAnsi="Calibri" w:cs="Calibri"/>
          <w:sz w:val="22"/>
          <w:szCs w:val="22"/>
          <w:lang w:val="sl-SI"/>
        </w:rPr>
        <w:t>603</w:t>
      </w:r>
      <w:r w:rsidRPr="00472C4D">
        <w:rPr>
          <w:rFonts w:ascii="Calibri" w:hAnsi="Calibri" w:cs="Calibri"/>
          <w:sz w:val="22"/>
          <w:szCs w:val="22"/>
          <w:lang w:val="sl-SI"/>
        </w:rPr>
        <w:t xml:space="preserve"> </w:t>
      </w:r>
      <w:r w:rsidR="00A24969" w:rsidRPr="00472C4D">
        <w:rPr>
          <w:rFonts w:ascii="Calibri" w:hAnsi="Calibri" w:cs="Calibri"/>
          <w:sz w:val="22"/>
          <w:szCs w:val="22"/>
          <w:lang w:val="sl-SI"/>
        </w:rPr>
        <w:t>evrov.</w:t>
      </w:r>
    </w:p>
    <w:p w14:paraId="558EAC6A" w14:textId="49C05030" w:rsidR="00EC4DC4" w:rsidRPr="007841E0" w:rsidRDefault="000168D5" w:rsidP="00EC4DC4">
      <w:pPr>
        <w:pStyle w:val="Odstavekseznama"/>
        <w:numPr>
          <w:ilvl w:val="0"/>
          <w:numId w:val="7"/>
        </w:numPr>
        <w:autoSpaceDE w:val="0"/>
        <w:autoSpaceDN w:val="0"/>
        <w:adjustRightInd w:val="0"/>
        <w:spacing w:after="0" w:line="240" w:lineRule="auto"/>
        <w:jc w:val="both"/>
        <w:rPr>
          <w:rFonts w:ascii="Calibri" w:hAnsi="Calibri" w:cs="Calibri"/>
          <w:color w:val="000000"/>
        </w:rPr>
      </w:pPr>
      <w:r w:rsidRPr="001872B5">
        <w:rPr>
          <w:rFonts w:ascii="Calibri" w:hAnsi="Calibri" w:cs="Calibri"/>
          <w:color w:val="000000"/>
        </w:rPr>
        <w:t xml:space="preserve">Ukrepi za zmanjševanje emisij </w:t>
      </w:r>
      <w:r w:rsidR="00004F80" w:rsidRPr="001872B5">
        <w:rPr>
          <w:rFonts w:ascii="Calibri" w:hAnsi="Calibri" w:cs="Calibri"/>
          <w:color w:val="000000"/>
        </w:rPr>
        <w:t>didušikovega oksida (</w:t>
      </w:r>
      <w:r w:rsidRPr="001872B5">
        <w:rPr>
          <w:rFonts w:ascii="Calibri" w:hAnsi="Calibri" w:cs="Calibri"/>
          <w:color w:val="000000"/>
        </w:rPr>
        <w:t>N</w:t>
      </w:r>
      <w:r w:rsidRPr="001872B5">
        <w:rPr>
          <w:rFonts w:ascii="Calibri" w:hAnsi="Calibri" w:cs="Calibri"/>
          <w:color w:val="000000"/>
          <w:vertAlign w:val="subscript"/>
        </w:rPr>
        <w:t>2</w:t>
      </w:r>
      <w:r w:rsidRPr="001872B5">
        <w:rPr>
          <w:rFonts w:ascii="Calibri" w:hAnsi="Calibri" w:cs="Calibri"/>
          <w:color w:val="000000"/>
        </w:rPr>
        <w:t>O</w:t>
      </w:r>
      <w:r w:rsidR="00004F80" w:rsidRPr="001872B5">
        <w:rPr>
          <w:rFonts w:ascii="Calibri" w:hAnsi="Calibri" w:cs="Calibri"/>
          <w:color w:val="000000"/>
        </w:rPr>
        <w:t>)</w:t>
      </w:r>
      <w:r w:rsidRPr="001872B5">
        <w:rPr>
          <w:rFonts w:ascii="Calibri" w:hAnsi="Calibri" w:cs="Calibri"/>
          <w:color w:val="000000"/>
        </w:rPr>
        <w:t xml:space="preserve"> temeljijo na dveh ukrepih, in sicer ukrepu M10 (Kmetijsko-okoljsko-podnebna plačila, KOPOP), ki spodbuja nadstandardne sonaravne kmetijske prakse in ukrepu M11 (Ekološko kmetovanje, EK), ki spodbuja kmetijska gospodarstva za izvajanje naravi prijaznega načina kmetovanja. </w:t>
      </w:r>
      <w:r w:rsidR="00004F80" w:rsidRPr="001872B5">
        <w:rPr>
          <w:rFonts w:ascii="Calibri" w:hAnsi="Calibri" w:cs="Calibri"/>
          <w:color w:val="000000"/>
        </w:rPr>
        <w:t xml:space="preserve">V letu 2018 se je ukrep M10 izvajal na 354.796 ha, M11 pa na 46.021 ha. </w:t>
      </w:r>
      <w:r w:rsidR="000C043D">
        <w:t xml:space="preserve">V letu 2019 se je ukrep M10 izvajal na 360.961 ha, M11 pa na 47.754 ha. Operacija Poljedelstvo in zelenjadarstvo, pri kateri je obvezen petleten kolobar in izvajanje gnojenja na podlagi meritev mineralnega dušika v tleh, se je v letu 2019 izvajala na 64.891 ha, kar predstavlja 36,2 % vseh njiv v Sloveniji. </w:t>
      </w:r>
      <w:r w:rsidR="000C043D" w:rsidRPr="001872B5">
        <w:rPr>
          <w:rFonts w:ascii="Calibri" w:hAnsi="Calibri" w:cs="Calibri"/>
          <w:color w:val="000000"/>
        </w:rPr>
        <w:t>V letu 2018, se je obseg operacij, ki prispevajo k zmanjšanju emisij N</w:t>
      </w:r>
      <w:r w:rsidR="000C043D" w:rsidRPr="001872B5">
        <w:rPr>
          <w:rFonts w:ascii="Calibri" w:hAnsi="Calibri" w:cs="Calibri"/>
          <w:color w:val="000000"/>
          <w:vertAlign w:val="subscript"/>
        </w:rPr>
        <w:t>2</w:t>
      </w:r>
      <w:r w:rsidR="000C043D" w:rsidRPr="001872B5">
        <w:rPr>
          <w:rFonts w:ascii="Calibri" w:hAnsi="Calibri" w:cs="Calibri"/>
          <w:color w:val="000000"/>
        </w:rPr>
        <w:t xml:space="preserve">O preko učinkovitejšega kroženja dušika in s tem manjše porabe dušika iz mineralnih gnojil, glede na leto 2017, povečal. </w:t>
      </w:r>
      <w:r w:rsidR="000C043D">
        <w:rPr>
          <w:rFonts w:ascii="Calibri" w:hAnsi="Calibri" w:cs="Calibri"/>
          <w:color w:val="000000"/>
        </w:rPr>
        <w:t xml:space="preserve">Enako velja za leto 2019. </w:t>
      </w:r>
      <w:r w:rsidR="00303311" w:rsidRPr="001872B5">
        <w:rPr>
          <w:rFonts w:ascii="Calibri" w:hAnsi="Calibri" w:cs="Calibri"/>
          <w:color w:val="000000"/>
        </w:rPr>
        <w:t>Ocene za leto 2017</w:t>
      </w:r>
      <w:r w:rsidR="000C043D">
        <w:rPr>
          <w:rFonts w:ascii="Calibri" w:hAnsi="Calibri" w:cs="Calibri"/>
          <w:color w:val="000000"/>
        </w:rPr>
        <w:t xml:space="preserve"> in 2018</w:t>
      </w:r>
      <w:r w:rsidR="008E25BE" w:rsidRPr="001872B5">
        <w:rPr>
          <w:rFonts w:ascii="Calibri" w:hAnsi="Calibri" w:cs="Calibri"/>
          <w:color w:val="000000"/>
        </w:rPr>
        <w:t xml:space="preserve"> </w:t>
      </w:r>
      <w:r w:rsidR="00E554C1" w:rsidRPr="001872B5">
        <w:rPr>
          <w:rFonts w:ascii="Calibri" w:hAnsi="Calibri" w:cs="Calibri"/>
          <w:color w:val="000000"/>
        </w:rPr>
        <w:t>kažejo, da</w:t>
      </w:r>
      <w:r w:rsidR="00303311" w:rsidRPr="001872B5">
        <w:rPr>
          <w:rFonts w:ascii="Calibri" w:hAnsi="Calibri" w:cs="Calibri"/>
          <w:color w:val="000000"/>
        </w:rPr>
        <w:t xml:space="preserve"> </w:t>
      </w:r>
      <w:r w:rsidR="00E554C1" w:rsidRPr="001872B5">
        <w:rPr>
          <w:rFonts w:ascii="Calibri" w:hAnsi="Calibri" w:cs="Calibri"/>
          <w:color w:val="000000"/>
        </w:rPr>
        <w:t xml:space="preserve">sta </w:t>
      </w:r>
      <w:r w:rsidR="00303311" w:rsidRPr="001872B5">
        <w:rPr>
          <w:rFonts w:ascii="Calibri" w:hAnsi="Calibri" w:cs="Calibri"/>
          <w:color w:val="000000"/>
        </w:rPr>
        <w:t xml:space="preserve">sklop </w:t>
      </w:r>
      <w:r w:rsidR="008E25BE" w:rsidRPr="001872B5">
        <w:rPr>
          <w:rFonts w:ascii="Calibri" w:hAnsi="Calibri" w:cs="Calibri"/>
          <w:color w:val="000000"/>
        </w:rPr>
        <w:t>G</w:t>
      </w:r>
      <w:r w:rsidR="00303311" w:rsidRPr="001872B5">
        <w:rPr>
          <w:rFonts w:ascii="Calibri" w:hAnsi="Calibri" w:cs="Calibri"/>
          <w:color w:val="000000"/>
        </w:rPr>
        <w:t xml:space="preserve">nojenje z organskimi gnojili z nizkimi izpusti v zrak na njivah in travinju in </w:t>
      </w:r>
      <w:r w:rsidR="00E554C1" w:rsidRPr="001872B5">
        <w:rPr>
          <w:rFonts w:ascii="Calibri" w:hAnsi="Calibri" w:cs="Calibri"/>
          <w:color w:val="000000"/>
        </w:rPr>
        <w:t xml:space="preserve">sklop </w:t>
      </w:r>
      <w:r w:rsidR="008E25BE" w:rsidRPr="001872B5">
        <w:rPr>
          <w:rFonts w:ascii="Calibri" w:hAnsi="Calibri" w:cs="Calibri"/>
          <w:color w:val="000000"/>
        </w:rPr>
        <w:t>O</w:t>
      </w:r>
      <w:r w:rsidR="00303311" w:rsidRPr="001872B5">
        <w:rPr>
          <w:rFonts w:ascii="Calibri" w:hAnsi="Calibri" w:cs="Calibri"/>
          <w:color w:val="000000"/>
        </w:rPr>
        <w:t>zelenitev njiv</w:t>
      </w:r>
      <w:r w:rsidR="008E25BE" w:rsidRPr="001872B5">
        <w:rPr>
          <w:rFonts w:ascii="Calibri" w:hAnsi="Calibri" w:cs="Calibri"/>
          <w:color w:val="000000"/>
        </w:rPr>
        <w:t>skih površin</w:t>
      </w:r>
      <w:r w:rsidR="00303311" w:rsidRPr="001872B5">
        <w:rPr>
          <w:rFonts w:ascii="Calibri" w:hAnsi="Calibri" w:cs="Calibri"/>
          <w:color w:val="000000"/>
        </w:rPr>
        <w:t>, emisije N</w:t>
      </w:r>
      <w:r w:rsidR="00303311" w:rsidRPr="001872B5">
        <w:rPr>
          <w:rFonts w:ascii="Calibri" w:hAnsi="Calibri" w:cs="Calibri"/>
          <w:color w:val="000000"/>
          <w:vertAlign w:val="subscript"/>
        </w:rPr>
        <w:t>2</w:t>
      </w:r>
      <w:r w:rsidR="00303311" w:rsidRPr="001872B5">
        <w:rPr>
          <w:rFonts w:ascii="Calibri" w:hAnsi="Calibri" w:cs="Calibri"/>
          <w:color w:val="000000"/>
        </w:rPr>
        <w:t>O zmanjšala za 6,63 kt CO</w:t>
      </w:r>
      <w:r w:rsidR="00303311" w:rsidRPr="001872B5">
        <w:rPr>
          <w:rFonts w:ascii="Calibri" w:hAnsi="Calibri" w:cs="Calibri"/>
          <w:color w:val="000000"/>
          <w:vertAlign w:val="subscript"/>
        </w:rPr>
        <w:t>2</w:t>
      </w:r>
      <w:r w:rsidR="00303311" w:rsidRPr="001872B5">
        <w:rPr>
          <w:rFonts w:ascii="Calibri" w:hAnsi="Calibri" w:cs="Calibri"/>
          <w:color w:val="000000"/>
        </w:rPr>
        <w:t xml:space="preserve"> ekv, kar predstavlja 0,39</w:t>
      </w:r>
      <w:r w:rsidR="007555F2">
        <w:rPr>
          <w:rFonts w:ascii="Calibri" w:hAnsi="Calibri" w:cs="Calibri"/>
          <w:color w:val="000000"/>
        </w:rPr>
        <w:t xml:space="preserve"> </w:t>
      </w:r>
      <w:r w:rsidR="00303311" w:rsidRPr="001872B5">
        <w:rPr>
          <w:rFonts w:ascii="Calibri" w:hAnsi="Calibri" w:cs="Calibri"/>
          <w:color w:val="000000"/>
        </w:rPr>
        <w:t>% skupnih emisij TGP iz kmetijstva</w:t>
      </w:r>
      <w:r w:rsidR="000C043D">
        <w:rPr>
          <w:rFonts w:ascii="Calibri" w:hAnsi="Calibri" w:cs="Calibri"/>
          <w:color w:val="000000"/>
        </w:rPr>
        <w:t xml:space="preserve"> oz. za 6,02 </w:t>
      </w:r>
      <w:r w:rsidR="000C043D" w:rsidRPr="001872B5">
        <w:rPr>
          <w:rFonts w:ascii="Calibri" w:hAnsi="Calibri" w:cs="Calibri"/>
          <w:color w:val="000000"/>
        </w:rPr>
        <w:t>kt CO</w:t>
      </w:r>
      <w:r w:rsidR="000C043D" w:rsidRPr="001872B5">
        <w:rPr>
          <w:rFonts w:ascii="Calibri" w:hAnsi="Calibri" w:cs="Calibri"/>
          <w:color w:val="000000"/>
          <w:vertAlign w:val="subscript"/>
        </w:rPr>
        <w:t>2</w:t>
      </w:r>
      <w:r w:rsidR="000C043D" w:rsidRPr="001872B5">
        <w:rPr>
          <w:rFonts w:ascii="Calibri" w:hAnsi="Calibri" w:cs="Calibri"/>
          <w:color w:val="000000"/>
        </w:rPr>
        <w:t xml:space="preserve"> ekv</w:t>
      </w:r>
      <w:r w:rsidR="000C043D">
        <w:rPr>
          <w:rFonts w:ascii="Calibri" w:hAnsi="Calibri" w:cs="Calibri"/>
          <w:color w:val="000000"/>
        </w:rPr>
        <w:t>, kar predstavlja 0,35 %</w:t>
      </w:r>
      <w:r w:rsidR="00303311" w:rsidRPr="001872B5">
        <w:rPr>
          <w:rFonts w:ascii="Calibri" w:hAnsi="Calibri" w:cs="Calibri"/>
          <w:color w:val="000000"/>
        </w:rPr>
        <w:t>.</w:t>
      </w:r>
    </w:p>
    <w:p w14:paraId="57DEF137" w14:textId="54E23AEE" w:rsidR="001872B5" w:rsidRPr="001872B5" w:rsidRDefault="000355EF" w:rsidP="000F329B">
      <w:pPr>
        <w:pStyle w:val="Odstavekseznama"/>
        <w:numPr>
          <w:ilvl w:val="0"/>
          <w:numId w:val="7"/>
        </w:numPr>
        <w:autoSpaceDE w:val="0"/>
        <w:autoSpaceDN w:val="0"/>
        <w:adjustRightInd w:val="0"/>
        <w:spacing w:after="0" w:line="240" w:lineRule="auto"/>
        <w:jc w:val="both"/>
        <w:rPr>
          <w:rFonts w:ascii="Calibri" w:hAnsi="Calibri" w:cs="Calibri"/>
          <w:color w:val="000000"/>
        </w:rPr>
      </w:pPr>
      <w:r w:rsidRPr="001872B5">
        <w:rPr>
          <w:rFonts w:ascii="Calibri" w:hAnsi="Calibri" w:cs="Calibri"/>
        </w:rPr>
        <w:t>Ukrepi za zmanjševanje emisij metana (CH</w:t>
      </w:r>
      <w:r w:rsidRPr="001872B5">
        <w:rPr>
          <w:rFonts w:ascii="Calibri" w:hAnsi="Calibri" w:cs="Calibri"/>
          <w:vertAlign w:val="subscript"/>
        </w:rPr>
        <w:t>4</w:t>
      </w:r>
      <w:r w:rsidRPr="001872B5">
        <w:rPr>
          <w:rFonts w:ascii="Calibri" w:hAnsi="Calibri" w:cs="Calibri"/>
        </w:rPr>
        <w:t xml:space="preserve">) temeljijo na ukrepih M10 (KOPOP), M11 (EK) in ukrepu M14 (Dobrobit živali, DŽ). </w:t>
      </w:r>
      <w:r w:rsidR="00A93C75" w:rsidRPr="001872B5">
        <w:rPr>
          <w:rFonts w:ascii="Calibri" w:hAnsi="Calibri" w:cs="Calibri"/>
        </w:rPr>
        <w:t xml:space="preserve">Slednji spodbuja rejce k zagotavljanju dobrega počutja rejnih živali (prašičereja, drobnica, govedoreja). </w:t>
      </w:r>
      <w:r w:rsidR="001C44F0" w:rsidRPr="001872B5">
        <w:rPr>
          <w:rFonts w:ascii="Calibri" w:hAnsi="Calibri" w:cs="Calibri"/>
        </w:rPr>
        <w:t>Vsi trije ukrepi prispevajo k povečanju/ohranjanju pašne reje in s tem zmanjšanje emisij CH</w:t>
      </w:r>
      <w:r w:rsidR="001C44F0" w:rsidRPr="001872B5">
        <w:rPr>
          <w:rFonts w:ascii="Calibri" w:hAnsi="Calibri" w:cs="Calibri"/>
          <w:vertAlign w:val="subscript"/>
        </w:rPr>
        <w:t>4</w:t>
      </w:r>
      <w:r w:rsidR="001C44F0" w:rsidRPr="001872B5">
        <w:rPr>
          <w:rFonts w:ascii="Calibri" w:hAnsi="Calibri" w:cs="Calibri"/>
        </w:rPr>
        <w:t xml:space="preserve"> iz jam za gnojevko in iz gnojišč. Dobro počutje živali prispeva k daljši življenjski dobi plemenskih živali, boljši reprodukciji in hitrejši rasti, kar prav tako zmanjšuje izpuste CH</w:t>
      </w:r>
      <w:r w:rsidR="001C44F0" w:rsidRPr="001872B5">
        <w:rPr>
          <w:rFonts w:ascii="Calibri" w:hAnsi="Calibri" w:cs="Calibri"/>
          <w:vertAlign w:val="subscript"/>
        </w:rPr>
        <w:t>4</w:t>
      </w:r>
      <w:r w:rsidR="001C44F0" w:rsidRPr="001872B5">
        <w:rPr>
          <w:rFonts w:ascii="Calibri" w:hAnsi="Calibri" w:cs="Calibri"/>
        </w:rPr>
        <w:t xml:space="preserve">. Pašna reja pa zmanjšuje tudi rabo energije, ki je sicer namenjena košnji, sušenju, transportu in krmljenju. </w:t>
      </w:r>
      <w:r w:rsidR="00CE3CBC" w:rsidRPr="001872B5">
        <w:rPr>
          <w:rFonts w:ascii="Calibri" w:hAnsi="Calibri" w:cs="Calibri"/>
        </w:rPr>
        <w:t>V letu 2018 so se zahteve, ki spodbujajo pašno rejo,v sklopu ukrep M10 izvajale na 7.767 ha, v sklopu M11 na 41.933</w:t>
      </w:r>
      <w:r w:rsidR="007555F2">
        <w:rPr>
          <w:rFonts w:ascii="Calibri" w:hAnsi="Calibri" w:cs="Calibri"/>
        </w:rPr>
        <w:t xml:space="preserve"> </w:t>
      </w:r>
      <w:r w:rsidR="00CE3CBC" w:rsidRPr="001872B5">
        <w:rPr>
          <w:rFonts w:ascii="Calibri" w:hAnsi="Calibri" w:cs="Calibri"/>
        </w:rPr>
        <w:t xml:space="preserve">ha. V ukrep M14 je bilo vključenih 255 prašičerejskih kmetij, 7.592 govedorejskih kmetij in 577 kmetij z rejo drobnice, in sicer 92.311 glav velike živine (GVŽ) goved in 3.980 GVŽ drobnice. </w:t>
      </w:r>
      <w:r w:rsidR="0046665E" w:rsidRPr="001872B5">
        <w:rPr>
          <w:rFonts w:ascii="Calibri" w:hAnsi="Calibri" w:cs="Calibri"/>
        </w:rPr>
        <w:t>V ukrep M14 je bilo vključenih 255 prašičerejskih kmetij, 7.592 govedorejskih kmetij in 577 kmetij z rejo drobnice, in sicer 92.311 glav velike živine (GVŽ) goved in 3.980 GVŽ drobnice.</w:t>
      </w:r>
      <w:r w:rsidR="0046665E" w:rsidRPr="0046665E">
        <w:rPr>
          <w:rFonts w:ascii="Calibri" w:hAnsi="Calibri" w:cs="Calibri"/>
        </w:rPr>
        <w:t xml:space="preserve"> </w:t>
      </w:r>
      <w:r w:rsidR="0046665E" w:rsidRPr="001872B5">
        <w:rPr>
          <w:rFonts w:ascii="Calibri" w:hAnsi="Calibri" w:cs="Calibri"/>
        </w:rPr>
        <w:t>V letu 201</w:t>
      </w:r>
      <w:r w:rsidR="0046665E">
        <w:rPr>
          <w:rFonts w:ascii="Calibri" w:hAnsi="Calibri" w:cs="Calibri"/>
        </w:rPr>
        <w:t>9</w:t>
      </w:r>
      <w:r w:rsidR="0046665E" w:rsidRPr="001872B5">
        <w:rPr>
          <w:rFonts w:ascii="Calibri" w:hAnsi="Calibri" w:cs="Calibri"/>
        </w:rPr>
        <w:t xml:space="preserve"> so se zahteve, ki spodbujajo pašno rejo,</w:t>
      </w:r>
      <w:r w:rsidR="001E7B12">
        <w:rPr>
          <w:rFonts w:ascii="Calibri" w:hAnsi="Calibri" w:cs="Calibri"/>
        </w:rPr>
        <w:t xml:space="preserve"> </w:t>
      </w:r>
      <w:r w:rsidR="0046665E" w:rsidRPr="001872B5">
        <w:rPr>
          <w:rFonts w:ascii="Calibri" w:hAnsi="Calibri" w:cs="Calibri"/>
        </w:rPr>
        <w:t>v sklopu ukrep M10 iz</w:t>
      </w:r>
      <w:r w:rsidR="0046665E">
        <w:rPr>
          <w:rFonts w:ascii="Calibri" w:hAnsi="Calibri" w:cs="Calibri"/>
        </w:rPr>
        <w:t>vajale na 8.039</w:t>
      </w:r>
      <w:r w:rsidR="0046665E" w:rsidRPr="001872B5">
        <w:rPr>
          <w:rFonts w:ascii="Calibri" w:hAnsi="Calibri" w:cs="Calibri"/>
        </w:rPr>
        <w:t xml:space="preserve"> ha, v sklopu M11 na 4</w:t>
      </w:r>
      <w:r w:rsidR="0046665E">
        <w:rPr>
          <w:rFonts w:ascii="Calibri" w:hAnsi="Calibri" w:cs="Calibri"/>
        </w:rPr>
        <w:t>7</w:t>
      </w:r>
      <w:r w:rsidR="0046665E" w:rsidRPr="001872B5">
        <w:rPr>
          <w:rFonts w:ascii="Calibri" w:hAnsi="Calibri" w:cs="Calibri"/>
        </w:rPr>
        <w:t>.</w:t>
      </w:r>
      <w:r w:rsidR="0046665E">
        <w:rPr>
          <w:rFonts w:ascii="Calibri" w:hAnsi="Calibri" w:cs="Calibri"/>
        </w:rPr>
        <w:t xml:space="preserve">754 </w:t>
      </w:r>
      <w:r w:rsidR="0046665E" w:rsidRPr="001872B5">
        <w:rPr>
          <w:rFonts w:ascii="Calibri" w:hAnsi="Calibri" w:cs="Calibri"/>
        </w:rPr>
        <w:t>ha.</w:t>
      </w:r>
      <w:r w:rsidR="0046665E" w:rsidRPr="0046665E">
        <w:rPr>
          <w:rFonts w:ascii="Calibri" w:hAnsi="Calibri" w:cs="Calibri"/>
        </w:rPr>
        <w:t xml:space="preserve"> </w:t>
      </w:r>
      <w:r w:rsidR="001E7B12">
        <w:rPr>
          <w:rFonts w:ascii="Calibri" w:hAnsi="Calibri" w:cs="Calibri"/>
        </w:rPr>
        <w:t>Izplačila za izvajanje</w:t>
      </w:r>
      <w:r w:rsidR="0046665E" w:rsidRPr="001872B5">
        <w:rPr>
          <w:rFonts w:ascii="Calibri" w:hAnsi="Calibri" w:cs="Calibri"/>
        </w:rPr>
        <w:t xml:space="preserve"> ukrep</w:t>
      </w:r>
      <w:r w:rsidR="001E7B12">
        <w:rPr>
          <w:rFonts w:ascii="Calibri" w:hAnsi="Calibri" w:cs="Calibri"/>
        </w:rPr>
        <w:t>a</w:t>
      </w:r>
      <w:r w:rsidR="0046665E" w:rsidRPr="001872B5">
        <w:rPr>
          <w:rFonts w:ascii="Calibri" w:hAnsi="Calibri" w:cs="Calibri"/>
        </w:rPr>
        <w:t xml:space="preserve"> M14 </w:t>
      </w:r>
      <w:r w:rsidR="001E7B12">
        <w:rPr>
          <w:rFonts w:ascii="Calibri" w:hAnsi="Calibri" w:cs="Calibri"/>
        </w:rPr>
        <w:t>je prejelo</w:t>
      </w:r>
      <w:r w:rsidR="0046665E" w:rsidRPr="001872B5">
        <w:rPr>
          <w:rFonts w:ascii="Calibri" w:hAnsi="Calibri" w:cs="Calibri"/>
        </w:rPr>
        <w:t xml:space="preserve"> 25</w:t>
      </w:r>
      <w:r w:rsidR="001E7B12">
        <w:rPr>
          <w:rFonts w:ascii="Calibri" w:hAnsi="Calibri" w:cs="Calibri"/>
        </w:rPr>
        <w:t>4</w:t>
      </w:r>
      <w:r w:rsidR="0046665E" w:rsidRPr="001872B5">
        <w:rPr>
          <w:rFonts w:ascii="Calibri" w:hAnsi="Calibri" w:cs="Calibri"/>
        </w:rPr>
        <w:t xml:space="preserve"> prašičerejskih kmetij, 7.5</w:t>
      </w:r>
      <w:r w:rsidR="001E7B12">
        <w:rPr>
          <w:rFonts w:ascii="Calibri" w:hAnsi="Calibri" w:cs="Calibri"/>
        </w:rPr>
        <w:t>80</w:t>
      </w:r>
      <w:r w:rsidR="0046665E" w:rsidRPr="001872B5">
        <w:rPr>
          <w:rFonts w:ascii="Calibri" w:hAnsi="Calibri" w:cs="Calibri"/>
        </w:rPr>
        <w:t xml:space="preserve"> govedorejskih kmetij in 5</w:t>
      </w:r>
      <w:r w:rsidR="001E7B12">
        <w:rPr>
          <w:rFonts w:ascii="Calibri" w:hAnsi="Calibri" w:cs="Calibri"/>
        </w:rPr>
        <w:t>84</w:t>
      </w:r>
      <w:r w:rsidR="0046665E" w:rsidRPr="001872B5">
        <w:rPr>
          <w:rFonts w:ascii="Calibri" w:hAnsi="Calibri" w:cs="Calibri"/>
        </w:rPr>
        <w:t xml:space="preserve"> kmetij z rejo drobnice</w:t>
      </w:r>
      <w:r w:rsidR="001E7B12">
        <w:rPr>
          <w:rFonts w:ascii="Calibri" w:hAnsi="Calibri" w:cs="Calibri"/>
        </w:rPr>
        <w:t>. V ukrep je bilo vključenih</w:t>
      </w:r>
      <w:r w:rsidR="0046665E" w:rsidRPr="001872B5">
        <w:rPr>
          <w:rFonts w:ascii="Calibri" w:hAnsi="Calibri" w:cs="Calibri"/>
        </w:rPr>
        <w:t xml:space="preserve"> </w:t>
      </w:r>
      <w:r w:rsidR="001E7B12">
        <w:rPr>
          <w:rFonts w:ascii="Calibri" w:hAnsi="Calibri" w:cs="Calibri"/>
        </w:rPr>
        <w:t>45.823</w:t>
      </w:r>
      <w:r w:rsidR="0046665E" w:rsidRPr="001872B5">
        <w:rPr>
          <w:rFonts w:ascii="Calibri" w:hAnsi="Calibri" w:cs="Calibri"/>
        </w:rPr>
        <w:t xml:space="preserve"> glav velike živine (GVŽ) </w:t>
      </w:r>
      <w:r w:rsidR="001E7B12">
        <w:rPr>
          <w:rFonts w:ascii="Calibri" w:hAnsi="Calibri" w:cs="Calibri"/>
        </w:rPr>
        <w:t>prašičev, 86.118 GVŽ goved</w:t>
      </w:r>
      <w:r w:rsidR="0046665E" w:rsidRPr="001872B5">
        <w:rPr>
          <w:rFonts w:ascii="Calibri" w:hAnsi="Calibri" w:cs="Calibri"/>
        </w:rPr>
        <w:t xml:space="preserve"> in </w:t>
      </w:r>
      <w:r w:rsidR="001E7B12">
        <w:rPr>
          <w:rFonts w:ascii="Calibri" w:hAnsi="Calibri" w:cs="Calibri"/>
        </w:rPr>
        <w:t>4.059</w:t>
      </w:r>
      <w:r w:rsidR="0046665E" w:rsidRPr="001872B5">
        <w:rPr>
          <w:rFonts w:ascii="Calibri" w:hAnsi="Calibri" w:cs="Calibri"/>
        </w:rPr>
        <w:t xml:space="preserve"> GVŽ drobnice.</w:t>
      </w:r>
    </w:p>
    <w:p w14:paraId="3D090FFB" w14:textId="73A24964" w:rsidR="00990C14" w:rsidRPr="00120C15" w:rsidRDefault="00C87F1A" w:rsidP="000F329B">
      <w:pPr>
        <w:pStyle w:val="Odstavekseznama"/>
        <w:numPr>
          <w:ilvl w:val="0"/>
          <w:numId w:val="7"/>
        </w:numPr>
        <w:autoSpaceDE w:val="0"/>
        <w:autoSpaceDN w:val="0"/>
        <w:adjustRightInd w:val="0"/>
        <w:spacing w:after="0" w:line="240" w:lineRule="auto"/>
        <w:jc w:val="both"/>
        <w:rPr>
          <w:rFonts w:ascii="Calibri" w:hAnsi="Calibri" w:cs="Calibri"/>
          <w:color w:val="000000"/>
        </w:rPr>
      </w:pPr>
      <w:r w:rsidRPr="00120C15">
        <w:rPr>
          <w:rFonts w:ascii="Calibri" w:hAnsi="Calibri" w:cs="Calibri"/>
          <w:color w:val="000000"/>
        </w:rPr>
        <w:t xml:space="preserve">V okviru skupnega temeljnega rejskega programa za pasme goved in drobnice so se v letu 2018 na 3.369 kmetijah pridobili podatki o plodnosti, mlečnosti in sestavi mleka za </w:t>
      </w:r>
      <w:r w:rsidR="00120C15" w:rsidRPr="00120C15">
        <w:rPr>
          <w:rFonts w:ascii="Calibri" w:hAnsi="Calibri" w:cs="Calibri"/>
          <w:color w:val="000000"/>
        </w:rPr>
        <w:t>79.156</w:t>
      </w:r>
      <w:r w:rsidRPr="00120C15">
        <w:rPr>
          <w:rFonts w:ascii="Calibri" w:hAnsi="Calibri" w:cs="Calibri"/>
          <w:color w:val="000000"/>
        </w:rPr>
        <w:t xml:space="preserve"> mol</w:t>
      </w:r>
      <w:r w:rsidR="00A62790" w:rsidRPr="00120C15">
        <w:rPr>
          <w:rFonts w:ascii="Calibri" w:hAnsi="Calibri" w:cs="Calibri"/>
          <w:color w:val="000000"/>
        </w:rPr>
        <w:t>z</w:t>
      </w:r>
      <w:r w:rsidRPr="00120C15">
        <w:rPr>
          <w:rFonts w:ascii="Calibri" w:hAnsi="Calibri" w:cs="Calibri"/>
          <w:color w:val="000000"/>
        </w:rPr>
        <w:t xml:space="preserve">nic v Sloveniji. </w:t>
      </w:r>
      <w:r w:rsidR="00832AAA" w:rsidRPr="00120C15">
        <w:rPr>
          <w:rFonts w:ascii="Calibri" w:hAnsi="Calibri" w:cs="Calibri"/>
          <w:color w:val="000000"/>
        </w:rPr>
        <w:t>V</w:t>
      </w:r>
      <w:r w:rsidRPr="00120C15">
        <w:rPr>
          <w:rFonts w:ascii="Calibri" w:hAnsi="Calibri" w:cs="Calibri"/>
          <w:color w:val="000000"/>
        </w:rPr>
        <w:t xml:space="preserve"> letu 2017 so bile emisije 0,816 kg CO</w:t>
      </w:r>
      <w:r w:rsidRPr="00120C15">
        <w:rPr>
          <w:rFonts w:ascii="Calibri" w:hAnsi="Calibri" w:cs="Calibri"/>
          <w:color w:val="000000"/>
          <w:vertAlign w:val="subscript"/>
        </w:rPr>
        <w:t>2</w:t>
      </w:r>
      <w:r w:rsidRPr="00120C15">
        <w:rPr>
          <w:rFonts w:ascii="Calibri" w:hAnsi="Calibri" w:cs="Calibri"/>
          <w:color w:val="000000"/>
        </w:rPr>
        <w:t xml:space="preserve"> ekv na kilogram mleka. </w:t>
      </w:r>
      <w:r w:rsidR="00990C14" w:rsidRPr="00120C15">
        <w:t xml:space="preserve">V letu 2019 so bili </w:t>
      </w:r>
      <w:r w:rsidR="00120C15" w:rsidRPr="00120C15">
        <w:t xml:space="preserve">na 3.213 kmetijah </w:t>
      </w:r>
      <w:r w:rsidR="00990C14" w:rsidRPr="00120C15">
        <w:t xml:space="preserve">pridobljeni podatki o plodnosti, mlečnosti in sestavi mleka za 79.134 molznic, ki predstavljajo 81 % vseh molznic v Sloveniji. </w:t>
      </w:r>
      <w:r w:rsidR="00120C15" w:rsidRPr="00120C15">
        <w:t>V</w:t>
      </w:r>
      <w:r w:rsidR="00990C14" w:rsidRPr="00120C15">
        <w:t xml:space="preserve"> letu 2018 pa so bile emisije 0,819 kg CO2 ekv na kg mleka. Trend po letu 2013 kaže, da bomo v letu 2020 dosegli ciljno vrednost OPTGP</w:t>
      </w:r>
      <w:r w:rsidR="00120C15" w:rsidRPr="00120C15">
        <w:t>, in sicer</w:t>
      </w:r>
      <w:r w:rsidR="00990C14" w:rsidRPr="00120C15">
        <w:t xml:space="preserve"> 0,786 kg CO2 ekv na kg mleka</w:t>
      </w:r>
      <w:r w:rsidR="00120C15" w:rsidRPr="00120C15">
        <w:t>.</w:t>
      </w:r>
    </w:p>
    <w:p w14:paraId="1FB6EF3C" w14:textId="77777777" w:rsidR="00990C14" w:rsidRDefault="00990C14" w:rsidP="000F329B">
      <w:pPr>
        <w:autoSpaceDE w:val="0"/>
        <w:autoSpaceDN w:val="0"/>
        <w:adjustRightInd w:val="0"/>
        <w:spacing w:after="0" w:line="240" w:lineRule="auto"/>
        <w:jc w:val="both"/>
        <w:rPr>
          <w:rFonts w:ascii="Calibri" w:hAnsi="Calibri" w:cs="Calibri"/>
          <w:color w:val="000000"/>
        </w:rPr>
      </w:pPr>
    </w:p>
    <w:p w14:paraId="506FB62A" w14:textId="77777777" w:rsidR="002E7878" w:rsidRDefault="002E7878" w:rsidP="000F329B">
      <w:pPr>
        <w:autoSpaceDE w:val="0"/>
        <w:autoSpaceDN w:val="0"/>
        <w:adjustRightInd w:val="0"/>
        <w:spacing w:after="0" w:line="240" w:lineRule="auto"/>
        <w:jc w:val="both"/>
        <w:rPr>
          <w:rFonts w:ascii="Calibri" w:hAnsi="Calibri" w:cs="Calibri"/>
          <w:color w:val="000000"/>
        </w:rPr>
      </w:pPr>
    </w:p>
    <w:p w14:paraId="68AC5B4C" w14:textId="77777777" w:rsidR="002E7878" w:rsidRDefault="002E7878" w:rsidP="000F329B">
      <w:pPr>
        <w:autoSpaceDE w:val="0"/>
        <w:autoSpaceDN w:val="0"/>
        <w:adjustRightInd w:val="0"/>
        <w:spacing w:after="0" w:line="240" w:lineRule="auto"/>
        <w:jc w:val="both"/>
        <w:rPr>
          <w:rFonts w:ascii="Calibri" w:hAnsi="Calibri" w:cs="Calibri"/>
          <w:color w:val="000000"/>
        </w:rPr>
      </w:pPr>
    </w:p>
    <w:p w14:paraId="37375DFC" w14:textId="77777777" w:rsidR="002E7878" w:rsidRDefault="002E7878" w:rsidP="000F329B">
      <w:pPr>
        <w:autoSpaceDE w:val="0"/>
        <w:autoSpaceDN w:val="0"/>
        <w:adjustRightInd w:val="0"/>
        <w:spacing w:after="0" w:line="240" w:lineRule="auto"/>
        <w:jc w:val="both"/>
        <w:rPr>
          <w:rFonts w:ascii="Calibri" w:hAnsi="Calibri" w:cs="Calibri"/>
          <w:color w:val="000000"/>
        </w:rPr>
      </w:pPr>
    </w:p>
    <w:p w14:paraId="621D4B2F" w14:textId="77777777" w:rsidR="002E7878" w:rsidRPr="00472C4D" w:rsidRDefault="002E7878" w:rsidP="000F329B">
      <w:pPr>
        <w:autoSpaceDE w:val="0"/>
        <w:autoSpaceDN w:val="0"/>
        <w:adjustRightInd w:val="0"/>
        <w:spacing w:after="0" w:line="240" w:lineRule="auto"/>
        <w:jc w:val="both"/>
        <w:rPr>
          <w:rFonts w:ascii="Calibri" w:hAnsi="Calibri" w:cs="Calibri"/>
          <w:color w:val="000000"/>
        </w:rPr>
      </w:pPr>
    </w:p>
    <w:p w14:paraId="77F130AF" w14:textId="201809FC" w:rsidR="00D25456" w:rsidRPr="002B24BC" w:rsidRDefault="00D25456" w:rsidP="00D25456">
      <w:pPr>
        <w:spacing w:after="0" w:line="240" w:lineRule="auto"/>
        <w:jc w:val="both"/>
        <w:rPr>
          <w:rFonts w:ascii="Calibri" w:hAnsi="Calibri" w:cs="Calibri"/>
          <w:u w:val="single"/>
        </w:rPr>
      </w:pPr>
      <w:r w:rsidRPr="00F93B5D">
        <w:rPr>
          <w:rFonts w:ascii="Calibri" w:hAnsi="Calibri" w:cs="Calibri"/>
          <w:u w:val="single"/>
        </w:rPr>
        <w:lastRenderedPageBreak/>
        <w:t>Priporočila:</w:t>
      </w:r>
    </w:p>
    <w:p w14:paraId="665D52C6" w14:textId="253D73BC" w:rsidR="00C94960" w:rsidRPr="00174413" w:rsidRDefault="00C94960" w:rsidP="000F329B">
      <w:pPr>
        <w:autoSpaceDE w:val="0"/>
        <w:autoSpaceDN w:val="0"/>
        <w:adjustRightInd w:val="0"/>
        <w:spacing w:after="0" w:line="240" w:lineRule="auto"/>
        <w:jc w:val="both"/>
        <w:rPr>
          <w:rFonts w:ascii="Calibri" w:hAnsi="Calibri" w:cs="Calibri"/>
          <w:b/>
          <w:bCs/>
          <w:color w:val="000000"/>
        </w:rPr>
      </w:pPr>
    </w:p>
    <w:p w14:paraId="61CFCFCF" w14:textId="77777777" w:rsidR="00320845" w:rsidRDefault="0068716F" w:rsidP="0068716F">
      <w:pPr>
        <w:pStyle w:val="Default"/>
        <w:jc w:val="both"/>
        <w:rPr>
          <w:rFonts w:ascii="Calibri" w:hAnsi="Calibri" w:cs="Calibri"/>
          <w:sz w:val="22"/>
          <w:szCs w:val="22"/>
          <w:lang w:val="sl-SI"/>
        </w:rPr>
      </w:pPr>
      <w:r w:rsidRPr="00472C4D">
        <w:rPr>
          <w:rFonts w:ascii="Calibri" w:hAnsi="Calibri" w:cs="Calibri"/>
          <w:sz w:val="22"/>
          <w:szCs w:val="22"/>
          <w:lang w:val="sl-SI"/>
        </w:rPr>
        <w:t>Smiselno je nadaljevati z ukrepi za zmanjševanje izpustov N</w:t>
      </w:r>
      <w:r w:rsidRPr="00472C4D">
        <w:rPr>
          <w:rFonts w:ascii="Calibri" w:hAnsi="Calibri" w:cs="Calibri"/>
          <w:sz w:val="22"/>
          <w:szCs w:val="22"/>
          <w:vertAlign w:val="subscript"/>
          <w:lang w:val="sl-SI"/>
        </w:rPr>
        <w:t>2</w:t>
      </w:r>
      <w:r w:rsidRPr="00472C4D">
        <w:rPr>
          <w:rFonts w:ascii="Calibri" w:hAnsi="Calibri" w:cs="Calibri"/>
          <w:sz w:val="22"/>
          <w:szCs w:val="22"/>
          <w:lang w:val="sl-SI"/>
        </w:rPr>
        <w:t>O, saj so se izkazali za ust</w:t>
      </w:r>
      <w:r w:rsidR="00320845">
        <w:rPr>
          <w:rFonts w:ascii="Calibri" w:hAnsi="Calibri" w:cs="Calibri"/>
          <w:sz w:val="22"/>
          <w:szCs w:val="22"/>
          <w:lang w:val="sl-SI"/>
        </w:rPr>
        <w:t xml:space="preserve">rezne. </w:t>
      </w:r>
    </w:p>
    <w:p w14:paraId="640C1D4D" w14:textId="4EBB009E" w:rsidR="0068716F" w:rsidRPr="00472C4D" w:rsidRDefault="00320845" w:rsidP="0068716F">
      <w:pPr>
        <w:pStyle w:val="Default"/>
        <w:jc w:val="both"/>
        <w:rPr>
          <w:rFonts w:ascii="Calibri" w:hAnsi="Calibri" w:cs="Calibri"/>
          <w:sz w:val="22"/>
          <w:szCs w:val="22"/>
          <w:lang w:val="sl-SI"/>
        </w:rPr>
      </w:pPr>
      <w:r>
        <w:rPr>
          <w:rFonts w:ascii="Calibri" w:hAnsi="Calibri" w:cs="Calibri"/>
          <w:sz w:val="22"/>
          <w:szCs w:val="22"/>
          <w:lang w:val="sl-SI"/>
        </w:rPr>
        <w:t xml:space="preserve">Zahteva </w:t>
      </w:r>
      <w:r w:rsidR="0068716F" w:rsidRPr="00472C4D">
        <w:rPr>
          <w:rFonts w:ascii="Calibri" w:hAnsi="Calibri" w:cs="Calibri"/>
          <w:sz w:val="22"/>
          <w:szCs w:val="22"/>
          <w:lang w:val="sl-SI"/>
        </w:rPr>
        <w:t>Gnojenje z organskimi gnojili z nizkimi izpusti v zrak na trajnem travinju</w:t>
      </w:r>
      <w:r>
        <w:rPr>
          <w:rFonts w:ascii="Calibri" w:hAnsi="Calibri" w:cs="Calibri"/>
          <w:sz w:val="22"/>
          <w:szCs w:val="22"/>
          <w:lang w:val="sl-SI"/>
        </w:rPr>
        <w:t xml:space="preserve"> bi morala biti omogočena brez pogojevanja z izvajanjem drugih zahtev, saj je bila izvajana v premajhnem obsegu</w:t>
      </w:r>
      <w:r w:rsidR="0068716F" w:rsidRPr="00472C4D">
        <w:rPr>
          <w:rFonts w:ascii="Calibri" w:hAnsi="Calibri" w:cs="Calibri"/>
          <w:sz w:val="22"/>
          <w:szCs w:val="22"/>
          <w:lang w:val="sl-SI"/>
        </w:rPr>
        <w:t>, saj lahko kmetije zahtevo izberejo</w:t>
      </w:r>
      <w:r>
        <w:rPr>
          <w:rFonts w:ascii="Calibri" w:hAnsi="Calibri" w:cs="Calibri"/>
          <w:sz w:val="22"/>
          <w:szCs w:val="22"/>
          <w:lang w:val="sl-SI"/>
        </w:rPr>
        <w:t xml:space="preserve"> </w:t>
      </w:r>
      <w:r w:rsidR="0078792D">
        <w:rPr>
          <w:rFonts w:ascii="Calibri" w:hAnsi="Calibri" w:cs="Calibri"/>
          <w:sz w:val="22"/>
          <w:szCs w:val="22"/>
          <w:lang w:val="sl-SI"/>
        </w:rPr>
        <w:t xml:space="preserve">le </w:t>
      </w:r>
      <w:r w:rsidR="0068716F" w:rsidRPr="00472C4D">
        <w:rPr>
          <w:rFonts w:ascii="Calibri" w:hAnsi="Calibri" w:cs="Calibri"/>
          <w:sz w:val="22"/>
          <w:szCs w:val="22"/>
          <w:lang w:val="sl-SI"/>
        </w:rPr>
        <w:t>na travnikih, na katerih se odločijo za puščanje nepokošenega pasu, kar pa je v praksi 5−10 % njihove pov</w:t>
      </w:r>
      <w:r>
        <w:rPr>
          <w:rFonts w:ascii="Calibri" w:hAnsi="Calibri" w:cs="Calibri"/>
          <w:sz w:val="22"/>
          <w:szCs w:val="22"/>
          <w:lang w:val="sl-SI"/>
        </w:rPr>
        <w:t>ršine, ali</w:t>
      </w:r>
      <w:r w:rsidRPr="00472C4D">
        <w:rPr>
          <w:rFonts w:ascii="Calibri" w:hAnsi="Calibri" w:cs="Calibri"/>
          <w:sz w:val="22"/>
          <w:szCs w:val="22"/>
          <w:lang w:val="sl-SI"/>
        </w:rPr>
        <w:t xml:space="preserve"> </w:t>
      </w:r>
      <w:r>
        <w:rPr>
          <w:rFonts w:ascii="Calibri" w:hAnsi="Calibri" w:cs="Calibri"/>
          <w:sz w:val="22"/>
          <w:szCs w:val="22"/>
          <w:lang w:val="sl-SI"/>
        </w:rPr>
        <w:t>če se odločijo opustiti siliranje krme</w:t>
      </w:r>
      <w:r w:rsidR="0078792D">
        <w:rPr>
          <w:rFonts w:ascii="Calibri" w:hAnsi="Calibri" w:cs="Calibri"/>
          <w:sz w:val="22"/>
          <w:szCs w:val="22"/>
          <w:lang w:val="sl-SI"/>
        </w:rPr>
        <w:t>.</w:t>
      </w:r>
    </w:p>
    <w:p w14:paraId="6126EFB8" w14:textId="1F1131A7" w:rsidR="00BE3437" w:rsidRDefault="00C86E7B" w:rsidP="0068716F">
      <w:pPr>
        <w:pStyle w:val="Default"/>
        <w:jc w:val="both"/>
        <w:rPr>
          <w:rFonts w:ascii="Calibri" w:hAnsi="Calibri" w:cs="Calibri"/>
          <w:sz w:val="22"/>
          <w:szCs w:val="22"/>
          <w:lang w:val="sl-SI"/>
        </w:rPr>
      </w:pPr>
      <w:r w:rsidRPr="00472C4D">
        <w:rPr>
          <w:rFonts w:ascii="Calibri" w:hAnsi="Calibri" w:cs="Calibri"/>
          <w:sz w:val="22"/>
          <w:szCs w:val="22"/>
          <w:lang w:val="sl-SI"/>
        </w:rPr>
        <w:t>K zmanjšanju emisij CH</w:t>
      </w:r>
      <w:r w:rsidRPr="00472C4D">
        <w:rPr>
          <w:rFonts w:ascii="Calibri" w:hAnsi="Calibri" w:cs="Calibri"/>
          <w:sz w:val="22"/>
          <w:szCs w:val="22"/>
          <w:vertAlign w:val="subscript"/>
          <w:lang w:val="sl-SI"/>
        </w:rPr>
        <w:t>4</w:t>
      </w:r>
      <w:r w:rsidRPr="00472C4D">
        <w:rPr>
          <w:rFonts w:ascii="Calibri" w:hAnsi="Calibri" w:cs="Calibri"/>
          <w:sz w:val="22"/>
          <w:szCs w:val="22"/>
          <w:lang w:val="sl-SI"/>
        </w:rPr>
        <w:t xml:space="preserve"> je potrebno v sklopu javne svetovalne službe povečati obseg dela na področju krmljenja goved, delo usmeriti na kmetije in kategorije živali, ki na področju reje še ne dosegajo ustreznih rezultatov, izboljšati kakovost krme in </w:t>
      </w:r>
      <w:r w:rsidR="00C735F5">
        <w:rPr>
          <w:rFonts w:ascii="Calibri" w:hAnsi="Calibri" w:cs="Calibri"/>
          <w:sz w:val="22"/>
          <w:szCs w:val="22"/>
          <w:lang w:val="sl-SI"/>
        </w:rPr>
        <w:t xml:space="preserve">sestavo </w:t>
      </w:r>
      <w:r w:rsidRPr="00472C4D">
        <w:rPr>
          <w:rFonts w:ascii="Calibri" w:hAnsi="Calibri" w:cs="Calibri"/>
          <w:sz w:val="22"/>
          <w:szCs w:val="22"/>
          <w:lang w:val="sl-SI"/>
        </w:rPr>
        <w:t xml:space="preserve">krmnih obrokov </w:t>
      </w:r>
      <w:r w:rsidR="00293720" w:rsidRPr="00472C4D">
        <w:rPr>
          <w:rFonts w:ascii="Calibri" w:hAnsi="Calibri" w:cs="Calibri"/>
          <w:sz w:val="22"/>
          <w:szCs w:val="22"/>
          <w:lang w:val="sl-SI"/>
        </w:rPr>
        <w:t>ter</w:t>
      </w:r>
      <w:r w:rsidRPr="00472C4D">
        <w:rPr>
          <w:rFonts w:ascii="Calibri" w:hAnsi="Calibri" w:cs="Calibri"/>
          <w:sz w:val="22"/>
          <w:szCs w:val="22"/>
          <w:lang w:val="sl-SI"/>
        </w:rPr>
        <w:t xml:space="preserve"> zagotoviti dodatne spodbude za gradnjo bioplinskih naprav za pridobivanje bioplina iz živinskih gnojil.   </w:t>
      </w:r>
    </w:p>
    <w:p w14:paraId="25138DAA" w14:textId="77777777" w:rsidR="008F4D15" w:rsidRDefault="008F4D15" w:rsidP="0068716F">
      <w:pPr>
        <w:pStyle w:val="Default"/>
        <w:jc w:val="both"/>
        <w:rPr>
          <w:rFonts w:ascii="Calibri" w:hAnsi="Calibri" w:cs="Calibri"/>
          <w:sz w:val="22"/>
          <w:szCs w:val="22"/>
          <w:lang w:val="sl-SI"/>
        </w:rPr>
      </w:pPr>
    </w:p>
    <w:p w14:paraId="360570B2" w14:textId="3AC3268F" w:rsidR="00104ECF" w:rsidRPr="00472C4D" w:rsidRDefault="003825D3" w:rsidP="00C52E4C">
      <w:pPr>
        <w:spacing w:after="0" w:line="240" w:lineRule="auto"/>
        <w:jc w:val="both"/>
        <w:rPr>
          <w:rFonts w:ascii="Calibri" w:hAnsi="Calibri" w:cs="Calibri"/>
          <w:b/>
          <w:bCs/>
        </w:rPr>
      </w:pPr>
      <w:r w:rsidRPr="00AB5F81">
        <w:rPr>
          <w:rFonts w:ascii="Calibri" w:hAnsi="Calibri" w:cs="Calibri"/>
          <w:b/>
          <w:bCs/>
        </w:rPr>
        <w:t>4</w:t>
      </w:r>
      <w:r w:rsidR="00104ECF" w:rsidRPr="00AB5F81">
        <w:rPr>
          <w:rFonts w:ascii="Calibri" w:hAnsi="Calibri" w:cs="Calibri"/>
          <w:b/>
          <w:bCs/>
        </w:rPr>
        <w:t>.</w:t>
      </w:r>
      <w:r w:rsidR="00EE70D5" w:rsidRPr="00AB5F81">
        <w:rPr>
          <w:rFonts w:ascii="Calibri" w:hAnsi="Calibri" w:cs="Calibri"/>
          <w:b/>
          <w:bCs/>
        </w:rPr>
        <w:t>4</w:t>
      </w:r>
      <w:r w:rsidR="00104ECF" w:rsidRPr="00AB5F81">
        <w:rPr>
          <w:rFonts w:ascii="Calibri" w:hAnsi="Calibri" w:cs="Calibri"/>
          <w:b/>
          <w:bCs/>
        </w:rPr>
        <w:t xml:space="preserve"> Široka raba – stavbe</w:t>
      </w:r>
    </w:p>
    <w:p w14:paraId="66F8A505" w14:textId="6BDFAC25" w:rsidR="00C46EC7" w:rsidRPr="00472C4D" w:rsidRDefault="00C46EC7" w:rsidP="00C52E4C">
      <w:pPr>
        <w:spacing w:after="0" w:line="240" w:lineRule="auto"/>
        <w:jc w:val="both"/>
        <w:rPr>
          <w:rFonts w:ascii="Calibri" w:hAnsi="Calibri" w:cs="Calibri"/>
        </w:rPr>
      </w:pPr>
    </w:p>
    <w:p w14:paraId="0393F08F" w14:textId="7812082C" w:rsidR="00725FE5" w:rsidRPr="00F92682" w:rsidRDefault="00593B47" w:rsidP="00C52E4C">
      <w:pPr>
        <w:spacing w:after="0" w:line="240" w:lineRule="auto"/>
        <w:jc w:val="both"/>
        <w:rPr>
          <w:rFonts w:ascii="Calibri" w:hAnsi="Calibri" w:cs="Calibri"/>
        </w:rPr>
      </w:pPr>
      <w:r>
        <w:rPr>
          <w:rFonts w:ascii="Calibri" w:hAnsi="Calibri" w:cs="Calibri"/>
        </w:rPr>
        <w:t xml:space="preserve">Med ključne ukrepe, ki </w:t>
      </w:r>
      <w:r w:rsidR="00F92682">
        <w:rPr>
          <w:rFonts w:ascii="Calibri" w:hAnsi="Calibri" w:cs="Calibri"/>
        </w:rPr>
        <w:t>učinkovito naslavljajo</w:t>
      </w:r>
      <w:r>
        <w:rPr>
          <w:rFonts w:ascii="Calibri" w:hAnsi="Calibri" w:cs="Calibri"/>
        </w:rPr>
        <w:t xml:space="preserve"> energetsko </w:t>
      </w:r>
      <w:r w:rsidR="00F92682">
        <w:rPr>
          <w:rFonts w:ascii="Calibri" w:hAnsi="Calibri" w:cs="Calibri"/>
        </w:rPr>
        <w:t>prenovo</w:t>
      </w:r>
      <w:r>
        <w:rPr>
          <w:rFonts w:ascii="Calibri" w:hAnsi="Calibri" w:cs="Calibri"/>
        </w:rPr>
        <w:t xml:space="preserve"> </w:t>
      </w:r>
      <w:r w:rsidR="00404AB0">
        <w:rPr>
          <w:rFonts w:ascii="Calibri" w:hAnsi="Calibri" w:cs="Calibri"/>
        </w:rPr>
        <w:t>objektov</w:t>
      </w:r>
      <w:r>
        <w:rPr>
          <w:rFonts w:ascii="Calibri" w:hAnsi="Calibri" w:cs="Calibri"/>
        </w:rPr>
        <w:t xml:space="preserve"> spada e</w:t>
      </w:r>
      <w:r w:rsidR="00E46983">
        <w:rPr>
          <w:rFonts w:ascii="Calibri" w:hAnsi="Calibri" w:cs="Calibri"/>
        </w:rPr>
        <w:t>nergetsko pogodbeništvo (EPO)</w:t>
      </w:r>
      <w:r>
        <w:rPr>
          <w:rFonts w:ascii="Calibri" w:hAnsi="Calibri" w:cs="Calibri"/>
        </w:rPr>
        <w:t xml:space="preserve">. </w:t>
      </w:r>
      <w:r w:rsidR="00404AB0">
        <w:rPr>
          <w:rFonts w:ascii="Calibri" w:hAnsi="Calibri" w:cs="Calibri"/>
        </w:rPr>
        <w:t>Pri projektih, kjer se prenova izvaja preko javnih naročil je zmanjšanje rabe energije na enoto površine 68 kWh/m</w:t>
      </w:r>
      <w:r w:rsidR="00404AB0">
        <w:rPr>
          <w:rFonts w:ascii="Calibri" w:hAnsi="Calibri" w:cs="Calibri"/>
          <w:vertAlign w:val="superscript"/>
        </w:rPr>
        <w:t>2</w:t>
      </w:r>
      <w:r w:rsidR="00404AB0">
        <w:rPr>
          <w:rFonts w:ascii="Calibri" w:hAnsi="Calibri" w:cs="Calibri"/>
        </w:rPr>
        <w:t>, pri EPO projektih 86 kWh/m</w:t>
      </w:r>
      <w:r w:rsidR="00404AB0">
        <w:rPr>
          <w:rFonts w:ascii="Calibri" w:hAnsi="Calibri" w:cs="Calibri"/>
          <w:vertAlign w:val="superscript"/>
        </w:rPr>
        <w:t>2</w:t>
      </w:r>
      <w:r w:rsidR="00404AB0">
        <w:rPr>
          <w:rFonts w:ascii="Calibri" w:hAnsi="Calibri" w:cs="Calibri"/>
        </w:rPr>
        <w:t xml:space="preserve">. </w:t>
      </w:r>
      <w:r w:rsidR="00841959">
        <w:rPr>
          <w:rFonts w:ascii="Calibri" w:hAnsi="Calibri" w:cs="Calibri"/>
        </w:rPr>
        <w:t>V obdobju 2016-2018 je bilo v okviru razpisov za energetsko prenovo stav</w:t>
      </w:r>
      <w:r w:rsidR="00A0746C">
        <w:rPr>
          <w:rFonts w:ascii="Calibri" w:hAnsi="Calibri" w:cs="Calibri"/>
        </w:rPr>
        <w:t>b</w:t>
      </w:r>
      <w:r w:rsidR="006B7F61">
        <w:rPr>
          <w:rFonts w:ascii="Calibri" w:hAnsi="Calibri" w:cs="Calibri"/>
        </w:rPr>
        <w:t xml:space="preserve"> odobrenih 73</w:t>
      </w:r>
      <w:r w:rsidR="00841959">
        <w:rPr>
          <w:rFonts w:ascii="Calibri" w:hAnsi="Calibri" w:cs="Calibri"/>
        </w:rPr>
        <w:t xml:space="preserve"> projektov, od tega 45</w:t>
      </w:r>
      <w:r w:rsidR="007555F2">
        <w:rPr>
          <w:rFonts w:ascii="Calibri" w:hAnsi="Calibri" w:cs="Calibri"/>
        </w:rPr>
        <w:t xml:space="preserve"> </w:t>
      </w:r>
      <w:r w:rsidR="00841959">
        <w:rPr>
          <w:rFonts w:ascii="Calibri" w:hAnsi="Calibri" w:cs="Calibri"/>
        </w:rPr>
        <w:t>% po EPO modelu</w:t>
      </w:r>
      <w:r w:rsidR="00F51E9E">
        <w:rPr>
          <w:rFonts w:ascii="Calibri" w:hAnsi="Calibri" w:cs="Calibri"/>
        </w:rPr>
        <w:t xml:space="preserve">. </w:t>
      </w:r>
      <w:r w:rsidR="00790141">
        <w:rPr>
          <w:rFonts w:ascii="Calibri" w:hAnsi="Calibri" w:cs="Calibri"/>
        </w:rPr>
        <w:t>Da se delež EPO projektov se iz leta v leto povečuje kaže dejstvo, da je bilo v</w:t>
      </w:r>
      <w:r w:rsidR="00F51E9E">
        <w:rPr>
          <w:rFonts w:ascii="Calibri" w:hAnsi="Calibri" w:cs="Calibri"/>
        </w:rPr>
        <w:t xml:space="preserve"> letu 2016 </w:t>
      </w:r>
      <w:r w:rsidR="00790141">
        <w:rPr>
          <w:rFonts w:ascii="Calibri" w:hAnsi="Calibri" w:cs="Calibri"/>
        </w:rPr>
        <w:t xml:space="preserve">EPO projektov </w:t>
      </w:r>
      <w:r w:rsidR="00F51E9E">
        <w:rPr>
          <w:rFonts w:ascii="Calibri" w:hAnsi="Calibri" w:cs="Calibri"/>
        </w:rPr>
        <w:t>29</w:t>
      </w:r>
      <w:r w:rsidR="007555F2">
        <w:rPr>
          <w:rFonts w:ascii="Calibri" w:hAnsi="Calibri" w:cs="Calibri"/>
        </w:rPr>
        <w:t xml:space="preserve"> </w:t>
      </w:r>
      <w:r w:rsidR="00F51E9E">
        <w:rPr>
          <w:rFonts w:ascii="Calibri" w:hAnsi="Calibri" w:cs="Calibri"/>
        </w:rPr>
        <w:t xml:space="preserve">%, </w:t>
      </w:r>
      <w:r w:rsidR="00404AB0">
        <w:rPr>
          <w:rFonts w:ascii="Calibri" w:hAnsi="Calibri" w:cs="Calibri"/>
        </w:rPr>
        <w:t xml:space="preserve">v letu 2018 </w:t>
      </w:r>
      <w:r w:rsidR="000E6071">
        <w:rPr>
          <w:rFonts w:ascii="Calibri" w:hAnsi="Calibri" w:cs="Calibri"/>
        </w:rPr>
        <w:t xml:space="preserve">pa </w:t>
      </w:r>
      <w:r w:rsidR="00F51E9E">
        <w:rPr>
          <w:rFonts w:ascii="Calibri" w:hAnsi="Calibri" w:cs="Calibri"/>
        </w:rPr>
        <w:t xml:space="preserve">že </w:t>
      </w:r>
      <w:r w:rsidR="00404AB0">
        <w:rPr>
          <w:rFonts w:ascii="Calibri" w:hAnsi="Calibri" w:cs="Calibri"/>
        </w:rPr>
        <w:t>72</w:t>
      </w:r>
      <w:r w:rsidR="007555F2">
        <w:rPr>
          <w:rFonts w:ascii="Calibri" w:hAnsi="Calibri" w:cs="Calibri"/>
        </w:rPr>
        <w:t xml:space="preserve"> </w:t>
      </w:r>
      <w:r w:rsidR="00404AB0">
        <w:rPr>
          <w:rFonts w:ascii="Calibri" w:hAnsi="Calibri" w:cs="Calibri"/>
        </w:rPr>
        <w:t>%</w:t>
      </w:r>
      <w:r w:rsidR="003D0907">
        <w:rPr>
          <w:rFonts w:ascii="Calibri" w:hAnsi="Calibri" w:cs="Calibri"/>
        </w:rPr>
        <w:t xml:space="preserve">, kar </w:t>
      </w:r>
      <w:r w:rsidR="00790141">
        <w:rPr>
          <w:rFonts w:ascii="Calibri" w:hAnsi="Calibri" w:cs="Calibri"/>
        </w:rPr>
        <w:t xml:space="preserve">je </w:t>
      </w:r>
      <w:r w:rsidR="003D0907">
        <w:rPr>
          <w:rFonts w:ascii="Calibri" w:hAnsi="Calibri" w:cs="Calibri"/>
        </w:rPr>
        <w:t>z 11 projekti predstavlja</w:t>
      </w:r>
      <w:r w:rsidR="00790141">
        <w:rPr>
          <w:rFonts w:ascii="Calibri" w:hAnsi="Calibri" w:cs="Calibri"/>
        </w:rPr>
        <w:t>lo</w:t>
      </w:r>
      <w:r w:rsidR="003D0907">
        <w:rPr>
          <w:rFonts w:ascii="Calibri" w:hAnsi="Calibri" w:cs="Calibri"/>
        </w:rPr>
        <w:t xml:space="preserve"> okoli 150.000 m</w:t>
      </w:r>
      <w:r w:rsidR="003D0907">
        <w:rPr>
          <w:rFonts w:ascii="Calibri" w:hAnsi="Calibri" w:cs="Calibri"/>
          <w:vertAlign w:val="superscript"/>
        </w:rPr>
        <w:t>2</w:t>
      </w:r>
      <w:r w:rsidR="003D0907">
        <w:rPr>
          <w:rFonts w:ascii="Calibri" w:hAnsi="Calibri" w:cs="Calibri"/>
        </w:rPr>
        <w:t xml:space="preserve"> neto tlorisne površine.</w:t>
      </w:r>
      <w:r w:rsidR="00404AB0">
        <w:rPr>
          <w:rFonts w:ascii="Calibri" w:hAnsi="Calibri" w:cs="Calibri"/>
        </w:rPr>
        <w:t xml:space="preserve"> </w:t>
      </w:r>
      <w:r w:rsidR="006B7F61">
        <w:t>V letu 2019 pa je bilo končanih 17 projektov EPO s skupno dobrih 285.000 m</w:t>
      </w:r>
      <w:r w:rsidR="006B7F61">
        <w:rPr>
          <w:vertAlign w:val="superscript"/>
        </w:rPr>
        <w:t>2</w:t>
      </w:r>
      <w:r w:rsidR="006B7F61">
        <w:t xml:space="preserve"> neto tlorisne površine. </w:t>
      </w:r>
      <w:r w:rsidR="001D3F82">
        <w:rPr>
          <w:rFonts w:ascii="Calibri" w:hAnsi="Calibri" w:cs="Calibri"/>
        </w:rPr>
        <w:t>EPO projekt</w:t>
      </w:r>
      <w:r w:rsidR="009750D7">
        <w:rPr>
          <w:rFonts w:ascii="Calibri" w:hAnsi="Calibri" w:cs="Calibri"/>
        </w:rPr>
        <w:t>i so</w:t>
      </w:r>
      <w:r w:rsidR="001D3F82">
        <w:rPr>
          <w:rFonts w:ascii="Calibri" w:hAnsi="Calibri" w:cs="Calibri"/>
        </w:rPr>
        <w:t xml:space="preserve"> v letu 2018</w:t>
      </w:r>
      <w:r w:rsidR="009750D7">
        <w:rPr>
          <w:rFonts w:ascii="Calibri" w:hAnsi="Calibri" w:cs="Calibri"/>
        </w:rPr>
        <w:t xml:space="preserve"> pripomogli k zmanjšanju rabe energije za 11,7 GWh</w:t>
      </w:r>
      <w:r w:rsidR="000E6071">
        <w:rPr>
          <w:rFonts w:ascii="Calibri" w:hAnsi="Calibri" w:cs="Calibri"/>
        </w:rPr>
        <w:t>/leto</w:t>
      </w:r>
      <w:r w:rsidR="009750D7">
        <w:rPr>
          <w:rFonts w:ascii="Calibri" w:hAnsi="Calibri" w:cs="Calibri"/>
        </w:rPr>
        <w:t>, zmanjšanju emisij CO</w:t>
      </w:r>
      <w:r w:rsidR="009750D7">
        <w:rPr>
          <w:rFonts w:ascii="Calibri" w:hAnsi="Calibri" w:cs="Calibri"/>
          <w:vertAlign w:val="subscript"/>
        </w:rPr>
        <w:t>2</w:t>
      </w:r>
      <w:r w:rsidR="009750D7">
        <w:rPr>
          <w:rFonts w:ascii="Calibri" w:hAnsi="Calibri" w:cs="Calibri"/>
        </w:rPr>
        <w:t xml:space="preserve"> za 3,2 kt</w:t>
      </w:r>
      <w:r w:rsidR="000E6071">
        <w:rPr>
          <w:rFonts w:ascii="Calibri" w:hAnsi="Calibri" w:cs="Calibri"/>
        </w:rPr>
        <w:t>/leto</w:t>
      </w:r>
      <w:r w:rsidR="009750D7">
        <w:rPr>
          <w:rFonts w:ascii="Calibri" w:hAnsi="Calibri" w:cs="Calibri"/>
        </w:rPr>
        <w:t xml:space="preserve"> in povečanju proizvodnje energije iz OVE za 2,3 GWh</w:t>
      </w:r>
      <w:r w:rsidR="000E6071">
        <w:rPr>
          <w:rFonts w:ascii="Calibri" w:hAnsi="Calibri" w:cs="Calibri"/>
        </w:rPr>
        <w:t>/leto</w:t>
      </w:r>
      <w:r w:rsidR="009750D7">
        <w:rPr>
          <w:rFonts w:ascii="Calibri" w:hAnsi="Calibri" w:cs="Calibri"/>
        </w:rPr>
        <w:t>.</w:t>
      </w:r>
      <w:r w:rsidR="001D3F82">
        <w:rPr>
          <w:rFonts w:ascii="Calibri" w:hAnsi="Calibri" w:cs="Calibri"/>
        </w:rPr>
        <w:t xml:space="preserve"> </w:t>
      </w:r>
      <w:r w:rsidR="006B7F61">
        <w:rPr>
          <w:rFonts w:ascii="Calibri" w:hAnsi="Calibri" w:cs="Calibri"/>
        </w:rPr>
        <w:t>V letu 2019 pa k zmanjšanju rabe energije za 10,7 GWh/leto, zmanjšanju emisij CO</w:t>
      </w:r>
      <w:r w:rsidR="006B7F61">
        <w:rPr>
          <w:rFonts w:ascii="Calibri" w:hAnsi="Calibri" w:cs="Calibri"/>
          <w:vertAlign w:val="subscript"/>
        </w:rPr>
        <w:t>2</w:t>
      </w:r>
      <w:r w:rsidR="006B7F61">
        <w:rPr>
          <w:rFonts w:ascii="Calibri" w:hAnsi="Calibri" w:cs="Calibri"/>
        </w:rPr>
        <w:t xml:space="preserve"> za 2,5 kt/leto in povečanju proizvodnje energije iz OVE za 3,0 GWh/leto.</w:t>
      </w:r>
    </w:p>
    <w:p w14:paraId="7EDC06E4" w14:textId="23661363" w:rsidR="00C46EC7" w:rsidRPr="00472C4D" w:rsidRDefault="00725FE5" w:rsidP="00C52E4C">
      <w:pPr>
        <w:spacing w:after="0" w:line="240" w:lineRule="auto"/>
        <w:jc w:val="both"/>
        <w:rPr>
          <w:rFonts w:ascii="Calibri" w:hAnsi="Calibri" w:cs="Calibri"/>
        </w:rPr>
      </w:pPr>
      <w:r>
        <w:rPr>
          <w:rFonts w:ascii="Calibri" w:hAnsi="Calibri" w:cs="Calibri"/>
        </w:rPr>
        <w:t xml:space="preserve">Po modelu energetskega </w:t>
      </w:r>
      <w:r w:rsidR="00EF799A">
        <w:rPr>
          <w:rFonts w:ascii="Calibri" w:hAnsi="Calibri" w:cs="Calibri"/>
        </w:rPr>
        <w:t>pogodbeništva je bil v letu 2019</w:t>
      </w:r>
      <w:r>
        <w:rPr>
          <w:rFonts w:ascii="Calibri" w:hAnsi="Calibri" w:cs="Calibri"/>
        </w:rPr>
        <w:t xml:space="preserve"> </w:t>
      </w:r>
      <w:r w:rsidR="00EF799A">
        <w:t>v izvajanju projekt energetske prenove petih stavb Ministrstva za kulturo, s skupno tlorisno površino skoraj 55.500 m</w:t>
      </w:r>
      <w:r w:rsidR="00EF799A">
        <w:rPr>
          <w:vertAlign w:val="superscript"/>
        </w:rPr>
        <w:t>2</w:t>
      </w:r>
      <w:r w:rsidR="00EF799A">
        <w:t>.</w:t>
      </w:r>
      <w:r>
        <w:rPr>
          <w:rFonts w:ascii="Calibri" w:hAnsi="Calibri" w:cs="Calibri"/>
        </w:rPr>
        <w:t xml:space="preserve">   </w:t>
      </w:r>
      <w:r w:rsidR="00A150D7">
        <w:rPr>
          <w:rFonts w:ascii="Calibri" w:hAnsi="Calibri" w:cs="Calibri"/>
        </w:rPr>
        <w:t xml:space="preserve"> </w:t>
      </w:r>
    </w:p>
    <w:p w14:paraId="14E947BC" w14:textId="603ADD2E" w:rsidR="00104ECF" w:rsidRDefault="00104ECF" w:rsidP="00C52E4C">
      <w:pPr>
        <w:spacing w:after="0" w:line="240" w:lineRule="auto"/>
        <w:jc w:val="both"/>
        <w:rPr>
          <w:rFonts w:ascii="Calibri" w:hAnsi="Calibri" w:cs="Calibri"/>
        </w:rPr>
      </w:pPr>
    </w:p>
    <w:p w14:paraId="4D441077" w14:textId="43F597E8" w:rsidR="00A150D7" w:rsidRDefault="00A150D7" w:rsidP="00C52E4C">
      <w:pPr>
        <w:spacing w:after="0" w:line="240" w:lineRule="auto"/>
        <w:jc w:val="both"/>
        <w:rPr>
          <w:rFonts w:ascii="Calibri" w:hAnsi="Calibri" w:cs="Calibri"/>
        </w:rPr>
      </w:pPr>
      <w:r>
        <w:rPr>
          <w:rFonts w:ascii="Calibri" w:hAnsi="Calibri" w:cs="Calibri"/>
        </w:rPr>
        <w:t xml:space="preserve">V okviru spodbujanja URE in OVE v stavbah v </w:t>
      </w:r>
      <w:r w:rsidRPr="00A54A40">
        <w:rPr>
          <w:rFonts w:ascii="Calibri" w:hAnsi="Calibri" w:cs="Calibri"/>
          <w:i/>
          <w:iCs/>
        </w:rPr>
        <w:t>gospodinjstvih</w:t>
      </w:r>
      <w:r>
        <w:rPr>
          <w:rFonts w:ascii="Calibri" w:hAnsi="Calibri" w:cs="Calibri"/>
        </w:rPr>
        <w:t xml:space="preserve"> so bili v let</w:t>
      </w:r>
      <w:r w:rsidR="0076187A">
        <w:rPr>
          <w:rFonts w:ascii="Calibri" w:hAnsi="Calibri" w:cs="Calibri"/>
        </w:rPr>
        <w:t>ih</w:t>
      </w:r>
      <w:r>
        <w:rPr>
          <w:rFonts w:ascii="Calibri" w:hAnsi="Calibri" w:cs="Calibri"/>
        </w:rPr>
        <w:t xml:space="preserve"> 2018</w:t>
      </w:r>
      <w:r w:rsidR="001D03EF">
        <w:rPr>
          <w:rFonts w:ascii="Calibri" w:hAnsi="Calibri" w:cs="Calibri"/>
        </w:rPr>
        <w:t xml:space="preserve"> in 2019</w:t>
      </w:r>
      <w:r>
        <w:rPr>
          <w:rFonts w:ascii="Calibri" w:hAnsi="Calibri" w:cs="Calibri"/>
        </w:rPr>
        <w:t xml:space="preserve"> izvedeni</w:t>
      </w:r>
      <w:r w:rsidR="00371BB8">
        <w:rPr>
          <w:rFonts w:ascii="Calibri" w:hAnsi="Calibri" w:cs="Calibri"/>
        </w:rPr>
        <w:t xml:space="preserve"> naslednji ukrepi</w:t>
      </w:r>
      <w:r>
        <w:rPr>
          <w:rFonts w:ascii="Calibri" w:hAnsi="Calibri" w:cs="Calibri"/>
        </w:rPr>
        <w:t>:</w:t>
      </w:r>
    </w:p>
    <w:p w14:paraId="5B475613" w14:textId="63695D18" w:rsidR="00A70C20" w:rsidRPr="00F54711" w:rsidRDefault="00A57DB7" w:rsidP="00F54711">
      <w:pPr>
        <w:pStyle w:val="Odstavekseznama"/>
        <w:numPr>
          <w:ilvl w:val="0"/>
          <w:numId w:val="12"/>
        </w:numPr>
        <w:spacing w:after="0" w:line="240" w:lineRule="auto"/>
        <w:jc w:val="both"/>
        <w:rPr>
          <w:rFonts w:ascii="Calibri" w:hAnsi="Calibri" w:cs="Calibri"/>
        </w:rPr>
      </w:pPr>
      <w:r>
        <w:t>Za izvajanje ukrepov URE in OVE v gospodinjstvih je bilo</w:t>
      </w:r>
      <w:r w:rsidR="00F54711">
        <w:t xml:space="preserve"> v letu 2018</w:t>
      </w:r>
      <w:r>
        <w:t xml:space="preserve"> iz Eko sk</w:t>
      </w:r>
      <w:r w:rsidR="00CD2C2A">
        <w:t>la</w:t>
      </w:r>
      <w:r>
        <w:t>da izplačanih 24,2 milijon</w:t>
      </w:r>
      <w:r w:rsidR="00E46E7E">
        <w:t>a</w:t>
      </w:r>
      <w:r>
        <w:t xml:space="preserve"> evrov nepovratnih sredstev. </w:t>
      </w:r>
      <w:r w:rsidR="00520D10">
        <w:t>Doseženo je bilo za 166,5 GWh</w:t>
      </w:r>
      <w:r w:rsidR="00691C14">
        <w:rPr>
          <w:rFonts w:ascii="Calibri" w:hAnsi="Calibri" w:cs="Calibri"/>
        </w:rPr>
        <w:t>/leto</w:t>
      </w:r>
      <w:r w:rsidR="00520D10">
        <w:t xml:space="preserve"> zmanjšanje rabe energije, zmanjšanje emisij CO</w:t>
      </w:r>
      <w:r w:rsidR="00520D10">
        <w:rPr>
          <w:vertAlign w:val="subscript"/>
        </w:rPr>
        <w:t>2</w:t>
      </w:r>
      <w:r w:rsidR="00520D10">
        <w:t xml:space="preserve"> za 21,2 kt</w:t>
      </w:r>
      <w:r w:rsidR="00691C14">
        <w:rPr>
          <w:rFonts w:ascii="Calibri" w:hAnsi="Calibri" w:cs="Calibri"/>
        </w:rPr>
        <w:t>/leto</w:t>
      </w:r>
      <w:r w:rsidR="00520D10">
        <w:t xml:space="preserve"> in povečanje proizvodnje energije iz OVE za 61,5 GWh</w:t>
      </w:r>
      <w:r w:rsidR="00691C14">
        <w:rPr>
          <w:rFonts w:ascii="Calibri" w:hAnsi="Calibri" w:cs="Calibri"/>
        </w:rPr>
        <w:t>/leto</w:t>
      </w:r>
      <w:r w:rsidR="00520D10">
        <w:t>.</w:t>
      </w:r>
      <w:r w:rsidR="00F54711" w:rsidRPr="00F54711">
        <w:t xml:space="preserve"> </w:t>
      </w:r>
      <w:r w:rsidR="00F54711">
        <w:t>V letu 2019 je bilo iz Eko sklada izplačanih 38,7 milijona evrov nepovratnih sredstev. Doseženo je bilo za 241,4 GWh</w:t>
      </w:r>
      <w:r w:rsidR="00F54711">
        <w:rPr>
          <w:rFonts w:ascii="Calibri" w:hAnsi="Calibri" w:cs="Calibri"/>
        </w:rPr>
        <w:t>/leto</w:t>
      </w:r>
      <w:r w:rsidR="00F54711">
        <w:t xml:space="preserve"> zmanjšanje rabe energije, zmanjšanje emisij CO</w:t>
      </w:r>
      <w:r w:rsidR="00F54711">
        <w:rPr>
          <w:vertAlign w:val="subscript"/>
        </w:rPr>
        <w:t>2</w:t>
      </w:r>
      <w:r w:rsidR="00F54711">
        <w:t xml:space="preserve"> za 50,7 kt</w:t>
      </w:r>
      <w:r w:rsidR="00F54711">
        <w:rPr>
          <w:rFonts w:ascii="Calibri" w:hAnsi="Calibri" w:cs="Calibri"/>
        </w:rPr>
        <w:t>/leto</w:t>
      </w:r>
      <w:r w:rsidR="00F54711">
        <w:t xml:space="preserve"> in povečanje proizvodnje energije iz OVE za 160,4 GWh</w:t>
      </w:r>
      <w:r w:rsidR="00F54711">
        <w:rPr>
          <w:rFonts w:ascii="Calibri" w:hAnsi="Calibri" w:cs="Calibri"/>
        </w:rPr>
        <w:t>/leto</w:t>
      </w:r>
      <w:r w:rsidR="00F54711">
        <w:t>.</w:t>
      </w:r>
    </w:p>
    <w:p w14:paraId="6861CE86" w14:textId="35D48B01" w:rsidR="00135B78" w:rsidRPr="00A15C1A" w:rsidRDefault="00672750" w:rsidP="00135B78">
      <w:pPr>
        <w:pStyle w:val="Odstavekseznama"/>
        <w:numPr>
          <w:ilvl w:val="0"/>
          <w:numId w:val="12"/>
        </w:numPr>
        <w:spacing w:after="0" w:line="240" w:lineRule="auto"/>
        <w:jc w:val="both"/>
        <w:rPr>
          <w:rFonts w:ascii="Calibri" w:hAnsi="Calibri" w:cs="Calibri"/>
        </w:rPr>
      </w:pPr>
      <w:r>
        <w:t xml:space="preserve">Eko sklad </w:t>
      </w:r>
      <w:r w:rsidR="00A558EE">
        <w:t xml:space="preserve">je v letu 2018 </w:t>
      </w:r>
      <w:r>
        <w:t xml:space="preserve">preko shem povratnih sredstev za ukrepe URE in izrabo OVE v gospodinjstvih omogočil 1.836 posojil z ugodno obrestno mero, kar je predstavljalo skoraj 25 milijonov evrov. </w:t>
      </w:r>
      <w:r w:rsidR="00135B78">
        <w:t>V letu 2019 je Eko sklad z občani podpisal 2.296 kreditnih pogodb za izvedbo naložb v ukrepe URE in izrabe OVE. Skupna vrednost podpisanih pogodb je znašala 36,3 milijonov evrov. Od tega zneska je bilo 20,7 milijona evrov namenjenih nakupu okolju prijaznih vozil (669 vozil na hibridni pogon, 242 vozil na električni pogon in 1 vozilo na plin)</w:t>
      </w:r>
      <w:r w:rsidR="00A15C1A">
        <w:t>, 12 milijonov evrov pa za</w:t>
      </w:r>
      <w:r w:rsidR="00135B78">
        <w:t xml:space="preserve"> vgradnj</w:t>
      </w:r>
      <w:r w:rsidR="00A15C1A">
        <w:t>o 762.</w:t>
      </w:r>
      <w:r w:rsidR="00135B78">
        <w:t xml:space="preserve"> toplotnih črpalk.</w:t>
      </w:r>
      <w:r w:rsidR="00A15C1A">
        <w:t xml:space="preserve"> </w:t>
      </w:r>
    </w:p>
    <w:p w14:paraId="765A2053" w14:textId="1704E315" w:rsidR="00135B78" w:rsidRPr="00A15C1A" w:rsidRDefault="00A15C1A" w:rsidP="00135B78">
      <w:pPr>
        <w:pStyle w:val="Odstavekseznama"/>
        <w:numPr>
          <w:ilvl w:val="0"/>
          <w:numId w:val="12"/>
        </w:numPr>
        <w:spacing w:after="0" w:line="240" w:lineRule="auto"/>
        <w:jc w:val="both"/>
        <w:rPr>
          <w:rFonts w:ascii="Calibri" w:hAnsi="Calibri" w:cs="Calibri"/>
        </w:rPr>
      </w:pPr>
      <w:r>
        <w:t xml:space="preserve">Za prenovo stanovanjskih stavb je mogoče pridobiti tudi posojila Javnega stanovanjskega sklada MOL, ekološki potrošniški kredit za nakup energijsko učinkovitih gospodinjskih aparatov in okolju prijaznih motornih vozil pri Abanki, zeleni namenski potrošniški kredit (za nakup lesne biomase za ogrevanje, in zeleni stanovanjski kredit za gradnjo ali nakup nizkoenergijske ali pasivne eno- ali dvostanovanjske stavbe, nakup energijsko učinkovitega stavbnega pohištva, toplotno izolacijo stanovanjskega objekta itd) pri BKS banki, pri Delavski hranilnici je mogoče pridobiti eko kredit, ki poleg nakupa električnih ali hibridnih vozil omogoča tudi nakup toplotne črpalke ali postavitev sončne elektrarne, Eko kredit Deželne banke Slovenije (DBS) (priklop na sistem daljinskega </w:t>
      </w:r>
      <w:r>
        <w:lastRenderedPageBreak/>
        <w:t xml:space="preserve">ogrevanja, nakup kurilne naprave na lesno biomaso in celo postavitev male elektrarne itd.), </w:t>
      </w:r>
      <w:proofErr w:type="spellStart"/>
      <w:r>
        <w:t>Sparkasse</w:t>
      </w:r>
      <w:proofErr w:type="spellEnd"/>
      <w:r>
        <w:t xml:space="preserve"> ponuja zeleni kredit na kolesih za vozila in pa zeleni kredit, ki je namenjen nakupu ali gradnji pasivne ali nizkoenergijske hiše, energetsko učinkoviti prenovi stanovanjske stavbe in nakupu naprav za izrabo OVE. </w:t>
      </w:r>
    </w:p>
    <w:p w14:paraId="13E9D2DD" w14:textId="29E10834" w:rsidR="00FA495C" w:rsidRPr="00DE0E95" w:rsidRDefault="00E93AC9" w:rsidP="00FA495C">
      <w:pPr>
        <w:pStyle w:val="Odstavekseznama"/>
        <w:numPr>
          <w:ilvl w:val="0"/>
          <w:numId w:val="12"/>
        </w:numPr>
        <w:spacing w:after="0" w:line="240" w:lineRule="auto"/>
        <w:jc w:val="both"/>
        <w:rPr>
          <w:rFonts w:ascii="Calibri" w:hAnsi="Calibri" w:cs="Calibri"/>
        </w:rPr>
      </w:pPr>
      <w:r w:rsidRPr="00DE0E95">
        <w:rPr>
          <w:rFonts w:ascii="Calibri" w:hAnsi="Calibri" w:cs="Calibri"/>
        </w:rPr>
        <w:t xml:space="preserve">Preko mreže ENSVET je </w:t>
      </w:r>
      <w:r w:rsidR="00FA495C" w:rsidRPr="00DE0E95">
        <w:rPr>
          <w:rFonts w:ascii="Calibri" w:hAnsi="Calibri" w:cs="Calibri"/>
        </w:rPr>
        <w:t xml:space="preserve">v letu 2018 </w:t>
      </w:r>
      <w:r w:rsidRPr="00DE0E95">
        <w:rPr>
          <w:rFonts w:ascii="Calibri" w:hAnsi="Calibri" w:cs="Calibri"/>
        </w:rPr>
        <w:t>58 neodvisnih energetskih svetovalcev realiziralo 9.546 aktivnosti (nasveti preko člankov, TV prispevkov, predavanj, šol itd). Največ, 7.870, je bilo pisnih nasvetov. Na terenu so svetovalci ocenili kakovost 148 projektov, od katerih je bilo 96</w:t>
      </w:r>
      <w:r w:rsidR="007555F2" w:rsidRPr="00DE0E95">
        <w:rPr>
          <w:rFonts w:ascii="Calibri" w:hAnsi="Calibri" w:cs="Calibri"/>
        </w:rPr>
        <w:t xml:space="preserve"> </w:t>
      </w:r>
      <w:r w:rsidRPr="00DE0E95">
        <w:rPr>
          <w:rFonts w:ascii="Calibri" w:hAnsi="Calibri" w:cs="Calibri"/>
        </w:rPr>
        <w:t>% izvedenih skladno s pogoji javnega razpisa. V desetih trgovi</w:t>
      </w:r>
      <w:r w:rsidR="00C9415F" w:rsidRPr="00DE0E95">
        <w:rPr>
          <w:rFonts w:ascii="Calibri" w:hAnsi="Calibri" w:cs="Calibri"/>
        </w:rPr>
        <w:t>n</w:t>
      </w:r>
      <w:r w:rsidRPr="00DE0E95">
        <w:rPr>
          <w:rFonts w:ascii="Calibri" w:hAnsi="Calibri" w:cs="Calibri"/>
        </w:rPr>
        <w:t>skih centrih</w:t>
      </w:r>
      <w:r w:rsidR="00C9415F" w:rsidRPr="00DE0E95">
        <w:rPr>
          <w:rFonts w:ascii="Calibri" w:hAnsi="Calibri" w:cs="Calibri"/>
        </w:rPr>
        <w:t xml:space="preserve"> pa</w:t>
      </w:r>
      <w:r w:rsidRPr="00DE0E95">
        <w:rPr>
          <w:rFonts w:ascii="Calibri" w:hAnsi="Calibri" w:cs="Calibri"/>
        </w:rPr>
        <w:t xml:space="preserve"> je potekal tudi Teden energetskega svetovanja. Mreža ENSVET je v tem letu doprinesla za </w:t>
      </w:r>
      <w:r w:rsidR="00691C14" w:rsidRPr="00DE0E95">
        <w:rPr>
          <w:rFonts w:ascii="Calibri" w:hAnsi="Calibri" w:cs="Calibri"/>
        </w:rPr>
        <w:t>1</w:t>
      </w:r>
      <w:r w:rsidRPr="00DE0E95">
        <w:rPr>
          <w:rFonts w:ascii="Calibri" w:hAnsi="Calibri" w:cs="Calibri"/>
        </w:rPr>
        <w:t>8,1 GWh</w:t>
      </w:r>
      <w:r w:rsidR="00691C14" w:rsidRPr="00DE0E95">
        <w:rPr>
          <w:rFonts w:ascii="Calibri" w:hAnsi="Calibri" w:cs="Calibri"/>
        </w:rPr>
        <w:t>/leto</w:t>
      </w:r>
      <w:r w:rsidRPr="00DE0E95">
        <w:rPr>
          <w:rFonts w:ascii="Calibri" w:hAnsi="Calibri" w:cs="Calibri"/>
        </w:rPr>
        <w:t xml:space="preserve"> zmanjšane rabe energije in za </w:t>
      </w:r>
      <w:r w:rsidR="00691C14" w:rsidRPr="00DE0E95">
        <w:rPr>
          <w:rFonts w:ascii="Calibri" w:hAnsi="Calibri" w:cs="Calibri"/>
        </w:rPr>
        <w:t>4,7</w:t>
      </w:r>
      <w:r w:rsidRPr="00DE0E95">
        <w:rPr>
          <w:rFonts w:ascii="Calibri" w:hAnsi="Calibri" w:cs="Calibri"/>
        </w:rPr>
        <w:t xml:space="preserve"> kt</w:t>
      </w:r>
      <w:r w:rsidR="00691C14" w:rsidRPr="00DE0E95">
        <w:rPr>
          <w:rFonts w:ascii="Calibri" w:hAnsi="Calibri" w:cs="Calibri"/>
        </w:rPr>
        <w:t>/leto</w:t>
      </w:r>
      <w:r w:rsidRPr="00DE0E95">
        <w:rPr>
          <w:rFonts w:ascii="Calibri" w:hAnsi="Calibri" w:cs="Calibri"/>
        </w:rPr>
        <w:t xml:space="preserve"> zmanjšanja emisij CO</w:t>
      </w:r>
      <w:r w:rsidRPr="00DE0E95">
        <w:rPr>
          <w:rFonts w:ascii="Calibri" w:hAnsi="Calibri" w:cs="Calibri"/>
          <w:vertAlign w:val="subscript"/>
        </w:rPr>
        <w:t>2</w:t>
      </w:r>
      <w:r w:rsidRPr="00DE0E95">
        <w:rPr>
          <w:rFonts w:ascii="Calibri" w:hAnsi="Calibri" w:cs="Calibri"/>
        </w:rPr>
        <w:t>.</w:t>
      </w:r>
      <w:r w:rsidR="00FA495C" w:rsidRPr="00DE0E95">
        <w:rPr>
          <w:rFonts w:ascii="Calibri" w:hAnsi="Calibri" w:cs="Calibri"/>
        </w:rPr>
        <w:t xml:space="preserve"> V letu 2019</w:t>
      </w:r>
      <w:r w:rsidR="00FA495C">
        <w:t xml:space="preserve"> je preko mreže ENSVET delovalo 56 usposobljenih neodvisnih energetskih svetovalcev, ki so realizirali 9.283 aktivnosti (nasveti s pisnim poročilom, e-nasveti, članki, RTV prispevki, predavanja, šole itd.). Največ, 7.960, je bilo pisnih nasvetov. 60 % vseh nasvetov je bilo opravljenih v svetovalnih pisarnah,</w:t>
      </w:r>
      <w:r w:rsidR="00FA495C" w:rsidRPr="00FA495C">
        <w:t xml:space="preserve"> </w:t>
      </w:r>
      <w:r w:rsidR="00FA495C">
        <w:t>preostanek na različnih sejmih in drugih dogodkih izven pisarn.</w:t>
      </w:r>
      <w:r w:rsidR="00FA495C" w:rsidRPr="00FA495C">
        <w:t xml:space="preserve"> </w:t>
      </w:r>
      <w:r w:rsidR="00FA495C">
        <w:t>V okviru obveznega nadzora subvencioniranih naložb so svetovalci opravili 245 ogledov izvedenih naložb ter 79 ogledov z namenom ugotavljanja dejanskega stanja še med postopkom obravnave vloge. Prenovljen je bil interni spletni portal za svetovalce in posodobljen razdelek »energetsko svetovanje« na novi spletni strani Eko sklada, kjer je sedaj mogoče tudi spletno naročanje na svetovanja. Septembra 2019 je na šestnajstih lokacijah izbranih trgovskih centrov po Sloveniji potekal Teden energetskega svetovanja, preko katerega je bilo opravljenih več kot 500 brezplačnih nasvetov. S svetovanjem v okviru mreže ENSVET je bilo leta 2019 doseženo zmanjšanje rabe energije za 23,2 GWh/leto ter zmanjšanje emisije CO</w:t>
      </w:r>
      <w:r w:rsidR="00FA495C" w:rsidRPr="00DE0E95">
        <w:rPr>
          <w:vertAlign w:val="subscript"/>
        </w:rPr>
        <w:t>2</w:t>
      </w:r>
      <w:r w:rsidR="00FA495C">
        <w:t xml:space="preserve"> za 6,0 kt/leto.</w:t>
      </w:r>
    </w:p>
    <w:p w14:paraId="1403FD9A" w14:textId="3B617518" w:rsidR="00520D10" w:rsidRPr="00A70C20" w:rsidRDefault="00520D10" w:rsidP="00520D10">
      <w:pPr>
        <w:pStyle w:val="Odstavekseznama"/>
        <w:numPr>
          <w:ilvl w:val="0"/>
          <w:numId w:val="12"/>
        </w:numPr>
        <w:spacing w:after="0" w:line="240" w:lineRule="auto"/>
        <w:jc w:val="both"/>
        <w:rPr>
          <w:rFonts w:ascii="Calibri" w:hAnsi="Calibri" w:cs="Calibri"/>
        </w:rPr>
      </w:pPr>
      <w:r w:rsidRPr="00C1023B">
        <w:rPr>
          <w:rFonts w:ascii="Calibri" w:hAnsi="Calibri" w:cs="Calibri"/>
        </w:rPr>
        <w:t>Občani, ki domujejo v starejših večstanovanjskih stavbah in se soočajo z energetsko revščino, so preko Eko sklada dobili v celoti povrnjene stroške za energetsko prenovo stavb (</w:t>
      </w:r>
      <w:r w:rsidR="00F423CD">
        <w:rPr>
          <w:rFonts w:ascii="Calibri" w:hAnsi="Calibri" w:cs="Calibri"/>
        </w:rPr>
        <w:t xml:space="preserve">v letu 2018 - </w:t>
      </w:r>
      <w:r w:rsidRPr="00C1023B">
        <w:rPr>
          <w:rFonts w:ascii="Calibri" w:hAnsi="Calibri" w:cs="Calibri"/>
        </w:rPr>
        <w:t>8 naložb v višini 27.400 evrov</w:t>
      </w:r>
      <w:r w:rsidR="00F423CD">
        <w:rPr>
          <w:rFonts w:ascii="Calibri" w:hAnsi="Calibri" w:cs="Calibri"/>
        </w:rPr>
        <w:t>, v letu 2019 – 14 naložb v višini 57.000 evrov</w:t>
      </w:r>
      <w:r w:rsidRPr="00C1023B">
        <w:rPr>
          <w:rFonts w:ascii="Calibri" w:hAnsi="Calibri" w:cs="Calibri"/>
        </w:rPr>
        <w:t>) in zamenjavo starih kurilnih naprav na trdna goriva (</w:t>
      </w:r>
      <w:r w:rsidR="00F423CD">
        <w:rPr>
          <w:rFonts w:ascii="Calibri" w:hAnsi="Calibri" w:cs="Calibri"/>
        </w:rPr>
        <w:t xml:space="preserve">v letu 2018 - </w:t>
      </w:r>
      <w:r w:rsidRPr="00C1023B">
        <w:rPr>
          <w:rFonts w:ascii="Calibri" w:hAnsi="Calibri" w:cs="Calibri"/>
        </w:rPr>
        <w:t>12 naložb v višini 56.400 evrov</w:t>
      </w:r>
      <w:r w:rsidR="00F423CD">
        <w:rPr>
          <w:rFonts w:ascii="Calibri" w:hAnsi="Calibri" w:cs="Calibri"/>
        </w:rPr>
        <w:t>, v letu 2019 – 29 naložb v višini 180.000 evrov</w:t>
      </w:r>
      <w:r w:rsidRPr="00C1023B">
        <w:rPr>
          <w:rFonts w:ascii="Calibri" w:hAnsi="Calibri" w:cs="Calibri"/>
        </w:rPr>
        <w:t xml:space="preserve">). </w:t>
      </w:r>
      <w:r w:rsidR="00696750">
        <w:rPr>
          <w:rFonts w:ascii="Calibri" w:hAnsi="Calibri" w:cs="Calibri"/>
        </w:rPr>
        <w:t>E</w:t>
      </w:r>
      <w:r>
        <w:t>nergetsk</w:t>
      </w:r>
      <w:r w:rsidR="00696750">
        <w:t>i</w:t>
      </w:r>
      <w:r>
        <w:t xml:space="preserve"> svetovalc</w:t>
      </w:r>
      <w:r w:rsidR="00696750">
        <w:t>i</w:t>
      </w:r>
      <w:r>
        <w:t xml:space="preserve"> z nasvetom za manjšo rabo energije</w:t>
      </w:r>
      <w:r w:rsidRPr="00C1023B">
        <w:t xml:space="preserve"> </w:t>
      </w:r>
      <w:r>
        <w:t xml:space="preserve">in brezplačnim paketom naprav ZERO </w:t>
      </w:r>
      <w:r w:rsidR="00696750">
        <w:t>so v letu 2018 obiskali</w:t>
      </w:r>
      <w:r>
        <w:t xml:space="preserve"> 282 občanov</w:t>
      </w:r>
      <w:r w:rsidR="00696750">
        <w:t>, v letu 2019 pa 195</w:t>
      </w:r>
      <w:r>
        <w:t xml:space="preserve">. </w:t>
      </w:r>
    </w:p>
    <w:p w14:paraId="5FBFCC91" w14:textId="5C17D17B" w:rsidR="00A150D7" w:rsidRDefault="00A150D7" w:rsidP="00C52E4C">
      <w:pPr>
        <w:spacing w:after="0" w:line="240" w:lineRule="auto"/>
        <w:jc w:val="both"/>
        <w:rPr>
          <w:rFonts w:ascii="Calibri" w:hAnsi="Calibri" w:cs="Calibri"/>
        </w:rPr>
      </w:pPr>
    </w:p>
    <w:p w14:paraId="2FC8570F" w14:textId="4FA7584B" w:rsidR="00371BB8" w:rsidRDefault="00A150D7" w:rsidP="00371BB8">
      <w:pPr>
        <w:spacing w:after="0" w:line="240" w:lineRule="auto"/>
        <w:jc w:val="both"/>
        <w:rPr>
          <w:rFonts w:ascii="Calibri" w:hAnsi="Calibri" w:cs="Calibri"/>
        </w:rPr>
      </w:pPr>
      <w:r>
        <w:rPr>
          <w:rFonts w:ascii="Calibri" w:hAnsi="Calibri" w:cs="Calibri"/>
        </w:rPr>
        <w:t xml:space="preserve">V okviru spodbujanja URE in OVE v stavbah </w:t>
      </w:r>
      <w:r w:rsidRPr="00A54A40">
        <w:rPr>
          <w:rFonts w:ascii="Calibri" w:hAnsi="Calibri" w:cs="Calibri"/>
          <w:i/>
          <w:iCs/>
        </w:rPr>
        <w:t>javnega sektorja</w:t>
      </w:r>
      <w:r>
        <w:rPr>
          <w:rFonts w:ascii="Calibri" w:hAnsi="Calibri" w:cs="Calibri"/>
        </w:rPr>
        <w:t xml:space="preserve"> so bili v let</w:t>
      </w:r>
      <w:r w:rsidR="0076187A">
        <w:rPr>
          <w:rFonts w:ascii="Calibri" w:hAnsi="Calibri" w:cs="Calibri"/>
        </w:rPr>
        <w:t>ih</w:t>
      </w:r>
      <w:r>
        <w:rPr>
          <w:rFonts w:ascii="Calibri" w:hAnsi="Calibri" w:cs="Calibri"/>
        </w:rPr>
        <w:t xml:space="preserve"> 2018</w:t>
      </w:r>
      <w:r w:rsidR="0076187A">
        <w:rPr>
          <w:rFonts w:ascii="Calibri" w:hAnsi="Calibri" w:cs="Calibri"/>
        </w:rPr>
        <w:t xml:space="preserve"> in 2019</w:t>
      </w:r>
      <w:r>
        <w:rPr>
          <w:rFonts w:ascii="Calibri" w:hAnsi="Calibri" w:cs="Calibri"/>
        </w:rPr>
        <w:t xml:space="preserve"> izvedeni</w:t>
      </w:r>
      <w:r w:rsidR="00371BB8">
        <w:rPr>
          <w:rFonts w:ascii="Calibri" w:hAnsi="Calibri" w:cs="Calibri"/>
        </w:rPr>
        <w:t xml:space="preserve"> naslednji ukrepi:</w:t>
      </w:r>
    </w:p>
    <w:p w14:paraId="19C25ABA" w14:textId="2409F0D9" w:rsidR="00A23FED" w:rsidRDefault="00EB625A" w:rsidP="00A23FED">
      <w:pPr>
        <w:pStyle w:val="Odstavekseznama"/>
        <w:numPr>
          <w:ilvl w:val="0"/>
          <w:numId w:val="13"/>
        </w:numPr>
        <w:spacing w:after="0" w:line="240" w:lineRule="auto"/>
        <w:jc w:val="both"/>
        <w:rPr>
          <w:rFonts w:ascii="Calibri" w:hAnsi="Calibri" w:cs="Calibri"/>
        </w:rPr>
      </w:pPr>
      <w:r w:rsidRPr="007C0242">
        <w:rPr>
          <w:rFonts w:ascii="Calibri" w:hAnsi="Calibri" w:cs="Calibri"/>
        </w:rPr>
        <w:t>V okviru OP EKP</w:t>
      </w:r>
      <w:r w:rsidR="009E4F92" w:rsidRPr="007C0242">
        <w:rPr>
          <w:rFonts w:ascii="Calibri" w:hAnsi="Calibri" w:cs="Calibri"/>
        </w:rPr>
        <w:t>, v sklopu razpisov iz let 2016 in 2017,</w:t>
      </w:r>
      <w:r w:rsidRPr="007C0242">
        <w:rPr>
          <w:rFonts w:ascii="Calibri" w:hAnsi="Calibri" w:cs="Calibri"/>
        </w:rPr>
        <w:t xml:space="preserve"> </w:t>
      </w:r>
      <w:r w:rsidR="00756408">
        <w:rPr>
          <w:rFonts w:ascii="Calibri" w:hAnsi="Calibri" w:cs="Calibri"/>
        </w:rPr>
        <w:t xml:space="preserve">so se v letu 2018 izvajali projekti, za katere </w:t>
      </w:r>
      <w:r w:rsidRPr="007C0242">
        <w:rPr>
          <w:rFonts w:ascii="Calibri" w:hAnsi="Calibri" w:cs="Calibri"/>
        </w:rPr>
        <w:t xml:space="preserve">je bilo dodeljenih 14,7 milijona evrov </w:t>
      </w:r>
      <w:r w:rsidR="00E81C95" w:rsidRPr="007C0242">
        <w:rPr>
          <w:rFonts w:ascii="Calibri" w:hAnsi="Calibri" w:cs="Calibri"/>
        </w:rPr>
        <w:t>nepovratni</w:t>
      </w:r>
      <w:r w:rsidRPr="007C0242">
        <w:rPr>
          <w:rFonts w:ascii="Calibri" w:hAnsi="Calibri" w:cs="Calibri"/>
        </w:rPr>
        <w:t>h</w:t>
      </w:r>
      <w:r w:rsidR="00E81C95" w:rsidRPr="007C0242">
        <w:rPr>
          <w:rFonts w:ascii="Calibri" w:hAnsi="Calibri" w:cs="Calibri"/>
        </w:rPr>
        <w:t xml:space="preserve"> sredst</w:t>
      </w:r>
      <w:r w:rsidRPr="007C0242">
        <w:rPr>
          <w:rFonts w:ascii="Calibri" w:hAnsi="Calibri" w:cs="Calibri"/>
        </w:rPr>
        <w:t>ev</w:t>
      </w:r>
      <w:r w:rsidR="00756408">
        <w:rPr>
          <w:rFonts w:ascii="Calibri" w:hAnsi="Calibri" w:cs="Calibri"/>
        </w:rPr>
        <w:t>. E</w:t>
      </w:r>
      <w:r w:rsidR="00B24D94" w:rsidRPr="007C0242">
        <w:rPr>
          <w:rFonts w:ascii="Calibri" w:hAnsi="Calibri" w:cs="Calibri"/>
        </w:rPr>
        <w:t xml:space="preserve">nergetsko </w:t>
      </w:r>
      <w:r w:rsidR="00E81C95" w:rsidRPr="007C0242">
        <w:rPr>
          <w:rFonts w:ascii="Calibri" w:hAnsi="Calibri" w:cs="Calibri"/>
        </w:rPr>
        <w:t>prenovljen</w:t>
      </w:r>
      <w:r w:rsidR="00756408">
        <w:rPr>
          <w:rFonts w:ascii="Calibri" w:hAnsi="Calibri" w:cs="Calibri"/>
        </w:rPr>
        <w:t>ih</w:t>
      </w:r>
      <w:r w:rsidR="00E81C95" w:rsidRPr="007C0242">
        <w:rPr>
          <w:rFonts w:ascii="Calibri" w:hAnsi="Calibri" w:cs="Calibri"/>
        </w:rPr>
        <w:t xml:space="preserve"> </w:t>
      </w:r>
      <w:r w:rsidR="00756408">
        <w:rPr>
          <w:rFonts w:ascii="Calibri" w:hAnsi="Calibri" w:cs="Calibri"/>
        </w:rPr>
        <w:t xml:space="preserve">je bilo </w:t>
      </w:r>
      <w:r w:rsidR="00E81C95" w:rsidRPr="007C0242">
        <w:rPr>
          <w:rFonts w:ascii="Calibri" w:hAnsi="Calibri" w:cs="Calibri"/>
        </w:rPr>
        <w:t>205.000 m</w:t>
      </w:r>
      <w:r w:rsidR="00E81C95" w:rsidRPr="007C0242">
        <w:rPr>
          <w:rFonts w:ascii="Calibri" w:hAnsi="Calibri" w:cs="Calibri"/>
          <w:vertAlign w:val="superscript"/>
        </w:rPr>
        <w:t>2</w:t>
      </w:r>
      <w:r w:rsidR="00E81C95" w:rsidRPr="007C0242">
        <w:rPr>
          <w:rFonts w:ascii="Calibri" w:hAnsi="Calibri" w:cs="Calibri"/>
        </w:rPr>
        <w:t xml:space="preserve"> neto tlorisne površine stavb v lasti in rabi občin</w:t>
      </w:r>
      <w:r w:rsidRPr="007C0242">
        <w:rPr>
          <w:rFonts w:ascii="Calibri" w:hAnsi="Calibri" w:cs="Calibri"/>
        </w:rPr>
        <w:t xml:space="preserve"> ter</w:t>
      </w:r>
      <w:r w:rsidR="00E81C95" w:rsidRPr="007C0242">
        <w:rPr>
          <w:rFonts w:ascii="Calibri" w:hAnsi="Calibri" w:cs="Calibri"/>
        </w:rPr>
        <w:t xml:space="preserve"> stavb širšega in ožjega javnega sektorja. </w:t>
      </w:r>
      <w:r w:rsidR="009E4F92" w:rsidRPr="007C0242">
        <w:rPr>
          <w:rFonts w:ascii="Calibri" w:hAnsi="Calibri" w:cs="Calibri"/>
        </w:rPr>
        <w:t xml:space="preserve">Leta 2018 </w:t>
      </w:r>
      <w:r w:rsidR="00A23FED" w:rsidRPr="007C0242">
        <w:rPr>
          <w:rFonts w:ascii="Calibri" w:hAnsi="Calibri" w:cs="Calibri"/>
        </w:rPr>
        <w:t>je bilo v okviru razpisa za energetsko prenovo stavb v lasti in rabi občin ter stavb širšega in ožjega javnega sektorja podprtih 25 naložb v vrednosti 23,7 milijona evrov. Črpanje sredstev pri stavbah ožjega javnega sektorja je bilo najslabše, saj je bila energetsko prenovljena le ena stavba za 0,4 milijona evrov.</w:t>
      </w:r>
      <w:r w:rsidR="00691C14">
        <w:rPr>
          <w:rFonts w:ascii="Calibri" w:hAnsi="Calibri" w:cs="Calibri"/>
        </w:rPr>
        <w:t xml:space="preserve"> </w:t>
      </w:r>
      <w:r w:rsidR="00463334" w:rsidRPr="007C0242">
        <w:rPr>
          <w:rFonts w:ascii="Calibri" w:hAnsi="Calibri" w:cs="Calibri"/>
        </w:rPr>
        <w:t>V okviru razpisa Eko sklada, namenjenega občinam za nove naložbe v gradnjo skoraj ničenergijskih stavb, je bilo za 10 naložb izplačanih 5,2 milijona evrov. Z energetsko prenovo stavb javnega sektorja je bilo v letu 2018 zmanjšane rabe energije za 17,2 GWh</w:t>
      </w:r>
      <w:r w:rsidR="00691C14">
        <w:rPr>
          <w:rFonts w:ascii="Calibri" w:hAnsi="Calibri" w:cs="Calibri"/>
        </w:rPr>
        <w:t>/leto</w:t>
      </w:r>
      <w:r w:rsidR="00463334" w:rsidRPr="007C0242">
        <w:rPr>
          <w:rFonts w:ascii="Calibri" w:hAnsi="Calibri" w:cs="Calibri"/>
        </w:rPr>
        <w:t>, zmanjšanih emisij CO</w:t>
      </w:r>
      <w:r w:rsidR="00463334" w:rsidRPr="007C0242">
        <w:rPr>
          <w:rFonts w:ascii="Calibri" w:hAnsi="Calibri" w:cs="Calibri"/>
          <w:vertAlign w:val="subscript"/>
        </w:rPr>
        <w:t>2</w:t>
      </w:r>
      <w:r w:rsidR="00463334" w:rsidRPr="007C0242">
        <w:rPr>
          <w:rFonts w:ascii="Calibri" w:hAnsi="Calibri" w:cs="Calibri"/>
        </w:rPr>
        <w:t xml:space="preserve"> za 4,8 kt</w:t>
      </w:r>
      <w:r w:rsidR="00691C14">
        <w:rPr>
          <w:rFonts w:ascii="Calibri" w:hAnsi="Calibri" w:cs="Calibri"/>
        </w:rPr>
        <w:t>/leto</w:t>
      </w:r>
      <w:r w:rsidR="00463334" w:rsidRPr="007C0242">
        <w:rPr>
          <w:rFonts w:ascii="Calibri" w:hAnsi="Calibri" w:cs="Calibri"/>
        </w:rPr>
        <w:t xml:space="preserve"> in povečane proizvodnje energije iz OVE za 3,9 GWh</w:t>
      </w:r>
      <w:r w:rsidR="00691C14">
        <w:rPr>
          <w:rFonts w:ascii="Calibri" w:hAnsi="Calibri" w:cs="Calibri"/>
        </w:rPr>
        <w:t>/leto</w:t>
      </w:r>
      <w:r w:rsidR="00463334" w:rsidRPr="007C0242">
        <w:rPr>
          <w:rFonts w:ascii="Calibri" w:hAnsi="Calibri" w:cs="Calibri"/>
        </w:rPr>
        <w:t xml:space="preserve">. </w:t>
      </w:r>
      <w:r w:rsidR="00941133">
        <w:t>Za izvajanje ukrepov URE in OVE v javnem sektorju so spo</w:t>
      </w:r>
      <w:r w:rsidR="00941133" w:rsidRPr="007C0242">
        <w:rPr>
          <w:rFonts w:ascii="Calibri" w:hAnsi="Calibri" w:cs="Calibri"/>
        </w:rPr>
        <w:t>dbude Eko sklada pripomogle k zmanjšanju rabe energije za 2,4 GWh</w:t>
      </w:r>
      <w:r w:rsidR="00992B51">
        <w:rPr>
          <w:rFonts w:ascii="Calibri" w:hAnsi="Calibri" w:cs="Calibri"/>
        </w:rPr>
        <w:t>/leto</w:t>
      </w:r>
      <w:r w:rsidR="00941133" w:rsidRPr="007C0242">
        <w:rPr>
          <w:rFonts w:ascii="Calibri" w:hAnsi="Calibri" w:cs="Calibri"/>
        </w:rPr>
        <w:t>, zmanjšanju emisij CO</w:t>
      </w:r>
      <w:r w:rsidR="00941133" w:rsidRPr="007C0242">
        <w:rPr>
          <w:rFonts w:ascii="Calibri" w:hAnsi="Calibri" w:cs="Calibri"/>
          <w:vertAlign w:val="subscript"/>
        </w:rPr>
        <w:t>2</w:t>
      </w:r>
      <w:r w:rsidR="00941133" w:rsidRPr="007C0242">
        <w:rPr>
          <w:rFonts w:ascii="Calibri" w:hAnsi="Calibri" w:cs="Calibri"/>
        </w:rPr>
        <w:t xml:space="preserve"> za 0,6 kt</w:t>
      </w:r>
      <w:r w:rsidR="00992B51">
        <w:rPr>
          <w:rFonts w:ascii="Calibri" w:hAnsi="Calibri" w:cs="Calibri"/>
        </w:rPr>
        <w:t>/leto</w:t>
      </w:r>
      <w:r w:rsidR="00941133" w:rsidRPr="007C0242">
        <w:rPr>
          <w:rFonts w:ascii="Calibri" w:hAnsi="Calibri" w:cs="Calibri"/>
        </w:rPr>
        <w:t xml:space="preserve"> in povečanju proizvodnje energije iz OVE za 1,2 GWh</w:t>
      </w:r>
      <w:r w:rsidR="00992B51">
        <w:rPr>
          <w:rFonts w:ascii="Calibri" w:hAnsi="Calibri" w:cs="Calibri"/>
        </w:rPr>
        <w:t>/leto</w:t>
      </w:r>
      <w:r w:rsidR="00941133" w:rsidRPr="007C0242">
        <w:rPr>
          <w:rFonts w:ascii="Calibri" w:hAnsi="Calibri" w:cs="Calibri"/>
        </w:rPr>
        <w:t>.</w:t>
      </w:r>
      <w:r w:rsidR="00756408">
        <w:rPr>
          <w:rFonts w:ascii="Calibri" w:hAnsi="Calibri" w:cs="Calibri"/>
        </w:rPr>
        <w:t xml:space="preserve"> </w:t>
      </w:r>
    </w:p>
    <w:p w14:paraId="40DA82E5" w14:textId="77777777" w:rsidR="002C5ED8" w:rsidRDefault="00756408" w:rsidP="00756408">
      <w:pPr>
        <w:pStyle w:val="Odstavekseznama"/>
        <w:spacing w:after="0" w:line="240" w:lineRule="auto"/>
        <w:ind w:left="360"/>
        <w:jc w:val="both"/>
      </w:pPr>
      <w:r>
        <w:rPr>
          <w:rFonts w:ascii="Calibri" w:hAnsi="Calibri" w:cs="Calibri"/>
        </w:rPr>
        <w:t>V letu 2019 so se</w:t>
      </w:r>
      <w:r>
        <w:t xml:space="preserve"> v okviru OP EKP </w:t>
      </w:r>
      <w:r>
        <w:rPr>
          <w:rFonts w:ascii="Calibri" w:hAnsi="Calibri" w:cs="Calibri"/>
        </w:rPr>
        <w:t>izvajali projekti, za katere je bilo dodeljenih 11</w:t>
      </w:r>
      <w:r w:rsidRPr="007C0242">
        <w:rPr>
          <w:rFonts w:ascii="Calibri" w:hAnsi="Calibri" w:cs="Calibri"/>
        </w:rPr>
        <w:t xml:space="preserve"> milijon</w:t>
      </w:r>
      <w:r>
        <w:rPr>
          <w:rFonts w:ascii="Calibri" w:hAnsi="Calibri" w:cs="Calibri"/>
        </w:rPr>
        <w:t>ov</w:t>
      </w:r>
      <w:r w:rsidRPr="007C0242">
        <w:rPr>
          <w:rFonts w:ascii="Calibri" w:hAnsi="Calibri" w:cs="Calibri"/>
        </w:rPr>
        <w:t xml:space="preserve"> evrov nepovratnih sredstev</w:t>
      </w:r>
      <w:r>
        <w:rPr>
          <w:rFonts w:ascii="Calibri" w:hAnsi="Calibri" w:cs="Calibri"/>
        </w:rPr>
        <w:t>. P</w:t>
      </w:r>
      <w:r>
        <w:t>renovljenih je bilo 155.000 m</w:t>
      </w:r>
      <w:r>
        <w:rPr>
          <w:vertAlign w:val="superscript"/>
        </w:rPr>
        <w:t>2</w:t>
      </w:r>
      <w:r>
        <w:t xml:space="preserve"> neto tlorisne površine stavb. Zmanjšanje rabe energije, doseženo s temi projekti, je bilo ocenjeno na 29,7 GWh, emisije CO</w:t>
      </w:r>
      <w:r>
        <w:rPr>
          <w:vertAlign w:val="subscript"/>
        </w:rPr>
        <w:t>2</w:t>
      </w:r>
      <w:r>
        <w:t xml:space="preserve"> pa na 8,2 kt na leto. Zmanjšanje rabe energije na enoto površine znaša 76 kWh/m</w:t>
      </w:r>
      <w:r>
        <w:rPr>
          <w:vertAlign w:val="superscript"/>
        </w:rPr>
        <w:t>2</w:t>
      </w:r>
      <w:r>
        <w:t xml:space="preserve"> leto, kar kaže na to, da bo treba prenove za večje učinke v prihodnje bolj usmerjati v celovite prenove. V okviru razpisov je bilo na voljo skoraj 113 milijonov evrov nepovratnih sredstev, dodeljenih pa le 37 % razpisanega zneska. Črpanje sredstev je bilo najslabše pri stavbah ožjega javnega sektorja. </w:t>
      </w:r>
    </w:p>
    <w:p w14:paraId="31359A08" w14:textId="2870EE58" w:rsidR="00756408" w:rsidRPr="007C0242" w:rsidRDefault="00756408" w:rsidP="00756408">
      <w:pPr>
        <w:pStyle w:val="Odstavekseznama"/>
        <w:spacing w:after="0" w:line="240" w:lineRule="auto"/>
        <w:ind w:left="360"/>
        <w:jc w:val="both"/>
        <w:rPr>
          <w:rFonts w:ascii="Calibri" w:hAnsi="Calibri" w:cs="Calibri"/>
        </w:rPr>
      </w:pPr>
      <w:r>
        <w:lastRenderedPageBreak/>
        <w:t xml:space="preserve">Leta 2019 je bilo </w:t>
      </w:r>
      <w:r w:rsidR="002C5ED8">
        <w:t xml:space="preserve">razpisanih 39,4 milijona evrov nepovratnih sredstev </w:t>
      </w:r>
      <w:r>
        <w:t xml:space="preserve">v okviru </w:t>
      </w:r>
      <w:r w:rsidR="002C5ED8">
        <w:t xml:space="preserve">treh </w:t>
      </w:r>
      <w:r>
        <w:t>razpis</w:t>
      </w:r>
      <w:r w:rsidR="002C5ED8">
        <w:t>ov -</w:t>
      </w:r>
      <w:r>
        <w:t xml:space="preserve"> za energetsko prenovo stavb v la</w:t>
      </w:r>
      <w:r w:rsidR="002C5ED8">
        <w:t xml:space="preserve">sti in rabi občin, </w:t>
      </w:r>
      <w:r>
        <w:t>energetsk</w:t>
      </w:r>
      <w:r w:rsidR="002C5ED8">
        <w:t>o prenovo</w:t>
      </w:r>
      <w:r>
        <w:t xml:space="preserve"> stavb širšega </w:t>
      </w:r>
      <w:r w:rsidR="002C5ED8">
        <w:t>javnega sektorja v lasti države ter</w:t>
      </w:r>
      <w:r>
        <w:t xml:space="preserve"> za energetsko prenovo stavb ožjega javnega sektorja</w:t>
      </w:r>
      <w:r w:rsidR="002C5ED8">
        <w:t xml:space="preserve">, črpanih </w:t>
      </w:r>
      <w:r>
        <w:t xml:space="preserve">pa </w:t>
      </w:r>
      <w:r w:rsidR="002C5ED8">
        <w:t xml:space="preserve">le </w:t>
      </w:r>
      <w:r>
        <w:t xml:space="preserve">slabih 14 %. Eko sklad je leta 2019 </w:t>
      </w:r>
      <w:r w:rsidR="002C5ED8">
        <w:t>je v</w:t>
      </w:r>
      <w:r>
        <w:t xml:space="preserve"> okviru poziva, namenjenega občinam in ministrstvom za nove naložbe v gradnjo skoraj ničenergijskih stavb splošnega družbenega pomena </w:t>
      </w:r>
      <w:r w:rsidR="002C5ED8">
        <w:t>in</w:t>
      </w:r>
      <w:r>
        <w:t xml:space="preserve"> poziva iz leta 2016, ki je bil nam</w:t>
      </w:r>
      <w:r w:rsidR="002C5ED8">
        <w:t xml:space="preserve">enjen samo lokalnim skupnostim </w:t>
      </w:r>
      <w:r>
        <w:t>za 18 naložb izplača</w:t>
      </w:r>
      <w:r w:rsidR="002C5ED8">
        <w:t>l</w:t>
      </w:r>
      <w:r>
        <w:t xml:space="preserve"> 8,4 milijon</w:t>
      </w:r>
      <w:r w:rsidR="002C5ED8">
        <w:t>a</w:t>
      </w:r>
      <w:r>
        <w:t xml:space="preserve"> evrov nepovratnih sredstev</w:t>
      </w:r>
      <w:r w:rsidR="002C5ED8">
        <w:t>.</w:t>
      </w:r>
      <w:r>
        <w:t xml:space="preserve"> V okviru poziva za izvedbo posameznih ukrepov URE in izrabe OVE v javnem sektorju je bilo leta 2019 za 53 naložb izplačanih skupaj 0,4 milijona evrov. Z energetsko prenovo stavb javnega sektorja je bilo leta 2019 doseženo zmanjšanje rabe energije</w:t>
      </w:r>
      <w:r w:rsidR="002C5ED8">
        <w:t xml:space="preserve"> za</w:t>
      </w:r>
      <w:r>
        <w:t xml:space="preserve"> 11,4 GWh/leto</w:t>
      </w:r>
      <w:r w:rsidR="002C5ED8">
        <w:t>,</w:t>
      </w:r>
      <w:r>
        <w:t xml:space="preserve"> povečanje proizvodnje energije iz OVE</w:t>
      </w:r>
      <w:r w:rsidR="002C5ED8">
        <w:t xml:space="preserve"> za</w:t>
      </w:r>
      <w:r>
        <w:t xml:space="preserve"> 3,3 GWh/leto </w:t>
      </w:r>
      <w:r w:rsidR="002C5ED8">
        <w:t>in zmanjšanje emisije CO</w:t>
      </w:r>
      <w:r w:rsidR="002C5ED8">
        <w:rPr>
          <w:vertAlign w:val="subscript"/>
        </w:rPr>
        <w:t>2</w:t>
      </w:r>
      <w:r w:rsidR="003D478B">
        <w:t xml:space="preserve"> za</w:t>
      </w:r>
      <w:r>
        <w:t xml:space="preserve"> 2,7 kt/leto</w:t>
      </w:r>
      <w:r w:rsidR="003D478B">
        <w:t>.</w:t>
      </w:r>
      <w:r>
        <w:t xml:space="preserve"> S spodbudami Eko sklada za zmanjšanje rabe energije in povečanje proizvodnje energije iz OVE v javnem sektorju je bilo leta 2019 doseženo zmanjšanje rabe energije</w:t>
      </w:r>
      <w:r w:rsidR="003D478B">
        <w:t xml:space="preserve"> za</w:t>
      </w:r>
      <w:r>
        <w:t xml:space="preserve"> 3,6 GWh/leto</w:t>
      </w:r>
      <w:r w:rsidR="003D478B">
        <w:t>,</w:t>
      </w:r>
      <w:r>
        <w:t xml:space="preserve"> povečanje proizvodnje energij</w:t>
      </w:r>
      <w:r w:rsidR="003D478B">
        <w:t>e</w:t>
      </w:r>
      <w:r>
        <w:t xml:space="preserve"> iz OVE</w:t>
      </w:r>
      <w:r w:rsidR="003D478B">
        <w:t xml:space="preserve"> za</w:t>
      </w:r>
      <w:r>
        <w:t xml:space="preserve"> 0,04 GWh/leto </w:t>
      </w:r>
      <w:r w:rsidR="003D478B">
        <w:t>in zmanjšanje emisije CO</w:t>
      </w:r>
      <w:r w:rsidR="003D478B">
        <w:rPr>
          <w:vertAlign w:val="subscript"/>
        </w:rPr>
        <w:t>2</w:t>
      </w:r>
      <w:r>
        <w:t xml:space="preserve"> 0,6 kt/leto</w:t>
      </w:r>
      <w:r w:rsidR="003D478B">
        <w:t>.</w:t>
      </w:r>
    </w:p>
    <w:p w14:paraId="4E1E9746" w14:textId="237DCFFD" w:rsidR="0043224D" w:rsidRDefault="0043224D" w:rsidP="007D6FFB">
      <w:pPr>
        <w:pStyle w:val="Odstavekseznama"/>
        <w:numPr>
          <w:ilvl w:val="0"/>
          <w:numId w:val="13"/>
        </w:numPr>
        <w:spacing w:after="0" w:line="240" w:lineRule="auto"/>
        <w:jc w:val="both"/>
        <w:rPr>
          <w:rFonts w:ascii="Calibri" w:hAnsi="Calibri" w:cs="Calibri"/>
        </w:rPr>
      </w:pPr>
      <w:r>
        <w:rPr>
          <w:rFonts w:ascii="Calibri" w:hAnsi="Calibri" w:cs="Calibri"/>
        </w:rPr>
        <w:t>Eko sklad je</w:t>
      </w:r>
      <w:r w:rsidR="00B12486">
        <w:rPr>
          <w:rFonts w:ascii="Calibri" w:hAnsi="Calibri" w:cs="Calibri"/>
        </w:rPr>
        <w:t xml:space="preserve"> leta 2018</w:t>
      </w:r>
      <w:r>
        <w:rPr>
          <w:rFonts w:ascii="Calibri" w:hAnsi="Calibri" w:cs="Calibri"/>
        </w:rPr>
        <w:t xml:space="preserve"> za financiranje sedmih naložb občin namenil 5,1 milijona evrov povratnih sredstev</w:t>
      </w:r>
      <w:r w:rsidR="00B12486">
        <w:rPr>
          <w:rFonts w:ascii="Calibri" w:hAnsi="Calibri" w:cs="Calibri"/>
        </w:rPr>
        <w:t>, v letu 2019 pa 2,7 milijona evrov za izvajanje 4 naložb.</w:t>
      </w:r>
      <w:r w:rsidR="00B12486" w:rsidRPr="00B12486">
        <w:t xml:space="preserve"> </w:t>
      </w:r>
      <w:r w:rsidR="00B12486">
        <w:t>V letu 2019 je posojila za financiranje projektov celovite energetske prenove javnih stavb razpisala tudi SID banka</w:t>
      </w:r>
      <w:r w:rsidR="005E52F5">
        <w:t xml:space="preserve">, pri čemer je na voljo </w:t>
      </w:r>
      <w:r w:rsidR="00B12486">
        <w:t>okvirno 38,5 milijonov evrov povratnih finančnih sredstev, zagotovljenih iz OP EKP in sredstev banke, upravičenci pa so osebe celotnega javnega sektorja in ponudniki energetskih storitev.</w:t>
      </w:r>
    </w:p>
    <w:p w14:paraId="51203599" w14:textId="2E62093D" w:rsidR="002C2CD9" w:rsidRPr="002C2CD9" w:rsidRDefault="00712CE7" w:rsidP="002C2CD9">
      <w:pPr>
        <w:pStyle w:val="Odstavekseznama"/>
        <w:numPr>
          <w:ilvl w:val="0"/>
          <w:numId w:val="13"/>
        </w:numPr>
        <w:spacing w:after="0" w:line="240" w:lineRule="auto"/>
        <w:jc w:val="both"/>
        <w:rPr>
          <w:rFonts w:ascii="Calibri" w:hAnsi="Calibri" w:cs="Calibri"/>
        </w:rPr>
      </w:pPr>
      <w:r w:rsidRPr="002C2CD9">
        <w:rPr>
          <w:rFonts w:ascii="Calibri" w:hAnsi="Calibri" w:cs="Calibri"/>
        </w:rPr>
        <w:t>V letu 2018 se je z</w:t>
      </w:r>
      <w:r w:rsidR="0043224D" w:rsidRPr="002C2CD9">
        <w:rPr>
          <w:rFonts w:ascii="Calibri" w:hAnsi="Calibri" w:cs="Calibri"/>
        </w:rPr>
        <w:t>aključil projekt Energetske prenove stavb v državni in občinski lasti, ki ga je izvajala Projektna pisarna. Pisarna je v tem letu objavila tri razpise za prenovo stavb občin, stavb širšega javnega sektorja v lasti države in stavb ožjega javnega sektorja</w:t>
      </w:r>
      <w:r w:rsidR="00D755DE" w:rsidRPr="002C2CD9">
        <w:rPr>
          <w:rFonts w:ascii="Calibri" w:hAnsi="Calibri" w:cs="Calibri"/>
        </w:rPr>
        <w:t>, končala dva pilotna projekta in vodila postopek podelitve koncesije za izvedbo projekta EPO za celovito energetsko prenovo določenih objektov MNZ in MZI.</w:t>
      </w:r>
      <w:r w:rsidRPr="002C2CD9">
        <w:rPr>
          <w:rFonts w:ascii="Calibri" w:hAnsi="Calibri" w:cs="Calibri"/>
        </w:rPr>
        <w:t xml:space="preserve"> </w:t>
      </w:r>
      <w:r w:rsidR="002C2CD9" w:rsidRPr="002C2CD9">
        <w:rPr>
          <w:rFonts w:ascii="Calibri" w:hAnsi="Calibri" w:cs="Calibri"/>
        </w:rPr>
        <w:t>V letu 2019</w:t>
      </w:r>
      <w:r w:rsidR="002C2CD9">
        <w:rPr>
          <w:rFonts w:ascii="Calibri" w:hAnsi="Calibri" w:cs="Calibri"/>
        </w:rPr>
        <w:t xml:space="preserve"> je P</w:t>
      </w:r>
      <w:r w:rsidR="002C2CD9">
        <w:t xml:space="preserve">isarna objavila tri razpise za energetsko prenovo stavb občin, stavb širšega javnega sektorja v lasti države in stavb ožjega javnega sektorja. Objavila je poziv k oddaji prijave za sofinanciranje izdelave tehnične in ekonomske dokumentacije za projekte energetske prenove javnih stavb iz sredstev mednarodne tehnične pomoči ELENA (projekt </w:t>
      </w:r>
      <w:proofErr w:type="spellStart"/>
      <w:r w:rsidR="002C2CD9">
        <w:t>GovDER</w:t>
      </w:r>
      <w:proofErr w:type="spellEnd"/>
      <w:r w:rsidR="002C2CD9">
        <w:t>), vodila pripravo in spremljala izvedbo petih pilotnih projektov, prenovila navodila za delo posredniških organov in upravičencev pri ukrepu energetske prenove stavb javnega sektorja ter posodobila evidenco stavb v lasti in uporabi ožjega javnega sektorja (1. 10. 2019 je bilo v evidenco vključenih 447 stavb s skupno tlorisno površino 818.933 m</w:t>
      </w:r>
      <w:r w:rsidR="002C2CD9">
        <w:rPr>
          <w:vertAlign w:val="superscript"/>
        </w:rPr>
        <w:t>2</w:t>
      </w:r>
      <w:r w:rsidR="002C2CD9">
        <w:t>).</w:t>
      </w:r>
    </w:p>
    <w:p w14:paraId="0D7F4445" w14:textId="2CE34149" w:rsidR="00B70D13" w:rsidRDefault="0043224D" w:rsidP="00B70D13">
      <w:pPr>
        <w:spacing w:after="0" w:line="240" w:lineRule="auto"/>
        <w:jc w:val="both"/>
        <w:rPr>
          <w:rFonts w:ascii="Calibri" w:hAnsi="Calibri" w:cs="Calibri"/>
        </w:rPr>
      </w:pPr>
      <w:r w:rsidRPr="002C2CD9">
        <w:rPr>
          <w:rFonts w:ascii="Calibri" w:hAnsi="Calibri" w:cs="Calibri"/>
        </w:rPr>
        <w:t xml:space="preserve">  </w:t>
      </w:r>
    </w:p>
    <w:p w14:paraId="7AE5A13B" w14:textId="5435CD0A" w:rsidR="00D25456" w:rsidRPr="002B24BC" w:rsidRDefault="00D25456" w:rsidP="00D25456">
      <w:pPr>
        <w:spacing w:after="0" w:line="240" w:lineRule="auto"/>
        <w:jc w:val="both"/>
        <w:rPr>
          <w:rFonts w:ascii="Calibri" w:hAnsi="Calibri" w:cs="Calibri"/>
          <w:u w:val="single"/>
        </w:rPr>
      </w:pPr>
      <w:r w:rsidRPr="00F93B5D">
        <w:rPr>
          <w:rFonts w:ascii="Calibri" w:hAnsi="Calibri" w:cs="Calibri"/>
          <w:u w:val="single"/>
        </w:rPr>
        <w:t>Priporočila</w:t>
      </w:r>
      <w:r w:rsidR="00E72C56" w:rsidRPr="00F93B5D">
        <w:rPr>
          <w:rFonts w:ascii="Calibri" w:hAnsi="Calibri" w:cs="Calibri"/>
          <w:u w:val="single"/>
        </w:rPr>
        <w:t>:</w:t>
      </w:r>
    </w:p>
    <w:p w14:paraId="5A197A5B" w14:textId="7CC58789" w:rsidR="00B70D13" w:rsidRDefault="00B70D13" w:rsidP="00B70D13">
      <w:pPr>
        <w:spacing w:after="0" w:line="240" w:lineRule="auto"/>
        <w:jc w:val="both"/>
        <w:rPr>
          <w:rFonts w:ascii="Calibri" w:hAnsi="Calibri" w:cs="Calibri"/>
        </w:rPr>
      </w:pPr>
    </w:p>
    <w:p w14:paraId="115C4ED5" w14:textId="252488B5" w:rsidR="00F129CB" w:rsidRPr="00F129CB" w:rsidRDefault="00E44B3E" w:rsidP="00F129CB">
      <w:pPr>
        <w:autoSpaceDE w:val="0"/>
        <w:autoSpaceDN w:val="0"/>
        <w:adjustRightInd w:val="0"/>
        <w:spacing w:after="0"/>
        <w:jc w:val="both"/>
        <w:rPr>
          <w:rFonts w:eastAsia="Calibri" w:cstheme="minorHAnsi"/>
          <w:lang w:eastAsia="sl-SI"/>
        </w:rPr>
      </w:pPr>
      <w:r w:rsidRPr="00F129CB">
        <w:rPr>
          <w:rFonts w:cstheme="minorHAnsi"/>
        </w:rPr>
        <w:t>Za povečan obseg energetskih prenov stavb je potrebno zagotoviti dodatne finančne vire, kontinuiteto nepovratnih sredstev</w:t>
      </w:r>
      <w:r w:rsidR="000B5729" w:rsidRPr="00F129CB">
        <w:rPr>
          <w:rFonts w:cstheme="minorHAnsi"/>
        </w:rPr>
        <w:t xml:space="preserve"> ter</w:t>
      </w:r>
      <w:r w:rsidRPr="00F129CB">
        <w:rPr>
          <w:rFonts w:cstheme="minorHAnsi"/>
        </w:rPr>
        <w:t xml:space="preserve"> </w:t>
      </w:r>
      <w:r w:rsidR="00E72C56" w:rsidRPr="00F129CB">
        <w:rPr>
          <w:rFonts w:cstheme="minorHAnsi"/>
        </w:rPr>
        <w:t>izboljšati črpanje razpoložljivih sredstev</w:t>
      </w:r>
      <w:r w:rsidR="000B5729" w:rsidRPr="00F129CB">
        <w:rPr>
          <w:rFonts w:cstheme="minorHAnsi"/>
        </w:rPr>
        <w:t>.</w:t>
      </w:r>
      <w:r w:rsidR="00E72C56" w:rsidRPr="00F129CB">
        <w:rPr>
          <w:rFonts w:cstheme="minorHAnsi"/>
        </w:rPr>
        <w:t xml:space="preserve"> </w:t>
      </w:r>
      <w:r w:rsidR="00F129CB" w:rsidRPr="00F129CB">
        <w:rPr>
          <w:rFonts w:eastAsia="Calibri" w:cstheme="minorHAnsi"/>
          <w:lang w:eastAsia="sl-SI"/>
        </w:rPr>
        <w:t>Zapiranje finančne konstrukcije na projektih energetske sanacije je bilo predvideno s spodbujanjem energetskega pogodbeništva. Tekom izvajanja projektov pa se je izkazalo, da so tovrstni projekti manj ekonomsko zanimivi za izvajanje po tem modelu. Zato je potrebno zagotoviti višji delež nepovratnih finančnih sredstev, saj sedanje povečanje stopnje financiranja iz 40 % na 49 % ne reši problema zagotavljanja lastnih sredstev za zapiranje finančne konstrukcije.</w:t>
      </w:r>
    </w:p>
    <w:p w14:paraId="45D82013" w14:textId="77777777" w:rsidR="00525588" w:rsidRDefault="00610AF3" w:rsidP="00F129CB">
      <w:pPr>
        <w:autoSpaceDE w:val="0"/>
        <w:autoSpaceDN w:val="0"/>
        <w:adjustRightInd w:val="0"/>
        <w:spacing w:after="0"/>
        <w:jc w:val="both"/>
        <w:rPr>
          <w:rFonts w:cstheme="minorHAnsi"/>
        </w:rPr>
      </w:pPr>
      <w:r w:rsidRPr="00F129CB">
        <w:rPr>
          <w:rFonts w:cstheme="minorHAnsi"/>
        </w:rPr>
        <w:t xml:space="preserve">Spodbujanje energetske prenove stavb je smiselno razširiti na trajnostne prenove, ki upoštevajo tudi potresno in požarno varnost. </w:t>
      </w:r>
      <w:r w:rsidR="00F129CB" w:rsidRPr="00F129CB">
        <w:rPr>
          <w:rFonts w:cstheme="minorHAnsi"/>
          <w:lang w:eastAsia="sl-SI"/>
        </w:rPr>
        <w:t xml:space="preserve">Spodbujati se mora celovit pristop k projektom, kar pomeni, da je ob izvedbi energetske sanacije potrebno in tudi smiselno izvesti dodatne aktivnosti, kot npr. statično sanacijo objektov, dozidave, prenove notranjosti objektov, in podobno. Zagotoviti se mora sistemsko financiranje teh aktivnosti, saj obseg in vrednost del presegata okvire projekta energetske sanacije. </w:t>
      </w:r>
      <w:r w:rsidRPr="00F129CB">
        <w:rPr>
          <w:rFonts w:cstheme="minorHAnsi"/>
        </w:rPr>
        <w:t xml:space="preserve">Za trajnostno prenovo je potrebno pripraviti podlago, ki bo omogočala vzpostavitev, vzdrževanje in financiranje sistema, usposabljanja itd. </w:t>
      </w:r>
    </w:p>
    <w:p w14:paraId="63EEFE83" w14:textId="0F534D5A" w:rsidR="00F129CB" w:rsidRPr="00F129CB" w:rsidRDefault="00F129CB" w:rsidP="00F129CB">
      <w:pPr>
        <w:autoSpaceDE w:val="0"/>
        <w:autoSpaceDN w:val="0"/>
        <w:adjustRightInd w:val="0"/>
        <w:spacing w:after="0"/>
        <w:jc w:val="both"/>
        <w:rPr>
          <w:rFonts w:eastAsia="Calibri" w:cstheme="minorHAnsi"/>
          <w:lang w:eastAsia="sl-SI"/>
        </w:rPr>
      </w:pPr>
      <w:r w:rsidRPr="00F129CB">
        <w:rPr>
          <w:rFonts w:eastAsia="Calibri" w:cstheme="minorHAnsi"/>
          <w:lang w:eastAsia="sl-SI"/>
        </w:rPr>
        <w:t>Poenostaviti oz. skrajšati se mora administrativne postopke potrjevanja projektov.</w:t>
      </w:r>
    </w:p>
    <w:p w14:paraId="118DFB41" w14:textId="177C8B54" w:rsidR="00610AF3" w:rsidRPr="00133B35" w:rsidRDefault="00610AF3" w:rsidP="00133B35">
      <w:pPr>
        <w:spacing w:after="0" w:line="240" w:lineRule="auto"/>
        <w:jc w:val="both"/>
        <w:rPr>
          <w:rFonts w:ascii="Calibri" w:hAnsi="Calibri" w:cs="Calibri"/>
        </w:rPr>
      </w:pPr>
    </w:p>
    <w:p w14:paraId="12351BD3" w14:textId="77777777" w:rsidR="00FB7E5F" w:rsidRDefault="00FB7E5F" w:rsidP="00FB7E5F">
      <w:pPr>
        <w:spacing w:after="0" w:line="240" w:lineRule="auto"/>
        <w:jc w:val="both"/>
      </w:pPr>
      <w:r>
        <w:lastRenderedPageBreak/>
        <w:t>Za doseganje večjih učinkov programov Eko sklada za gospodinjstva, je potrebno zagotoviti usklajeno, ciljno usmerjeno in intenzivnejše ozaveščanje in informiranje o URE in izrabi OVE v gospodinjstvih.</w:t>
      </w:r>
    </w:p>
    <w:p w14:paraId="6D0A46B3" w14:textId="164883AD" w:rsidR="00531BF8" w:rsidRDefault="00133B35" w:rsidP="00133B35">
      <w:pPr>
        <w:spacing w:after="0" w:line="240" w:lineRule="auto"/>
        <w:jc w:val="both"/>
        <w:rPr>
          <w:rFonts w:ascii="Calibri" w:hAnsi="Calibri" w:cs="Calibri"/>
        </w:rPr>
      </w:pPr>
      <w:r w:rsidRPr="00133B35">
        <w:rPr>
          <w:rFonts w:ascii="Calibri" w:hAnsi="Calibri" w:cs="Calibri"/>
        </w:rPr>
        <w:t>Več napora je potrebno posvetiti hitrejšemu spodbujanju ukrepov URE v gospodinjstvih z nizkimi prihodki, izboljšati vključenost in izvajanje inštrumentov za zmanjševanje energetske revščine,</w:t>
      </w:r>
      <w:r w:rsidR="00FB7E5F" w:rsidRPr="00FB7E5F">
        <w:rPr>
          <w:rFonts w:ascii="Calibri" w:hAnsi="Calibri" w:cs="Calibri"/>
        </w:rPr>
        <w:t xml:space="preserve"> </w:t>
      </w:r>
      <w:r w:rsidR="00FB7E5F">
        <w:rPr>
          <w:rFonts w:ascii="Calibri" w:hAnsi="Calibri" w:cs="Calibri"/>
        </w:rPr>
        <w:t>okrepiti proces priprave projektov energetske prenove javnih, zlasti državnih, stavb,</w:t>
      </w:r>
      <w:r w:rsidRPr="00133B35">
        <w:rPr>
          <w:rFonts w:ascii="Calibri" w:hAnsi="Calibri" w:cs="Calibri"/>
        </w:rPr>
        <w:t xml:space="preserve"> </w:t>
      </w:r>
      <w:r>
        <w:rPr>
          <w:rFonts w:ascii="Calibri" w:hAnsi="Calibri" w:cs="Calibri"/>
        </w:rPr>
        <w:t>povečati obseg energetske prenove stavb kulturne dediščine s pripravo meril za določane upravičenih stroškov za energetsko prenovo in sofinanciranjem,</w:t>
      </w:r>
      <w:r w:rsidR="00E61D60">
        <w:rPr>
          <w:rFonts w:ascii="Calibri" w:hAnsi="Calibri" w:cs="Calibri"/>
        </w:rPr>
        <w:t xml:space="preserve"> razvijati poslovne modele za celovi</w:t>
      </w:r>
      <w:r w:rsidR="005D3D65">
        <w:rPr>
          <w:rFonts w:ascii="Calibri" w:hAnsi="Calibri" w:cs="Calibri"/>
        </w:rPr>
        <w:t>to energetsko prenovo sosesk,</w:t>
      </w:r>
      <w:r>
        <w:rPr>
          <w:rFonts w:ascii="Calibri" w:hAnsi="Calibri" w:cs="Calibri"/>
        </w:rPr>
        <w:t xml:space="preserve"> zagotoviti ustrezne kadre za izvajanje nalog</w:t>
      </w:r>
      <w:r w:rsidR="005D3D65">
        <w:rPr>
          <w:rFonts w:ascii="Calibri" w:hAnsi="Calibri" w:cs="Calibri"/>
        </w:rPr>
        <w:t xml:space="preserve"> ter poenostaviti administrativne postopke pri dodeljevanju spodbud</w:t>
      </w:r>
      <w:r>
        <w:rPr>
          <w:rFonts w:ascii="Calibri" w:hAnsi="Calibri" w:cs="Calibri"/>
        </w:rPr>
        <w:t>.</w:t>
      </w:r>
    </w:p>
    <w:p w14:paraId="44AF56FF" w14:textId="39074A06" w:rsidR="00E72C56" w:rsidRDefault="00E72C56" w:rsidP="00133B35">
      <w:pPr>
        <w:spacing w:after="0" w:line="240" w:lineRule="auto"/>
        <w:jc w:val="both"/>
      </w:pPr>
      <w:r>
        <w:t xml:space="preserve">Za doseganje cilja prenove 3 % skupne tlorisne površine stavb v lasti in rabi osrednje vlade vsako leto, je treba imenovati odgovornega nosilca, ki bi opredelil odgovornosti drugih akterjev za vse aktivnosti, potrebne za doseganje cilja ter vodil evidence stavb v lasti in uporabi ožjega javnega sektorja. </w:t>
      </w:r>
    </w:p>
    <w:p w14:paraId="059D4952" w14:textId="77777777" w:rsidR="00F129CB" w:rsidRDefault="00F129CB" w:rsidP="00133B35">
      <w:pPr>
        <w:spacing w:after="0" w:line="240" w:lineRule="auto"/>
        <w:jc w:val="both"/>
      </w:pPr>
    </w:p>
    <w:p w14:paraId="65D57973" w14:textId="1B02D3FE" w:rsidR="00104ECF" w:rsidRPr="00472C4D" w:rsidRDefault="003825D3" w:rsidP="00C52E4C">
      <w:pPr>
        <w:spacing w:after="0" w:line="240" w:lineRule="auto"/>
        <w:jc w:val="both"/>
        <w:rPr>
          <w:rFonts w:ascii="Calibri" w:hAnsi="Calibri" w:cs="Calibri"/>
          <w:b/>
          <w:bCs/>
        </w:rPr>
      </w:pPr>
      <w:r>
        <w:rPr>
          <w:rFonts w:ascii="Calibri" w:hAnsi="Calibri" w:cs="Calibri"/>
          <w:b/>
          <w:bCs/>
        </w:rPr>
        <w:t>4</w:t>
      </w:r>
      <w:r w:rsidR="00104ECF" w:rsidRPr="00472C4D">
        <w:rPr>
          <w:rFonts w:ascii="Calibri" w:hAnsi="Calibri" w:cs="Calibri"/>
          <w:b/>
          <w:bCs/>
        </w:rPr>
        <w:t>.</w:t>
      </w:r>
      <w:r w:rsidR="00EE70D5" w:rsidRPr="00472C4D">
        <w:rPr>
          <w:rFonts w:ascii="Calibri" w:hAnsi="Calibri" w:cs="Calibri"/>
          <w:b/>
          <w:bCs/>
        </w:rPr>
        <w:t>5</w:t>
      </w:r>
      <w:r w:rsidR="00104ECF" w:rsidRPr="00472C4D">
        <w:rPr>
          <w:rFonts w:ascii="Calibri" w:hAnsi="Calibri" w:cs="Calibri"/>
          <w:b/>
          <w:bCs/>
        </w:rPr>
        <w:t xml:space="preserve"> </w:t>
      </w:r>
      <w:r w:rsidR="00CC1DEB" w:rsidRPr="00472C4D">
        <w:rPr>
          <w:rFonts w:ascii="Calibri" w:hAnsi="Calibri" w:cs="Calibri"/>
          <w:b/>
          <w:bCs/>
        </w:rPr>
        <w:t>Industrija ne</w:t>
      </w:r>
      <w:r w:rsidR="00FD0193">
        <w:rPr>
          <w:rFonts w:ascii="Calibri" w:hAnsi="Calibri" w:cs="Calibri"/>
          <w:b/>
          <w:bCs/>
        </w:rPr>
        <w:t>-</w:t>
      </w:r>
      <w:r w:rsidR="00CC1DEB" w:rsidRPr="00472C4D">
        <w:rPr>
          <w:rFonts w:ascii="Calibri" w:hAnsi="Calibri" w:cs="Calibri"/>
          <w:b/>
          <w:bCs/>
        </w:rPr>
        <w:t>ETS</w:t>
      </w:r>
    </w:p>
    <w:p w14:paraId="00991B78" w14:textId="0CBF718F" w:rsidR="00C46EC7" w:rsidRPr="00472C4D" w:rsidRDefault="00C46EC7" w:rsidP="00C52E4C">
      <w:pPr>
        <w:spacing w:after="0" w:line="240" w:lineRule="auto"/>
        <w:jc w:val="both"/>
        <w:rPr>
          <w:rFonts w:ascii="Calibri" w:hAnsi="Calibri" w:cs="Calibri"/>
        </w:rPr>
      </w:pPr>
    </w:p>
    <w:p w14:paraId="4932F971" w14:textId="084AFB5D" w:rsidR="000F2458" w:rsidRPr="00472C4D" w:rsidRDefault="00056D72" w:rsidP="00C52E4C">
      <w:pPr>
        <w:spacing w:after="0" w:line="240" w:lineRule="auto"/>
        <w:jc w:val="both"/>
        <w:rPr>
          <w:rFonts w:ascii="Calibri" w:hAnsi="Calibri" w:cs="Calibri"/>
        </w:rPr>
      </w:pPr>
      <w:r w:rsidRPr="00472C4D">
        <w:rPr>
          <w:rFonts w:ascii="Calibri" w:hAnsi="Calibri" w:cs="Calibri"/>
        </w:rPr>
        <w:t>Ukrepi zmanjševanja emisij TGP iz sektorja industrija ne</w:t>
      </w:r>
      <w:r w:rsidR="00FD0193">
        <w:rPr>
          <w:rFonts w:ascii="Calibri" w:hAnsi="Calibri" w:cs="Calibri"/>
        </w:rPr>
        <w:t>-</w:t>
      </w:r>
      <w:r w:rsidRPr="00472C4D">
        <w:rPr>
          <w:rFonts w:ascii="Calibri" w:hAnsi="Calibri" w:cs="Calibri"/>
        </w:rPr>
        <w:t xml:space="preserve">ETS </w:t>
      </w:r>
      <w:r w:rsidR="001F6E93" w:rsidRPr="00472C4D">
        <w:rPr>
          <w:rFonts w:ascii="Calibri" w:hAnsi="Calibri" w:cs="Calibri"/>
        </w:rPr>
        <w:t xml:space="preserve">so </w:t>
      </w:r>
      <w:r w:rsidRPr="00472C4D">
        <w:rPr>
          <w:rFonts w:ascii="Calibri" w:hAnsi="Calibri" w:cs="Calibri"/>
        </w:rPr>
        <w:t xml:space="preserve">se </w:t>
      </w:r>
      <w:r w:rsidR="001F6E93" w:rsidRPr="00472C4D">
        <w:rPr>
          <w:rFonts w:ascii="Calibri" w:hAnsi="Calibri" w:cs="Calibri"/>
        </w:rPr>
        <w:t xml:space="preserve">v letu 2018 </w:t>
      </w:r>
      <w:r w:rsidRPr="00472C4D">
        <w:rPr>
          <w:rFonts w:ascii="Calibri" w:hAnsi="Calibri" w:cs="Calibri"/>
        </w:rPr>
        <w:t>izvaja</w:t>
      </w:r>
      <w:r w:rsidR="001F6E93" w:rsidRPr="00472C4D">
        <w:rPr>
          <w:rFonts w:ascii="Calibri" w:hAnsi="Calibri" w:cs="Calibri"/>
        </w:rPr>
        <w:t>li</w:t>
      </w:r>
      <w:r w:rsidRPr="00472C4D">
        <w:rPr>
          <w:rFonts w:ascii="Calibri" w:hAnsi="Calibri" w:cs="Calibri"/>
        </w:rPr>
        <w:t xml:space="preserve"> na treh področjih</w:t>
      </w:r>
      <w:r w:rsidR="001F6E93" w:rsidRPr="00472C4D">
        <w:rPr>
          <w:rFonts w:ascii="Calibri" w:hAnsi="Calibri" w:cs="Calibri"/>
        </w:rPr>
        <w:t>:</w:t>
      </w:r>
    </w:p>
    <w:p w14:paraId="5C721D75" w14:textId="5A8940E3" w:rsidR="00056D72" w:rsidRDefault="00056D72" w:rsidP="001872B5">
      <w:pPr>
        <w:pStyle w:val="Default"/>
        <w:numPr>
          <w:ilvl w:val="0"/>
          <w:numId w:val="8"/>
        </w:numPr>
        <w:jc w:val="both"/>
        <w:rPr>
          <w:rFonts w:ascii="Calibri" w:hAnsi="Calibri" w:cs="Calibri"/>
          <w:sz w:val="22"/>
          <w:szCs w:val="22"/>
          <w:lang w:val="sl-SI"/>
        </w:rPr>
      </w:pPr>
      <w:r w:rsidRPr="00472C4D">
        <w:rPr>
          <w:rFonts w:ascii="Calibri" w:hAnsi="Calibri" w:cs="Calibri"/>
          <w:sz w:val="22"/>
          <w:szCs w:val="22"/>
          <w:lang w:val="sl-SI"/>
        </w:rPr>
        <w:t xml:space="preserve">Prvo zajema spodbujanje ukrepov URE in OVE. V letu 2018 je Eko sklad </w:t>
      </w:r>
      <w:r w:rsidR="002513C1" w:rsidRPr="00472C4D">
        <w:rPr>
          <w:rFonts w:ascii="Calibri" w:hAnsi="Calibri" w:cs="Calibri"/>
          <w:sz w:val="22"/>
          <w:szCs w:val="22"/>
          <w:lang w:val="sl-SI"/>
        </w:rPr>
        <w:t xml:space="preserve">ponudil povratne spodbude za </w:t>
      </w:r>
      <w:r w:rsidR="00CB5A2B" w:rsidRPr="00472C4D">
        <w:rPr>
          <w:rFonts w:ascii="Calibri" w:hAnsi="Calibri" w:cs="Calibri"/>
          <w:sz w:val="22"/>
          <w:szCs w:val="22"/>
          <w:lang w:val="sl-SI"/>
        </w:rPr>
        <w:t xml:space="preserve">ugodno </w:t>
      </w:r>
      <w:r w:rsidR="002513C1" w:rsidRPr="00472C4D">
        <w:rPr>
          <w:rFonts w:ascii="Calibri" w:hAnsi="Calibri" w:cs="Calibri"/>
          <w:sz w:val="22"/>
          <w:szCs w:val="22"/>
          <w:lang w:val="sl-SI"/>
        </w:rPr>
        <w:t xml:space="preserve">kreditiranje </w:t>
      </w:r>
      <w:r w:rsidR="00CB5A2B" w:rsidRPr="00472C4D">
        <w:rPr>
          <w:rFonts w:ascii="Calibri" w:hAnsi="Calibri" w:cs="Calibri"/>
          <w:sz w:val="22"/>
          <w:szCs w:val="22"/>
          <w:lang w:val="sl-SI"/>
        </w:rPr>
        <w:t>novih naložb v učinko</w:t>
      </w:r>
      <w:r w:rsidR="00384ED8" w:rsidRPr="00472C4D">
        <w:rPr>
          <w:rFonts w:ascii="Calibri" w:hAnsi="Calibri" w:cs="Calibri"/>
          <w:sz w:val="22"/>
          <w:szCs w:val="22"/>
          <w:lang w:val="sl-SI"/>
        </w:rPr>
        <w:t>vito</w:t>
      </w:r>
      <w:r w:rsidR="00CB5A2B" w:rsidRPr="00472C4D">
        <w:rPr>
          <w:rFonts w:ascii="Calibri" w:hAnsi="Calibri" w:cs="Calibri"/>
          <w:sz w:val="22"/>
          <w:szCs w:val="22"/>
          <w:lang w:val="sl-SI"/>
        </w:rPr>
        <w:t xml:space="preserve"> rabo energije in obnovljive vire energije za gospodarske družbe in druge pravne os</w:t>
      </w:r>
      <w:r w:rsidR="00384ED8" w:rsidRPr="00472C4D">
        <w:rPr>
          <w:rFonts w:ascii="Calibri" w:hAnsi="Calibri" w:cs="Calibri"/>
          <w:sz w:val="22"/>
          <w:szCs w:val="22"/>
          <w:lang w:val="sl-SI"/>
        </w:rPr>
        <w:t xml:space="preserve">ebe. </w:t>
      </w:r>
      <w:r w:rsidR="000F2458" w:rsidRPr="00472C4D">
        <w:rPr>
          <w:rFonts w:ascii="Calibri" w:hAnsi="Calibri" w:cs="Calibri"/>
          <w:sz w:val="22"/>
          <w:szCs w:val="22"/>
          <w:lang w:val="sl-SI"/>
        </w:rPr>
        <w:t>Nepovratne investicijske spodbude za ukrepe URE in OVE so bil</w:t>
      </w:r>
      <w:r w:rsidR="000A3E49" w:rsidRPr="00472C4D">
        <w:rPr>
          <w:rFonts w:ascii="Calibri" w:hAnsi="Calibri" w:cs="Calibri"/>
          <w:sz w:val="22"/>
          <w:szCs w:val="22"/>
          <w:lang w:val="sl-SI"/>
        </w:rPr>
        <w:t>e</w:t>
      </w:r>
      <w:r w:rsidR="000F2458" w:rsidRPr="00472C4D">
        <w:rPr>
          <w:rFonts w:ascii="Calibri" w:hAnsi="Calibri" w:cs="Calibri"/>
          <w:sz w:val="22"/>
          <w:szCs w:val="22"/>
          <w:lang w:val="sl-SI"/>
        </w:rPr>
        <w:t xml:space="preserve"> na voljo iz</w:t>
      </w:r>
      <w:r w:rsidR="00384ED8" w:rsidRPr="00472C4D">
        <w:rPr>
          <w:rFonts w:ascii="Calibri" w:hAnsi="Calibri" w:cs="Calibri"/>
          <w:sz w:val="22"/>
          <w:szCs w:val="22"/>
          <w:lang w:val="sl-SI"/>
        </w:rPr>
        <w:t xml:space="preserve"> Eko sklada in Kohezijskega sklada, in </w:t>
      </w:r>
      <w:r w:rsidR="000F2458" w:rsidRPr="00472C4D">
        <w:rPr>
          <w:rFonts w:ascii="Calibri" w:hAnsi="Calibri" w:cs="Calibri"/>
          <w:sz w:val="22"/>
          <w:szCs w:val="22"/>
          <w:lang w:val="sl-SI"/>
        </w:rPr>
        <w:t>si</w:t>
      </w:r>
      <w:r w:rsidR="00384ED8" w:rsidRPr="00472C4D">
        <w:rPr>
          <w:rFonts w:ascii="Calibri" w:hAnsi="Calibri" w:cs="Calibri"/>
          <w:sz w:val="22"/>
          <w:szCs w:val="22"/>
          <w:lang w:val="sl-SI"/>
        </w:rPr>
        <w:t xml:space="preserve">cer v višini do 20% priznanih stroškov naložbe (brez DDV). </w:t>
      </w:r>
      <w:r w:rsidR="00354D80">
        <w:rPr>
          <w:rFonts w:ascii="Calibri" w:hAnsi="Calibri" w:cs="Calibri"/>
          <w:sz w:val="22"/>
          <w:szCs w:val="22"/>
          <w:lang w:val="sl-SI"/>
        </w:rPr>
        <w:t xml:space="preserve">Odobrenih je bilo 306.752 evrov nepovratnih sredstev. </w:t>
      </w:r>
      <w:r w:rsidR="008817E8" w:rsidRPr="00472C4D">
        <w:rPr>
          <w:rFonts w:ascii="Calibri" w:hAnsi="Calibri" w:cs="Calibri"/>
          <w:sz w:val="22"/>
          <w:szCs w:val="22"/>
          <w:lang w:val="sl-SI"/>
        </w:rPr>
        <w:t xml:space="preserve">Finančne spodbude so spodbujale izgradnjo novih in rekonstrukcijo obstoječih sistemov za ogrevanje, ki izkoriščajo OVE </w:t>
      </w:r>
      <w:r w:rsidR="000A3E49" w:rsidRPr="00472C4D">
        <w:rPr>
          <w:rFonts w:ascii="Calibri" w:hAnsi="Calibri" w:cs="Calibri"/>
          <w:sz w:val="22"/>
          <w:szCs w:val="22"/>
          <w:lang w:val="sl-SI"/>
        </w:rPr>
        <w:t>(</w:t>
      </w:r>
      <w:r w:rsidR="008817E8" w:rsidRPr="00472C4D">
        <w:rPr>
          <w:rFonts w:ascii="Calibri" w:hAnsi="Calibri" w:cs="Calibri"/>
          <w:sz w:val="22"/>
          <w:szCs w:val="22"/>
          <w:lang w:val="sl-SI"/>
        </w:rPr>
        <w:t>zlasti kotle na lesno biomaso</w:t>
      </w:r>
      <w:r w:rsidR="000A3E49" w:rsidRPr="00472C4D">
        <w:rPr>
          <w:rFonts w:ascii="Calibri" w:hAnsi="Calibri" w:cs="Calibri"/>
          <w:sz w:val="22"/>
          <w:szCs w:val="22"/>
          <w:lang w:val="sl-SI"/>
        </w:rPr>
        <w:t>)</w:t>
      </w:r>
      <w:r w:rsidR="008817E8" w:rsidRPr="00472C4D">
        <w:rPr>
          <w:rFonts w:ascii="Calibri" w:hAnsi="Calibri" w:cs="Calibri"/>
          <w:sz w:val="22"/>
          <w:szCs w:val="22"/>
          <w:lang w:val="sl-SI"/>
        </w:rPr>
        <w:t>, naprave za samooskrbo z električno energijo, izkoriščanje odvečne toplote iz procesov in/ali naprav, vgradnj</w:t>
      </w:r>
      <w:r w:rsidR="000A3E49" w:rsidRPr="00472C4D">
        <w:rPr>
          <w:rFonts w:ascii="Calibri" w:hAnsi="Calibri" w:cs="Calibri"/>
          <w:sz w:val="22"/>
          <w:szCs w:val="22"/>
          <w:lang w:val="sl-SI"/>
        </w:rPr>
        <w:t>o</w:t>
      </w:r>
      <w:r w:rsidR="008817E8" w:rsidRPr="00472C4D">
        <w:rPr>
          <w:rFonts w:ascii="Calibri" w:hAnsi="Calibri" w:cs="Calibri"/>
          <w:sz w:val="22"/>
          <w:szCs w:val="22"/>
          <w:lang w:val="sl-SI"/>
        </w:rPr>
        <w:t xml:space="preserve"> energijsko učinkovitih elektromotorjev, </w:t>
      </w:r>
      <w:r w:rsidR="000A3E49" w:rsidRPr="00472C4D">
        <w:rPr>
          <w:rFonts w:ascii="Calibri" w:hAnsi="Calibri" w:cs="Calibri"/>
          <w:sz w:val="22"/>
          <w:szCs w:val="22"/>
          <w:lang w:val="sl-SI"/>
        </w:rPr>
        <w:t xml:space="preserve">vgradnjo </w:t>
      </w:r>
      <w:r w:rsidR="008817E8" w:rsidRPr="00472C4D">
        <w:rPr>
          <w:rFonts w:ascii="Calibri" w:hAnsi="Calibri" w:cs="Calibri"/>
          <w:sz w:val="22"/>
          <w:szCs w:val="22"/>
          <w:lang w:val="sl-SI"/>
        </w:rPr>
        <w:t>frekvenčnih pretvornikov, uvedb</w:t>
      </w:r>
      <w:r w:rsidR="000A3E49" w:rsidRPr="00472C4D">
        <w:rPr>
          <w:rFonts w:ascii="Calibri" w:hAnsi="Calibri" w:cs="Calibri"/>
          <w:sz w:val="22"/>
          <w:szCs w:val="22"/>
          <w:lang w:val="sl-SI"/>
        </w:rPr>
        <w:t>o</w:t>
      </w:r>
      <w:r w:rsidR="008817E8" w:rsidRPr="00472C4D">
        <w:rPr>
          <w:rFonts w:ascii="Calibri" w:hAnsi="Calibri" w:cs="Calibri"/>
          <w:sz w:val="22"/>
          <w:szCs w:val="22"/>
          <w:lang w:val="sl-SI"/>
        </w:rPr>
        <w:t xml:space="preserve"> sistema upravljanja z energijo, ukrep</w:t>
      </w:r>
      <w:r w:rsidR="000A3E49" w:rsidRPr="00472C4D">
        <w:rPr>
          <w:rFonts w:ascii="Calibri" w:hAnsi="Calibri" w:cs="Calibri"/>
          <w:sz w:val="22"/>
          <w:szCs w:val="22"/>
          <w:lang w:val="sl-SI"/>
        </w:rPr>
        <w:t>e</w:t>
      </w:r>
      <w:r w:rsidR="008817E8" w:rsidRPr="00472C4D">
        <w:rPr>
          <w:rFonts w:ascii="Calibri" w:hAnsi="Calibri" w:cs="Calibri"/>
          <w:sz w:val="22"/>
          <w:szCs w:val="22"/>
          <w:lang w:val="sl-SI"/>
        </w:rPr>
        <w:t xml:space="preserve"> energetske učinkovitosti v poslovnem procesu ter naložbe v naprave za soproizvodnjo električne energije in toplote. </w:t>
      </w:r>
    </w:p>
    <w:p w14:paraId="44496FA0" w14:textId="7C6385F8" w:rsidR="004064B1" w:rsidRDefault="00685DA0" w:rsidP="004064B1">
      <w:pPr>
        <w:pStyle w:val="Default"/>
        <w:ind w:left="360"/>
        <w:jc w:val="both"/>
        <w:rPr>
          <w:rFonts w:asciiTheme="minorHAnsi" w:hAnsiTheme="minorHAnsi" w:cstheme="minorHAnsi"/>
          <w:sz w:val="22"/>
          <w:szCs w:val="22"/>
          <w:lang w:val="sl-SI"/>
        </w:rPr>
      </w:pPr>
      <w:r>
        <w:rPr>
          <w:rFonts w:ascii="Calibri" w:hAnsi="Calibri" w:cs="Calibri"/>
          <w:sz w:val="22"/>
          <w:szCs w:val="22"/>
          <w:lang w:val="sl-SI"/>
        </w:rPr>
        <w:t>V letu 2019 se je z</w:t>
      </w:r>
      <w:r w:rsidR="004064B1">
        <w:rPr>
          <w:rFonts w:ascii="Calibri" w:hAnsi="Calibri" w:cs="Calibri"/>
          <w:sz w:val="22"/>
          <w:szCs w:val="22"/>
          <w:lang w:val="sl-SI"/>
        </w:rPr>
        <w:t>animanje za posojila Eko sklada iz industrije začelo povečevati.</w:t>
      </w:r>
      <w:r w:rsidR="00354D80">
        <w:rPr>
          <w:rFonts w:ascii="Calibri" w:hAnsi="Calibri" w:cs="Calibri"/>
          <w:sz w:val="22"/>
          <w:szCs w:val="22"/>
          <w:lang w:val="sl-SI"/>
        </w:rPr>
        <w:t xml:space="preserve"> </w:t>
      </w:r>
      <w:r w:rsidR="00354D80" w:rsidRPr="00354D80">
        <w:rPr>
          <w:rFonts w:asciiTheme="minorHAnsi" w:hAnsiTheme="minorHAnsi" w:cstheme="minorHAnsi"/>
          <w:sz w:val="22"/>
          <w:szCs w:val="22"/>
        </w:rPr>
        <w:t xml:space="preserve">Leta 2019 je bilo odobrenih 24 kreditov v skupnem znesku 3.613.868 </w:t>
      </w:r>
      <w:r w:rsidR="00354D80">
        <w:rPr>
          <w:rFonts w:asciiTheme="minorHAnsi" w:hAnsiTheme="minorHAnsi" w:cstheme="minorHAnsi"/>
          <w:sz w:val="22"/>
          <w:szCs w:val="22"/>
          <w:lang w:val="sl-SI"/>
        </w:rPr>
        <w:t>evrov</w:t>
      </w:r>
      <w:r w:rsidR="00354D80" w:rsidRPr="00354D80">
        <w:rPr>
          <w:rFonts w:asciiTheme="minorHAnsi" w:hAnsiTheme="minorHAnsi" w:cstheme="minorHAnsi"/>
          <w:sz w:val="22"/>
          <w:szCs w:val="22"/>
        </w:rPr>
        <w:t>, podpisanih pa je bilo 17 kreditnih pogod</w:t>
      </w:r>
      <w:r w:rsidR="00354D80">
        <w:rPr>
          <w:rFonts w:asciiTheme="minorHAnsi" w:hAnsiTheme="minorHAnsi" w:cstheme="minorHAnsi"/>
          <w:sz w:val="22"/>
          <w:szCs w:val="22"/>
        </w:rPr>
        <w:t xml:space="preserve">b v skupnem znesku 3.527.968 </w:t>
      </w:r>
      <w:r w:rsidR="00354D80">
        <w:rPr>
          <w:rFonts w:asciiTheme="minorHAnsi" w:hAnsiTheme="minorHAnsi" w:cstheme="minorHAnsi"/>
          <w:sz w:val="22"/>
          <w:szCs w:val="22"/>
          <w:lang w:val="sl-SI"/>
        </w:rPr>
        <w:t>evrov</w:t>
      </w:r>
      <w:r w:rsidR="00354D80" w:rsidRPr="00354D80">
        <w:rPr>
          <w:rFonts w:asciiTheme="minorHAnsi" w:hAnsiTheme="minorHAnsi" w:cstheme="minorHAnsi"/>
          <w:sz w:val="22"/>
          <w:szCs w:val="22"/>
        </w:rPr>
        <w:t>.</w:t>
      </w:r>
      <w:r w:rsidR="00354D80">
        <w:rPr>
          <w:rFonts w:asciiTheme="minorHAnsi" w:hAnsiTheme="minorHAnsi" w:cstheme="minorHAnsi"/>
          <w:sz w:val="22"/>
          <w:szCs w:val="22"/>
          <w:lang w:val="sl-SI"/>
        </w:rPr>
        <w:t xml:space="preserve"> </w:t>
      </w:r>
      <w:r w:rsidRPr="00685DA0">
        <w:rPr>
          <w:rFonts w:asciiTheme="minorHAnsi" w:hAnsiTheme="minorHAnsi" w:cstheme="minorHAnsi"/>
          <w:sz w:val="22"/>
          <w:szCs w:val="22"/>
          <w:lang w:val="sl-SI"/>
        </w:rPr>
        <w:t>P</w:t>
      </w:r>
      <w:r>
        <w:rPr>
          <w:rFonts w:asciiTheme="minorHAnsi" w:hAnsiTheme="minorHAnsi" w:cstheme="minorHAnsi"/>
          <w:sz w:val="22"/>
          <w:szCs w:val="22"/>
          <w:lang w:val="sl-SI"/>
        </w:rPr>
        <w:t>oleg</w:t>
      </w:r>
      <w:r w:rsidRPr="00685DA0">
        <w:rPr>
          <w:rFonts w:asciiTheme="minorHAnsi" w:hAnsiTheme="minorHAnsi" w:cstheme="minorHAnsi"/>
          <w:sz w:val="22"/>
          <w:szCs w:val="22"/>
        </w:rPr>
        <w:t xml:space="preserve"> Eko sklada </w:t>
      </w:r>
      <w:r w:rsidRPr="00685DA0">
        <w:rPr>
          <w:rFonts w:asciiTheme="minorHAnsi" w:hAnsiTheme="minorHAnsi" w:cstheme="minorHAnsi"/>
          <w:sz w:val="22"/>
          <w:szCs w:val="22"/>
          <w:lang w:val="sl-SI"/>
        </w:rPr>
        <w:t>je p</w:t>
      </w:r>
      <w:r w:rsidRPr="00685DA0">
        <w:rPr>
          <w:rFonts w:asciiTheme="minorHAnsi" w:hAnsiTheme="minorHAnsi" w:cstheme="minorHAnsi"/>
          <w:sz w:val="22"/>
          <w:szCs w:val="22"/>
        </w:rPr>
        <w:t xml:space="preserve">ovratna sredstva preko kreditov podjetjem v letu 2019 začela ponujati tudi SID banka v okviru različnih programov in </w:t>
      </w:r>
      <w:r w:rsidRPr="00C245D5">
        <w:rPr>
          <w:rFonts w:asciiTheme="minorHAnsi" w:hAnsiTheme="minorHAnsi" w:cstheme="minorHAnsi"/>
          <w:sz w:val="22"/>
          <w:szCs w:val="22"/>
        </w:rPr>
        <w:t>preko Sklada skladov</w:t>
      </w:r>
      <w:r w:rsidRPr="00C245D5">
        <w:rPr>
          <w:rFonts w:asciiTheme="minorHAnsi" w:hAnsiTheme="minorHAnsi" w:cstheme="minorHAnsi"/>
          <w:sz w:val="22"/>
          <w:szCs w:val="22"/>
          <w:lang w:val="sl-SI"/>
        </w:rPr>
        <w:t>. Tudi v letu 2019 so bila preko Eko sklada na voljo nepovratna sredstva</w:t>
      </w:r>
      <w:r w:rsidR="00C245D5" w:rsidRPr="00C245D5">
        <w:rPr>
          <w:rFonts w:asciiTheme="minorHAnsi" w:hAnsiTheme="minorHAnsi" w:cstheme="minorHAnsi"/>
          <w:sz w:val="22"/>
          <w:szCs w:val="22"/>
        </w:rPr>
        <w:t xml:space="preserve"> in kredit s subvencionirano obrestno mero podjetjem za nove naložbe v učinkovito rabo in obnovljive vire energije</w:t>
      </w:r>
      <w:r w:rsidRPr="00C245D5">
        <w:rPr>
          <w:rFonts w:asciiTheme="minorHAnsi" w:hAnsiTheme="minorHAnsi" w:cstheme="minorHAnsi"/>
          <w:sz w:val="22"/>
          <w:szCs w:val="22"/>
          <w:lang w:val="sl-SI"/>
        </w:rPr>
        <w:t xml:space="preserve">, in sicer je bilo </w:t>
      </w:r>
      <w:r w:rsidRPr="00C245D5">
        <w:rPr>
          <w:rFonts w:asciiTheme="minorHAnsi" w:hAnsiTheme="minorHAnsi" w:cstheme="minorHAnsi"/>
          <w:sz w:val="22"/>
          <w:szCs w:val="22"/>
        </w:rPr>
        <w:t>za 137 projektov izplačanih 1,9 mil</w:t>
      </w:r>
      <w:r w:rsidR="00C245D5" w:rsidRPr="00C245D5">
        <w:rPr>
          <w:rFonts w:asciiTheme="minorHAnsi" w:hAnsiTheme="minorHAnsi" w:cstheme="minorHAnsi"/>
          <w:sz w:val="22"/>
          <w:szCs w:val="22"/>
        </w:rPr>
        <w:t>ijona evrov</w:t>
      </w:r>
      <w:r w:rsidR="00C245D5" w:rsidRPr="00C245D5">
        <w:rPr>
          <w:rFonts w:asciiTheme="minorHAnsi" w:hAnsiTheme="minorHAnsi" w:cstheme="minorHAnsi"/>
          <w:sz w:val="22"/>
          <w:szCs w:val="22"/>
          <w:lang w:val="sl-SI"/>
        </w:rPr>
        <w:t>.</w:t>
      </w:r>
      <w:r w:rsidRPr="00C245D5">
        <w:rPr>
          <w:rFonts w:asciiTheme="minorHAnsi" w:hAnsiTheme="minorHAnsi" w:cstheme="minorHAnsi"/>
          <w:sz w:val="22"/>
          <w:szCs w:val="22"/>
          <w:lang w:val="sl-SI"/>
        </w:rPr>
        <w:t xml:space="preserve"> </w:t>
      </w:r>
    </w:p>
    <w:p w14:paraId="11176C2A" w14:textId="1DEA02E1" w:rsidR="00C245D5" w:rsidRPr="00C245D5" w:rsidRDefault="00C245D5" w:rsidP="00C245D5">
      <w:pPr>
        <w:pStyle w:val="Default"/>
        <w:ind w:left="360"/>
        <w:jc w:val="both"/>
        <w:rPr>
          <w:rFonts w:asciiTheme="minorHAnsi" w:hAnsiTheme="minorHAnsi" w:cstheme="minorHAnsi"/>
          <w:sz w:val="22"/>
          <w:szCs w:val="22"/>
          <w:lang w:val="sl-SI"/>
        </w:rPr>
      </w:pPr>
      <w:r w:rsidRPr="00C245D5">
        <w:rPr>
          <w:rFonts w:asciiTheme="minorHAnsi" w:hAnsiTheme="minorHAnsi" w:cstheme="minorHAnsi"/>
          <w:sz w:val="22"/>
          <w:szCs w:val="22"/>
        </w:rPr>
        <w:t xml:space="preserve">Z izvedbo ukrepov URE in izrabe OVE, ki so bili podprti z nepovratnimi sredstvi Eko sklada, </w:t>
      </w:r>
      <w:r w:rsidRPr="00C245D5">
        <w:rPr>
          <w:rFonts w:asciiTheme="minorHAnsi" w:hAnsiTheme="minorHAnsi" w:cstheme="minorHAnsi"/>
          <w:sz w:val="22"/>
          <w:szCs w:val="22"/>
          <w:lang w:val="sl-SI"/>
        </w:rPr>
        <w:t xml:space="preserve">se </w:t>
      </w:r>
      <w:r w:rsidRPr="00C245D5">
        <w:rPr>
          <w:rFonts w:asciiTheme="minorHAnsi" w:hAnsiTheme="minorHAnsi" w:cstheme="minorHAnsi"/>
          <w:sz w:val="22"/>
          <w:szCs w:val="22"/>
        </w:rPr>
        <w:t>je leta 2019 zmanjša</w:t>
      </w:r>
      <w:r w:rsidRPr="00C245D5">
        <w:rPr>
          <w:rFonts w:asciiTheme="minorHAnsi" w:hAnsiTheme="minorHAnsi" w:cstheme="minorHAnsi"/>
          <w:sz w:val="22"/>
          <w:szCs w:val="22"/>
          <w:lang w:val="sl-SI"/>
        </w:rPr>
        <w:t>la</w:t>
      </w:r>
      <w:r w:rsidRPr="00C245D5">
        <w:rPr>
          <w:rFonts w:asciiTheme="minorHAnsi" w:hAnsiTheme="minorHAnsi" w:cstheme="minorHAnsi"/>
          <w:sz w:val="22"/>
          <w:szCs w:val="22"/>
        </w:rPr>
        <w:t xml:space="preserve"> rabe energije</w:t>
      </w:r>
      <w:r w:rsidRPr="00C245D5">
        <w:rPr>
          <w:rFonts w:asciiTheme="minorHAnsi" w:hAnsiTheme="minorHAnsi" w:cstheme="minorHAnsi"/>
          <w:sz w:val="22"/>
          <w:szCs w:val="22"/>
          <w:lang w:val="sl-SI"/>
        </w:rPr>
        <w:t xml:space="preserve"> za</w:t>
      </w:r>
      <w:r w:rsidRPr="00C245D5">
        <w:rPr>
          <w:rFonts w:asciiTheme="minorHAnsi" w:hAnsiTheme="minorHAnsi" w:cstheme="minorHAnsi"/>
          <w:sz w:val="22"/>
          <w:szCs w:val="22"/>
        </w:rPr>
        <w:t xml:space="preserve"> 6,6 GWh/leto</w:t>
      </w:r>
      <w:r w:rsidRPr="00C245D5">
        <w:rPr>
          <w:rFonts w:asciiTheme="minorHAnsi" w:hAnsiTheme="minorHAnsi" w:cstheme="minorHAnsi"/>
          <w:sz w:val="22"/>
          <w:szCs w:val="22"/>
          <w:lang w:val="sl-SI"/>
        </w:rPr>
        <w:t xml:space="preserve">, </w:t>
      </w:r>
      <w:r w:rsidRPr="00C245D5">
        <w:rPr>
          <w:rFonts w:asciiTheme="minorHAnsi" w:hAnsiTheme="minorHAnsi" w:cstheme="minorHAnsi"/>
          <w:sz w:val="22"/>
          <w:szCs w:val="22"/>
        </w:rPr>
        <w:t>poveča</w:t>
      </w:r>
      <w:r w:rsidRPr="00C245D5">
        <w:rPr>
          <w:rFonts w:asciiTheme="minorHAnsi" w:hAnsiTheme="minorHAnsi" w:cstheme="minorHAnsi"/>
          <w:sz w:val="22"/>
          <w:szCs w:val="22"/>
          <w:lang w:val="sl-SI"/>
        </w:rPr>
        <w:t>la</w:t>
      </w:r>
      <w:r w:rsidRPr="00C245D5">
        <w:rPr>
          <w:rFonts w:asciiTheme="minorHAnsi" w:hAnsiTheme="minorHAnsi" w:cstheme="minorHAnsi"/>
          <w:sz w:val="22"/>
          <w:szCs w:val="22"/>
        </w:rPr>
        <w:t xml:space="preserve"> proizvodnje energije iz OVE</w:t>
      </w:r>
      <w:r w:rsidRPr="00C245D5">
        <w:rPr>
          <w:rFonts w:asciiTheme="minorHAnsi" w:hAnsiTheme="minorHAnsi" w:cstheme="minorHAnsi"/>
          <w:sz w:val="22"/>
          <w:szCs w:val="22"/>
          <w:lang w:val="sl-SI"/>
        </w:rPr>
        <w:t xml:space="preserve"> za</w:t>
      </w:r>
      <w:r w:rsidRPr="00C245D5">
        <w:rPr>
          <w:rFonts w:asciiTheme="minorHAnsi" w:hAnsiTheme="minorHAnsi" w:cstheme="minorHAnsi"/>
          <w:sz w:val="22"/>
          <w:szCs w:val="22"/>
        </w:rPr>
        <w:t xml:space="preserve"> 2,7 GWh/leto</w:t>
      </w:r>
      <w:r w:rsidRPr="00C245D5">
        <w:rPr>
          <w:rFonts w:asciiTheme="minorHAnsi" w:hAnsiTheme="minorHAnsi" w:cstheme="minorHAnsi"/>
          <w:sz w:val="22"/>
          <w:szCs w:val="22"/>
          <w:lang w:val="sl-SI"/>
        </w:rPr>
        <w:t xml:space="preserve"> in</w:t>
      </w:r>
      <w:r w:rsidRPr="00C245D5">
        <w:rPr>
          <w:rFonts w:asciiTheme="minorHAnsi" w:hAnsiTheme="minorHAnsi" w:cstheme="minorHAnsi"/>
          <w:sz w:val="22"/>
          <w:szCs w:val="22"/>
        </w:rPr>
        <w:t xml:space="preserve"> zmanjša</w:t>
      </w:r>
      <w:r w:rsidRPr="00C245D5">
        <w:rPr>
          <w:rFonts w:asciiTheme="minorHAnsi" w:hAnsiTheme="minorHAnsi" w:cstheme="minorHAnsi"/>
          <w:sz w:val="22"/>
          <w:szCs w:val="22"/>
          <w:lang w:val="sl-SI"/>
        </w:rPr>
        <w:t>le</w:t>
      </w:r>
      <w:r w:rsidRPr="00C245D5">
        <w:rPr>
          <w:rFonts w:asciiTheme="minorHAnsi" w:hAnsiTheme="minorHAnsi" w:cstheme="minorHAnsi"/>
          <w:sz w:val="22"/>
          <w:szCs w:val="22"/>
        </w:rPr>
        <w:t xml:space="preserve"> emisije CO</w:t>
      </w:r>
      <w:r w:rsidRPr="00C245D5">
        <w:rPr>
          <w:rFonts w:asciiTheme="minorHAnsi" w:hAnsiTheme="minorHAnsi" w:cstheme="minorHAnsi"/>
          <w:sz w:val="22"/>
          <w:szCs w:val="22"/>
          <w:vertAlign w:val="subscript"/>
          <w:lang w:val="sl-SI"/>
        </w:rPr>
        <w:t>2</w:t>
      </w:r>
      <w:r w:rsidRPr="00C245D5">
        <w:rPr>
          <w:rFonts w:asciiTheme="minorHAnsi" w:hAnsiTheme="minorHAnsi" w:cstheme="minorHAnsi"/>
          <w:sz w:val="22"/>
          <w:szCs w:val="22"/>
          <w:lang w:val="sl-SI"/>
        </w:rPr>
        <w:t xml:space="preserve"> za</w:t>
      </w:r>
      <w:r w:rsidRPr="00C245D5">
        <w:rPr>
          <w:rFonts w:asciiTheme="minorHAnsi" w:hAnsiTheme="minorHAnsi" w:cstheme="minorHAnsi"/>
          <w:sz w:val="22"/>
          <w:szCs w:val="22"/>
        </w:rPr>
        <w:t xml:space="preserve"> 2,4 kt/leto</w:t>
      </w:r>
      <w:r w:rsidRPr="00C245D5">
        <w:rPr>
          <w:rFonts w:asciiTheme="minorHAnsi" w:hAnsiTheme="minorHAnsi" w:cstheme="minorHAnsi"/>
          <w:sz w:val="22"/>
          <w:szCs w:val="22"/>
          <w:lang w:val="sl-SI"/>
        </w:rPr>
        <w:t>.</w:t>
      </w:r>
    </w:p>
    <w:p w14:paraId="276FFA11" w14:textId="1D603D35" w:rsidR="002E2ECD" w:rsidRDefault="00005282" w:rsidP="008817E8">
      <w:pPr>
        <w:pStyle w:val="Default"/>
        <w:numPr>
          <w:ilvl w:val="0"/>
          <w:numId w:val="8"/>
        </w:numPr>
        <w:jc w:val="both"/>
        <w:rPr>
          <w:rFonts w:ascii="Calibri" w:hAnsi="Calibri" w:cs="Calibri"/>
          <w:sz w:val="22"/>
          <w:szCs w:val="22"/>
          <w:lang w:val="sl-SI"/>
        </w:rPr>
      </w:pPr>
      <w:r w:rsidRPr="00472C4D">
        <w:rPr>
          <w:rFonts w:ascii="Calibri" w:hAnsi="Calibri" w:cs="Calibri"/>
          <w:sz w:val="22"/>
          <w:szCs w:val="22"/>
          <w:lang w:val="sl-SI"/>
        </w:rPr>
        <w:t xml:space="preserve">Drugo področje spodbuja uvajanje sistemov za upravljanje energije. </w:t>
      </w:r>
      <w:r w:rsidR="00685DA0">
        <w:rPr>
          <w:rFonts w:ascii="Calibri" w:hAnsi="Calibri" w:cs="Calibri"/>
          <w:sz w:val="22"/>
          <w:szCs w:val="22"/>
          <w:lang w:val="sl-SI"/>
        </w:rPr>
        <w:t xml:space="preserve">Energetski pregledi </w:t>
      </w:r>
      <w:r w:rsidR="004945AF">
        <w:rPr>
          <w:rFonts w:ascii="Calibri" w:hAnsi="Calibri" w:cs="Calibri"/>
          <w:sz w:val="22"/>
          <w:szCs w:val="22"/>
          <w:lang w:val="sl-SI"/>
        </w:rPr>
        <w:t>za velika industrijska podjetja so obvezni po EZ-1. Prvič so morali biti izvedeni do konca leta 2017, potem pa na vsaka štiri leta. E</w:t>
      </w:r>
      <w:r w:rsidR="004945AF" w:rsidRPr="00472C4D">
        <w:rPr>
          <w:rFonts w:ascii="Calibri" w:hAnsi="Calibri" w:cs="Calibri"/>
          <w:sz w:val="22"/>
          <w:szCs w:val="22"/>
          <w:lang w:val="sl-SI"/>
        </w:rPr>
        <w:t xml:space="preserve">nergetske preglede v malih in srednjih podjetjih </w:t>
      </w:r>
      <w:r w:rsidR="004945AF">
        <w:rPr>
          <w:rFonts w:ascii="Calibri" w:hAnsi="Calibri" w:cs="Calibri"/>
          <w:sz w:val="22"/>
          <w:szCs w:val="22"/>
          <w:lang w:val="sl-SI"/>
        </w:rPr>
        <w:t xml:space="preserve">je </w:t>
      </w:r>
      <w:r w:rsidRPr="00472C4D">
        <w:rPr>
          <w:rFonts w:ascii="Calibri" w:hAnsi="Calibri" w:cs="Calibri"/>
          <w:sz w:val="22"/>
          <w:szCs w:val="22"/>
          <w:lang w:val="sl-SI"/>
        </w:rPr>
        <w:t xml:space="preserve">Eko sklad </w:t>
      </w:r>
      <w:r w:rsidR="002E2ECD">
        <w:rPr>
          <w:rFonts w:ascii="Calibri" w:hAnsi="Calibri" w:cs="Calibri"/>
          <w:sz w:val="22"/>
          <w:szCs w:val="22"/>
          <w:lang w:val="sl-SI"/>
        </w:rPr>
        <w:t>v letih</w:t>
      </w:r>
      <w:r w:rsidR="00F40656">
        <w:rPr>
          <w:rFonts w:ascii="Calibri" w:hAnsi="Calibri" w:cs="Calibri"/>
          <w:sz w:val="22"/>
          <w:szCs w:val="22"/>
          <w:lang w:val="sl-SI"/>
        </w:rPr>
        <w:t xml:space="preserve"> 2018</w:t>
      </w:r>
      <w:r w:rsidR="002E2ECD">
        <w:rPr>
          <w:rFonts w:ascii="Calibri" w:hAnsi="Calibri" w:cs="Calibri"/>
          <w:sz w:val="22"/>
          <w:szCs w:val="22"/>
          <w:lang w:val="sl-SI"/>
        </w:rPr>
        <w:t xml:space="preserve"> in 2019</w:t>
      </w:r>
      <w:r w:rsidR="00F40656">
        <w:rPr>
          <w:rFonts w:ascii="Calibri" w:hAnsi="Calibri" w:cs="Calibri"/>
          <w:sz w:val="22"/>
          <w:szCs w:val="22"/>
          <w:lang w:val="sl-SI"/>
        </w:rPr>
        <w:t xml:space="preserve"> </w:t>
      </w:r>
      <w:r w:rsidR="004945AF">
        <w:rPr>
          <w:rFonts w:ascii="Calibri" w:hAnsi="Calibri" w:cs="Calibri"/>
          <w:sz w:val="22"/>
          <w:szCs w:val="22"/>
          <w:lang w:val="sl-SI"/>
        </w:rPr>
        <w:t xml:space="preserve">spodbudil </w:t>
      </w:r>
      <w:r w:rsidR="00B65EED" w:rsidRPr="00472C4D">
        <w:rPr>
          <w:rFonts w:ascii="Calibri" w:hAnsi="Calibri" w:cs="Calibri"/>
          <w:sz w:val="22"/>
          <w:szCs w:val="22"/>
          <w:lang w:val="sl-SI"/>
        </w:rPr>
        <w:t>s</w:t>
      </w:r>
      <w:r w:rsidRPr="00472C4D">
        <w:rPr>
          <w:rFonts w:ascii="Calibri" w:hAnsi="Calibri" w:cs="Calibri"/>
          <w:sz w:val="22"/>
          <w:szCs w:val="22"/>
          <w:lang w:val="sl-SI"/>
        </w:rPr>
        <w:t xml:space="preserve"> 50</w:t>
      </w:r>
      <w:r w:rsidR="007555F2">
        <w:rPr>
          <w:rFonts w:ascii="Calibri" w:hAnsi="Calibri" w:cs="Calibri"/>
          <w:sz w:val="22"/>
          <w:szCs w:val="22"/>
          <w:lang w:val="sl-SI"/>
        </w:rPr>
        <w:t xml:space="preserve"> </w:t>
      </w:r>
      <w:r w:rsidRPr="00472C4D">
        <w:rPr>
          <w:rFonts w:ascii="Calibri" w:hAnsi="Calibri" w:cs="Calibri"/>
          <w:sz w:val="22"/>
          <w:szCs w:val="22"/>
          <w:lang w:val="sl-SI"/>
        </w:rPr>
        <w:t>% nepovratne finančne pomoči</w:t>
      </w:r>
      <w:r w:rsidR="004945AF">
        <w:rPr>
          <w:rFonts w:ascii="Calibri" w:hAnsi="Calibri" w:cs="Calibri"/>
          <w:sz w:val="22"/>
          <w:szCs w:val="22"/>
          <w:lang w:val="sl-SI"/>
        </w:rPr>
        <w:t>.</w:t>
      </w:r>
      <w:r w:rsidR="002E2ECD">
        <w:rPr>
          <w:rFonts w:ascii="Calibri" w:hAnsi="Calibri" w:cs="Calibri"/>
          <w:sz w:val="22"/>
          <w:szCs w:val="22"/>
          <w:lang w:val="sl-SI"/>
        </w:rPr>
        <w:t xml:space="preserve"> V letu 2018 je bilo za 9 izvedenih pregledov izplačanih 46.063 evrov, v letu 2019 pa za 8 pregledov izplačanih 35.528 evrov.</w:t>
      </w:r>
      <w:r w:rsidR="002E6925" w:rsidRPr="00472C4D">
        <w:rPr>
          <w:rFonts w:ascii="Calibri" w:hAnsi="Calibri" w:cs="Calibri"/>
          <w:sz w:val="22"/>
          <w:szCs w:val="22"/>
          <w:lang w:val="sl-SI"/>
        </w:rPr>
        <w:t xml:space="preserve"> </w:t>
      </w:r>
    </w:p>
    <w:p w14:paraId="25BA6D2B" w14:textId="0DD938C4" w:rsidR="001872B5" w:rsidRDefault="004945AF" w:rsidP="002E2ECD">
      <w:pPr>
        <w:pStyle w:val="Default"/>
        <w:ind w:left="360"/>
        <w:jc w:val="both"/>
        <w:rPr>
          <w:rFonts w:ascii="Calibri" w:hAnsi="Calibri" w:cs="Calibri"/>
          <w:sz w:val="22"/>
          <w:szCs w:val="22"/>
          <w:lang w:val="sl-SI"/>
        </w:rPr>
      </w:pPr>
      <w:r>
        <w:rPr>
          <w:rFonts w:ascii="Calibri" w:hAnsi="Calibri" w:cs="Calibri"/>
          <w:sz w:val="22"/>
          <w:szCs w:val="22"/>
          <w:lang w:val="sl-SI"/>
        </w:rPr>
        <w:t xml:space="preserve">Izvedba energetskih pregledov, podprtih z nepovratnimi sredstvi Eko sklada, </w:t>
      </w:r>
      <w:r w:rsidR="002E6925" w:rsidRPr="00472C4D">
        <w:rPr>
          <w:rFonts w:ascii="Calibri" w:hAnsi="Calibri" w:cs="Calibri"/>
          <w:sz w:val="22"/>
          <w:szCs w:val="22"/>
          <w:lang w:val="sl-SI"/>
        </w:rPr>
        <w:t xml:space="preserve">je </w:t>
      </w:r>
      <w:r>
        <w:rPr>
          <w:rFonts w:ascii="Calibri" w:hAnsi="Calibri" w:cs="Calibri"/>
          <w:sz w:val="22"/>
          <w:szCs w:val="22"/>
          <w:lang w:val="sl-SI"/>
        </w:rPr>
        <w:t>v letu 2018 doprinesla</w:t>
      </w:r>
      <w:r w:rsidR="002E6925" w:rsidRPr="00472C4D">
        <w:rPr>
          <w:rFonts w:ascii="Calibri" w:hAnsi="Calibri" w:cs="Calibri"/>
          <w:sz w:val="22"/>
          <w:szCs w:val="22"/>
          <w:lang w:val="sl-SI"/>
        </w:rPr>
        <w:t xml:space="preserve"> 7,8 GWh/leto zmanjšan</w:t>
      </w:r>
      <w:r>
        <w:rPr>
          <w:rFonts w:ascii="Calibri" w:hAnsi="Calibri" w:cs="Calibri"/>
          <w:sz w:val="22"/>
          <w:szCs w:val="22"/>
          <w:lang w:val="sl-SI"/>
        </w:rPr>
        <w:t>j</w:t>
      </w:r>
      <w:r w:rsidR="002E6925" w:rsidRPr="00472C4D">
        <w:rPr>
          <w:rFonts w:ascii="Calibri" w:hAnsi="Calibri" w:cs="Calibri"/>
          <w:sz w:val="22"/>
          <w:szCs w:val="22"/>
          <w:lang w:val="sl-SI"/>
        </w:rPr>
        <w:t>e rabe en</w:t>
      </w:r>
      <w:r>
        <w:rPr>
          <w:rFonts w:ascii="Calibri" w:hAnsi="Calibri" w:cs="Calibri"/>
          <w:sz w:val="22"/>
          <w:szCs w:val="22"/>
          <w:lang w:val="sl-SI"/>
        </w:rPr>
        <w:t>ergije in 1,6 kt/leto zmanjšanje</w:t>
      </w:r>
      <w:r w:rsidR="002E6925" w:rsidRPr="00472C4D">
        <w:rPr>
          <w:rFonts w:ascii="Calibri" w:hAnsi="Calibri" w:cs="Calibri"/>
          <w:sz w:val="22"/>
          <w:szCs w:val="22"/>
          <w:lang w:val="sl-SI"/>
        </w:rPr>
        <w:t xml:space="preserve"> emisij</w:t>
      </w:r>
      <w:r>
        <w:rPr>
          <w:rFonts w:ascii="Calibri" w:hAnsi="Calibri" w:cs="Calibri"/>
          <w:sz w:val="22"/>
          <w:szCs w:val="22"/>
          <w:lang w:val="sl-SI"/>
        </w:rPr>
        <w:t>e</w:t>
      </w:r>
      <w:r w:rsidR="002E6925" w:rsidRPr="00472C4D">
        <w:rPr>
          <w:rFonts w:ascii="Calibri" w:hAnsi="Calibri" w:cs="Calibri"/>
          <w:sz w:val="22"/>
          <w:szCs w:val="22"/>
          <w:lang w:val="sl-SI"/>
        </w:rPr>
        <w:t xml:space="preserve"> CO</w:t>
      </w:r>
      <w:r w:rsidR="002E6925" w:rsidRPr="00472C4D">
        <w:rPr>
          <w:rFonts w:ascii="Calibri" w:hAnsi="Calibri" w:cs="Calibri"/>
          <w:sz w:val="22"/>
          <w:szCs w:val="22"/>
          <w:vertAlign w:val="subscript"/>
          <w:lang w:val="sl-SI"/>
        </w:rPr>
        <w:t>2</w:t>
      </w:r>
      <w:r w:rsidR="002E6925" w:rsidRPr="00472C4D">
        <w:rPr>
          <w:rFonts w:ascii="Calibri" w:hAnsi="Calibri" w:cs="Calibri"/>
          <w:sz w:val="22"/>
          <w:szCs w:val="22"/>
          <w:lang w:val="sl-SI"/>
        </w:rPr>
        <w:t>.</w:t>
      </w:r>
      <w:r w:rsidR="00F40656">
        <w:rPr>
          <w:rFonts w:ascii="Calibri" w:hAnsi="Calibri" w:cs="Calibri"/>
          <w:sz w:val="22"/>
          <w:szCs w:val="22"/>
          <w:lang w:val="sl-SI"/>
        </w:rPr>
        <w:t xml:space="preserve"> </w:t>
      </w:r>
      <w:r w:rsidR="007D4411">
        <w:rPr>
          <w:rFonts w:ascii="Calibri" w:hAnsi="Calibri" w:cs="Calibri"/>
          <w:sz w:val="22"/>
          <w:szCs w:val="22"/>
          <w:lang w:val="sl-SI"/>
        </w:rPr>
        <w:t>V letu 2019 pa za 1,3</w:t>
      </w:r>
      <w:r w:rsidR="002E6925" w:rsidRPr="00472C4D">
        <w:rPr>
          <w:rFonts w:ascii="Calibri" w:hAnsi="Calibri" w:cs="Calibri"/>
          <w:sz w:val="22"/>
          <w:szCs w:val="22"/>
          <w:lang w:val="sl-SI"/>
        </w:rPr>
        <w:t xml:space="preserve"> </w:t>
      </w:r>
      <w:r w:rsidR="00005282" w:rsidRPr="00472C4D">
        <w:rPr>
          <w:rFonts w:ascii="Calibri" w:hAnsi="Calibri" w:cs="Calibri"/>
          <w:sz w:val="22"/>
          <w:szCs w:val="22"/>
          <w:lang w:val="sl-SI"/>
        </w:rPr>
        <w:t xml:space="preserve"> </w:t>
      </w:r>
      <w:r w:rsidR="007D4411" w:rsidRPr="00472C4D">
        <w:rPr>
          <w:rFonts w:ascii="Calibri" w:hAnsi="Calibri" w:cs="Calibri"/>
          <w:sz w:val="22"/>
          <w:szCs w:val="22"/>
          <w:lang w:val="sl-SI"/>
        </w:rPr>
        <w:t>GWh/leto zmanjšan</w:t>
      </w:r>
      <w:r w:rsidR="007D4411">
        <w:rPr>
          <w:rFonts w:ascii="Calibri" w:hAnsi="Calibri" w:cs="Calibri"/>
          <w:sz w:val="22"/>
          <w:szCs w:val="22"/>
          <w:lang w:val="sl-SI"/>
        </w:rPr>
        <w:t>j</w:t>
      </w:r>
      <w:r w:rsidR="007D4411" w:rsidRPr="00472C4D">
        <w:rPr>
          <w:rFonts w:ascii="Calibri" w:hAnsi="Calibri" w:cs="Calibri"/>
          <w:sz w:val="22"/>
          <w:szCs w:val="22"/>
          <w:lang w:val="sl-SI"/>
        </w:rPr>
        <w:t>e rabe en</w:t>
      </w:r>
      <w:r w:rsidR="007D4411">
        <w:rPr>
          <w:rFonts w:ascii="Calibri" w:hAnsi="Calibri" w:cs="Calibri"/>
          <w:sz w:val="22"/>
          <w:szCs w:val="22"/>
          <w:lang w:val="sl-SI"/>
        </w:rPr>
        <w:t>ergije in 0,3 kt/leto zmanjšanje</w:t>
      </w:r>
      <w:r w:rsidR="007D4411" w:rsidRPr="00472C4D">
        <w:rPr>
          <w:rFonts w:ascii="Calibri" w:hAnsi="Calibri" w:cs="Calibri"/>
          <w:sz w:val="22"/>
          <w:szCs w:val="22"/>
          <w:lang w:val="sl-SI"/>
        </w:rPr>
        <w:t xml:space="preserve"> emisij</w:t>
      </w:r>
      <w:r w:rsidR="007D4411">
        <w:rPr>
          <w:rFonts w:ascii="Calibri" w:hAnsi="Calibri" w:cs="Calibri"/>
          <w:sz w:val="22"/>
          <w:szCs w:val="22"/>
          <w:lang w:val="sl-SI"/>
        </w:rPr>
        <w:t>e</w:t>
      </w:r>
      <w:r w:rsidR="007D4411" w:rsidRPr="00472C4D">
        <w:rPr>
          <w:rFonts w:ascii="Calibri" w:hAnsi="Calibri" w:cs="Calibri"/>
          <w:sz w:val="22"/>
          <w:szCs w:val="22"/>
          <w:lang w:val="sl-SI"/>
        </w:rPr>
        <w:t xml:space="preserve"> CO</w:t>
      </w:r>
      <w:r w:rsidR="007D4411" w:rsidRPr="00472C4D">
        <w:rPr>
          <w:rFonts w:ascii="Calibri" w:hAnsi="Calibri" w:cs="Calibri"/>
          <w:sz w:val="22"/>
          <w:szCs w:val="22"/>
          <w:vertAlign w:val="subscript"/>
          <w:lang w:val="sl-SI"/>
        </w:rPr>
        <w:t>2</w:t>
      </w:r>
      <w:r w:rsidR="007D4411" w:rsidRPr="00472C4D">
        <w:rPr>
          <w:rFonts w:ascii="Calibri" w:hAnsi="Calibri" w:cs="Calibri"/>
          <w:sz w:val="22"/>
          <w:szCs w:val="22"/>
          <w:lang w:val="sl-SI"/>
        </w:rPr>
        <w:t>.</w:t>
      </w:r>
    </w:p>
    <w:p w14:paraId="1DCADA7C" w14:textId="034A7026" w:rsidR="00F255EA" w:rsidRDefault="00F255EA" w:rsidP="008817E8">
      <w:pPr>
        <w:pStyle w:val="Default"/>
        <w:numPr>
          <w:ilvl w:val="0"/>
          <w:numId w:val="8"/>
        </w:numPr>
        <w:jc w:val="both"/>
        <w:rPr>
          <w:rFonts w:ascii="Calibri" w:hAnsi="Calibri" w:cs="Calibri"/>
          <w:sz w:val="22"/>
          <w:szCs w:val="22"/>
          <w:lang w:val="sl-SI"/>
        </w:rPr>
      </w:pPr>
      <w:r w:rsidRPr="001872B5">
        <w:rPr>
          <w:rFonts w:ascii="Calibri" w:hAnsi="Calibri" w:cs="Calibri"/>
          <w:sz w:val="22"/>
          <w:szCs w:val="22"/>
          <w:lang w:val="sl-SI"/>
        </w:rPr>
        <w:t>Tretje področje pokriva zmanjšanje emisij F-plinov iz stacionarnih virov. V letu 2017 je trend emisij TGP zaradi uporabe F-plinov začel padati</w:t>
      </w:r>
      <w:r w:rsidR="001C3FFA" w:rsidRPr="001872B5">
        <w:rPr>
          <w:rFonts w:ascii="Calibri" w:hAnsi="Calibri" w:cs="Calibri"/>
          <w:sz w:val="22"/>
          <w:szCs w:val="22"/>
          <w:lang w:val="sl-SI"/>
        </w:rPr>
        <w:t xml:space="preserve">, kar </w:t>
      </w:r>
      <w:r w:rsidR="00992B51">
        <w:rPr>
          <w:rFonts w:ascii="Calibri" w:hAnsi="Calibri" w:cs="Calibri"/>
          <w:sz w:val="22"/>
          <w:szCs w:val="22"/>
          <w:lang w:val="sl-SI"/>
        </w:rPr>
        <w:t xml:space="preserve">se </w:t>
      </w:r>
      <w:r w:rsidR="00074833">
        <w:rPr>
          <w:rFonts w:ascii="Calibri" w:hAnsi="Calibri" w:cs="Calibri"/>
          <w:sz w:val="22"/>
          <w:szCs w:val="22"/>
          <w:lang w:val="sl-SI"/>
        </w:rPr>
        <w:t>je nadaljevalo</w:t>
      </w:r>
      <w:r w:rsidR="001C3FFA" w:rsidRPr="001872B5">
        <w:rPr>
          <w:rFonts w:ascii="Calibri" w:hAnsi="Calibri" w:cs="Calibri"/>
          <w:sz w:val="22"/>
          <w:szCs w:val="22"/>
          <w:lang w:val="sl-SI"/>
        </w:rPr>
        <w:t xml:space="preserve"> tudi v letu 2018. </w:t>
      </w:r>
      <w:r w:rsidRPr="001872B5">
        <w:rPr>
          <w:rFonts w:ascii="Calibri" w:hAnsi="Calibri" w:cs="Calibri"/>
          <w:sz w:val="22"/>
          <w:szCs w:val="22"/>
          <w:lang w:val="sl-SI"/>
        </w:rPr>
        <w:t xml:space="preserve">V začetku leta 2018 je bila kvota </w:t>
      </w:r>
      <w:r w:rsidR="00074833">
        <w:rPr>
          <w:rFonts w:ascii="Calibri" w:hAnsi="Calibri" w:cs="Calibri"/>
          <w:sz w:val="22"/>
          <w:szCs w:val="22"/>
          <w:lang w:val="sl-SI"/>
        </w:rPr>
        <w:t xml:space="preserve">za HFC pline zmanjšana </w:t>
      </w:r>
      <w:r w:rsidR="00FC4F8D">
        <w:rPr>
          <w:rFonts w:ascii="Calibri" w:hAnsi="Calibri" w:cs="Calibri"/>
          <w:sz w:val="22"/>
          <w:szCs w:val="22"/>
          <w:lang w:val="sl-SI"/>
        </w:rPr>
        <w:t>na 63% izhodiščne količine, kar</w:t>
      </w:r>
      <w:r w:rsidRPr="001872B5">
        <w:rPr>
          <w:rFonts w:ascii="Calibri" w:hAnsi="Calibri" w:cs="Calibri"/>
          <w:sz w:val="22"/>
          <w:szCs w:val="22"/>
          <w:lang w:val="sl-SI"/>
        </w:rPr>
        <w:t xml:space="preserve"> je določen</w:t>
      </w:r>
      <w:r w:rsidR="00FC4F8D">
        <w:rPr>
          <w:rFonts w:ascii="Calibri" w:hAnsi="Calibri" w:cs="Calibri"/>
          <w:sz w:val="22"/>
          <w:szCs w:val="22"/>
          <w:lang w:val="sl-SI"/>
        </w:rPr>
        <w:t>o</w:t>
      </w:r>
      <w:r w:rsidRPr="001872B5">
        <w:rPr>
          <w:rFonts w:ascii="Calibri" w:hAnsi="Calibri" w:cs="Calibri"/>
          <w:sz w:val="22"/>
          <w:szCs w:val="22"/>
          <w:lang w:val="sl-SI"/>
        </w:rPr>
        <w:t xml:space="preserve"> v </w:t>
      </w:r>
      <w:r w:rsidRPr="001872B5">
        <w:rPr>
          <w:rFonts w:ascii="Calibri" w:hAnsi="Calibri" w:cs="Calibri"/>
          <w:sz w:val="22"/>
          <w:szCs w:val="22"/>
          <w:lang w:val="sl-SI"/>
        </w:rPr>
        <w:lastRenderedPageBreak/>
        <w:t xml:space="preserve">Uredbi EU o fluoriranih toplogrednih plinih (517/2014/EU). </w:t>
      </w:r>
      <w:r w:rsidR="00074833">
        <w:rPr>
          <w:rFonts w:ascii="Calibri" w:hAnsi="Calibri" w:cs="Calibri"/>
          <w:sz w:val="22"/>
          <w:szCs w:val="22"/>
          <w:lang w:val="sl-SI"/>
        </w:rPr>
        <w:t>I</w:t>
      </w:r>
      <w:r w:rsidR="003476CF" w:rsidRPr="001872B5">
        <w:rPr>
          <w:rFonts w:ascii="Calibri" w:hAnsi="Calibri" w:cs="Calibri"/>
          <w:sz w:val="22"/>
          <w:szCs w:val="22"/>
          <w:lang w:val="sl-SI"/>
        </w:rPr>
        <w:t>zvajanje Direktive 2006/40/ES o emisijah iz klimatskih naprav v motornih vozili</w:t>
      </w:r>
      <w:r w:rsidR="006C0CFE" w:rsidRPr="001872B5">
        <w:rPr>
          <w:rFonts w:ascii="Calibri" w:hAnsi="Calibri" w:cs="Calibri"/>
          <w:sz w:val="22"/>
          <w:szCs w:val="22"/>
          <w:lang w:val="sl-SI"/>
        </w:rPr>
        <w:t>h</w:t>
      </w:r>
      <w:r w:rsidR="00074833">
        <w:rPr>
          <w:rFonts w:ascii="Calibri" w:hAnsi="Calibri" w:cs="Calibri"/>
          <w:sz w:val="22"/>
          <w:szCs w:val="22"/>
          <w:lang w:val="sl-SI"/>
        </w:rPr>
        <w:t xml:space="preserve">, ki </w:t>
      </w:r>
      <w:r w:rsidR="003476CF" w:rsidRPr="001872B5">
        <w:rPr>
          <w:rFonts w:ascii="Calibri" w:hAnsi="Calibri" w:cs="Calibri"/>
          <w:sz w:val="22"/>
          <w:szCs w:val="22"/>
          <w:lang w:val="sl-SI"/>
        </w:rPr>
        <w:t>omej</w:t>
      </w:r>
      <w:r w:rsidR="00074833">
        <w:rPr>
          <w:rFonts w:ascii="Calibri" w:hAnsi="Calibri" w:cs="Calibri"/>
          <w:sz w:val="22"/>
          <w:szCs w:val="22"/>
          <w:lang w:val="sl-SI"/>
        </w:rPr>
        <w:t>uje</w:t>
      </w:r>
      <w:r w:rsidR="003476CF" w:rsidRPr="001872B5">
        <w:rPr>
          <w:rFonts w:ascii="Calibri" w:hAnsi="Calibri" w:cs="Calibri"/>
          <w:sz w:val="22"/>
          <w:szCs w:val="22"/>
          <w:lang w:val="sl-SI"/>
        </w:rPr>
        <w:t xml:space="preserve"> uporabo F-plinov in</w:t>
      </w:r>
      <w:r w:rsidR="00074833">
        <w:rPr>
          <w:rFonts w:ascii="Calibri" w:hAnsi="Calibri" w:cs="Calibri"/>
          <w:sz w:val="22"/>
          <w:szCs w:val="22"/>
          <w:lang w:val="sl-SI"/>
        </w:rPr>
        <w:t xml:space="preserve"> s tem</w:t>
      </w:r>
      <w:r w:rsidR="003476CF" w:rsidRPr="001872B5">
        <w:rPr>
          <w:rFonts w:ascii="Calibri" w:hAnsi="Calibri" w:cs="Calibri"/>
          <w:sz w:val="22"/>
          <w:szCs w:val="22"/>
          <w:lang w:val="sl-SI"/>
        </w:rPr>
        <w:t xml:space="preserve"> uporab</w:t>
      </w:r>
      <w:r w:rsidR="00074833">
        <w:rPr>
          <w:rFonts w:ascii="Calibri" w:hAnsi="Calibri" w:cs="Calibri"/>
          <w:sz w:val="22"/>
          <w:szCs w:val="22"/>
          <w:lang w:val="sl-SI"/>
        </w:rPr>
        <w:t>a</w:t>
      </w:r>
      <w:r w:rsidR="003476CF" w:rsidRPr="001872B5">
        <w:rPr>
          <w:rFonts w:ascii="Calibri" w:hAnsi="Calibri" w:cs="Calibri"/>
          <w:sz w:val="22"/>
          <w:szCs w:val="22"/>
          <w:lang w:val="sl-SI"/>
        </w:rPr>
        <w:t xml:space="preserve"> novega plina HFO-1234yf</w:t>
      </w:r>
      <w:r w:rsidR="00074833">
        <w:rPr>
          <w:rFonts w:ascii="Calibri" w:hAnsi="Calibri" w:cs="Calibri"/>
          <w:sz w:val="22"/>
          <w:szCs w:val="22"/>
          <w:lang w:val="sl-SI"/>
        </w:rPr>
        <w:t xml:space="preserve"> je Sloveniji doprinesla</w:t>
      </w:r>
      <w:r w:rsidR="003476CF" w:rsidRPr="001872B5">
        <w:rPr>
          <w:rFonts w:ascii="Calibri" w:hAnsi="Calibri" w:cs="Calibri"/>
          <w:sz w:val="22"/>
          <w:szCs w:val="22"/>
          <w:lang w:val="sl-SI"/>
        </w:rPr>
        <w:t xml:space="preserve"> zmanjšanje emisij HFC</w:t>
      </w:r>
      <w:r w:rsidR="00074833">
        <w:rPr>
          <w:rFonts w:ascii="Calibri" w:hAnsi="Calibri" w:cs="Calibri"/>
          <w:sz w:val="22"/>
          <w:szCs w:val="22"/>
          <w:lang w:val="sl-SI"/>
        </w:rPr>
        <w:t>.</w:t>
      </w:r>
      <w:r w:rsidR="003476CF" w:rsidRPr="001872B5">
        <w:rPr>
          <w:rFonts w:ascii="Calibri" w:hAnsi="Calibri" w:cs="Calibri"/>
          <w:sz w:val="22"/>
          <w:szCs w:val="22"/>
          <w:lang w:val="sl-SI"/>
        </w:rPr>
        <w:t xml:space="preserve"> </w:t>
      </w:r>
      <w:r w:rsidR="00074833">
        <w:rPr>
          <w:rFonts w:ascii="Calibri" w:hAnsi="Calibri" w:cs="Calibri"/>
          <w:sz w:val="22"/>
          <w:szCs w:val="22"/>
          <w:lang w:val="sl-SI"/>
        </w:rPr>
        <w:t xml:space="preserve">V letu 2018 </w:t>
      </w:r>
      <w:r w:rsidR="002866B2">
        <w:rPr>
          <w:rFonts w:ascii="Calibri" w:hAnsi="Calibri" w:cs="Calibri"/>
          <w:sz w:val="22"/>
          <w:szCs w:val="22"/>
          <w:lang w:val="sl-SI"/>
        </w:rPr>
        <w:t xml:space="preserve">so se emisije na letni ravni zmanjšale </w:t>
      </w:r>
      <w:r w:rsidR="002866B2" w:rsidRPr="001872B5">
        <w:rPr>
          <w:rFonts w:ascii="Calibri" w:hAnsi="Calibri" w:cs="Calibri"/>
          <w:sz w:val="22"/>
          <w:szCs w:val="22"/>
          <w:lang w:val="sl-SI"/>
        </w:rPr>
        <w:t>za 6 kt CO</w:t>
      </w:r>
      <w:r w:rsidR="002866B2" w:rsidRPr="001872B5">
        <w:rPr>
          <w:rFonts w:ascii="Calibri" w:hAnsi="Calibri" w:cs="Calibri"/>
          <w:sz w:val="22"/>
          <w:szCs w:val="22"/>
          <w:vertAlign w:val="subscript"/>
          <w:lang w:val="sl-SI"/>
        </w:rPr>
        <w:t>2</w:t>
      </w:r>
      <w:r w:rsidR="002866B2" w:rsidRPr="001872B5">
        <w:rPr>
          <w:rFonts w:ascii="Calibri" w:hAnsi="Calibri" w:cs="Calibri"/>
          <w:sz w:val="22"/>
          <w:szCs w:val="22"/>
          <w:lang w:val="sl-SI"/>
        </w:rPr>
        <w:t xml:space="preserve"> ekv</w:t>
      </w:r>
      <w:r w:rsidR="002866B2">
        <w:rPr>
          <w:rFonts w:ascii="Calibri" w:hAnsi="Calibri" w:cs="Calibri"/>
          <w:sz w:val="22"/>
          <w:szCs w:val="22"/>
          <w:lang w:val="sl-SI"/>
        </w:rPr>
        <w:t>, ker je 76.868 prvič registriranih</w:t>
      </w:r>
      <w:r w:rsidR="00074833">
        <w:rPr>
          <w:rFonts w:ascii="Calibri" w:hAnsi="Calibri" w:cs="Calibri"/>
          <w:sz w:val="22"/>
          <w:szCs w:val="22"/>
          <w:lang w:val="sl-SI"/>
        </w:rPr>
        <w:t xml:space="preserve"> avtomobilov</w:t>
      </w:r>
      <w:r w:rsidR="002866B2">
        <w:rPr>
          <w:rFonts w:ascii="Calibri" w:hAnsi="Calibri" w:cs="Calibri"/>
          <w:sz w:val="22"/>
          <w:szCs w:val="22"/>
          <w:lang w:val="sl-SI"/>
        </w:rPr>
        <w:t xml:space="preserve"> imelo </w:t>
      </w:r>
      <w:r w:rsidR="00074833">
        <w:rPr>
          <w:rFonts w:ascii="Calibri" w:hAnsi="Calibri" w:cs="Calibri"/>
          <w:sz w:val="22"/>
          <w:szCs w:val="22"/>
          <w:lang w:val="sl-SI"/>
        </w:rPr>
        <w:t>v klimatskih napravah</w:t>
      </w:r>
      <w:r w:rsidR="00074833" w:rsidRPr="00074833">
        <w:rPr>
          <w:rFonts w:ascii="Calibri" w:hAnsi="Calibri" w:cs="Calibri"/>
          <w:sz w:val="22"/>
          <w:szCs w:val="22"/>
          <w:lang w:val="sl-SI"/>
        </w:rPr>
        <w:t xml:space="preserve"> </w:t>
      </w:r>
      <w:r w:rsidR="00074833">
        <w:rPr>
          <w:rFonts w:ascii="Calibri" w:hAnsi="Calibri" w:cs="Calibri"/>
          <w:sz w:val="22"/>
          <w:szCs w:val="22"/>
          <w:lang w:val="sl-SI"/>
        </w:rPr>
        <w:t xml:space="preserve">plin </w:t>
      </w:r>
      <w:r w:rsidR="00074833" w:rsidRPr="001872B5">
        <w:rPr>
          <w:rFonts w:ascii="Calibri" w:hAnsi="Calibri" w:cs="Calibri"/>
          <w:sz w:val="22"/>
          <w:szCs w:val="22"/>
          <w:lang w:val="sl-SI"/>
        </w:rPr>
        <w:t>HFO-1234yf</w:t>
      </w:r>
      <w:r w:rsidR="00074833">
        <w:rPr>
          <w:rFonts w:ascii="Calibri" w:hAnsi="Calibri" w:cs="Calibri"/>
          <w:sz w:val="22"/>
          <w:szCs w:val="22"/>
          <w:lang w:val="sl-SI"/>
        </w:rPr>
        <w:t xml:space="preserve">. V letu 2019 </w:t>
      </w:r>
      <w:r w:rsidR="00FC4F8D">
        <w:rPr>
          <w:rFonts w:ascii="Calibri" w:hAnsi="Calibri" w:cs="Calibri"/>
          <w:sz w:val="22"/>
          <w:szCs w:val="22"/>
          <w:lang w:val="sl-SI"/>
        </w:rPr>
        <w:t xml:space="preserve">se </w:t>
      </w:r>
      <w:r w:rsidR="00074833">
        <w:rPr>
          <w:rFonts w:ascii="Calibri" w:hAnsi="Calibri" w:cs="Calibri"/>
          <w:sz w:val="22"/>
          <w:szCs w:val="22"/>
          <w:lang w:val="sl-SI"/>
        </w:rPr>
        <w:t>je</w:t>
      </w:r>
      <w:r w:rsidR="002866B2">
        <w:rPr>
          <w:rFonts w:ascii="Calibri" w:hAnsi="Calibri" w:cs="Calibri"/>
          <w:sz w:val="22"/>
          <w:szCs w:val="22"/>
          <w:lang w:val="sl-SI"/>
        </w:rPr>
        <w:t xml:space="preserve"> pri</w:t>
      </w:r>
      <w:r w:rsidR="00074833">
        <w:rPr>
          <w:rFonts w:ascii="Calibri" w:hAnsi="Calibri" w:cs="Calibri"/>
          <w:sz w:val="22"/>
          <w:szCs w:val="22"/>
          <w:lang w:val="sl-SI"/>
        </w:rPr>
        <w:t xml:space="preserve"> prvič registriranih 84.787 avtomobil</w:t>
      </w:r>
      <w:r w:rsidR="002866B2">
        <w:rPr>
          <w:rFonts w:ascii="Calibri" w:hAnsi="Calibri" w:cs="Calibri"/>
          <w:sz w:val="22"/>
          <w:szCs w:val="22"/>
          <w:lang w:val="sl-SI"/>
        </w:rPr>
        <w:t>ih</w:t>
      </w:r>
      <w:r w:rsidR="00074833">
        <w:rPr>
          <w:rFonts w:ascii="Calibri" w:hAnsi="Calibri" w:cs="Calibri"/>
          <w:sz w:val="22"/>
          <w:szCs w:val="22"/>
          <w:lang w:val="sl-SI"/>
        </w:rPr>
        <w:t xml:space="preserve"> </w:t>
      </w:r>
      <w:r w:rsidR="002866B2">
        <w:rPr>
          <w:rFonts w:ascii="Calibri" w:hAnsi="Calibri" w:cs="Calibri"/>
          <w:sz w:val="22"/>
          <w:szCs w:val="22"/>
          <w:lang w:val="sl-SI"/>
        </w:rPr>
        <w:t xml:space="preserve">zmanjšanje emisij </w:t>
      </w:r>
      <w:r w:rsidR="00F661B4">
        <w:rPr>
          <w:rFonts w:ascii="Calibri" w:hAnsi="Calibri" w:cs="Calibri"/>
          <w:sz w:val="22"/>
          <w:szCs w:val="22"/>
          <w:lang w:val="sl-SI"/>
        </w:rPr>
        <w:t xml:space="preserve">na letni ravni </w:t>
      </w:r>
      <w:r w:rsidR="00FC4F8D">
        <w:rPr>
          <w:rFonts w:ascii="Calibri" w:hAnsi="Calibri" w:cs="Calibri"/>
          <w:sz w:val="22"/>
          <w:szCs w:val="22"/>
          <w:lang w:val="sl-SI"/>
        </w:rPr>
        <w:t>povečalo na</w:t>
      </w:r>
      <w:r w:rsidR="002866B2">
        <w:rPr>
          <w:rFonts w:ascii="Calibri" w:hAnsi="Calibri" w:cs="Calibri"/>
          <w:sz w:val="22"/>
          <w:szCs w:val="22"/>
          <w:lang w:val="sl-SI"/>
        </w:rPr>
        <w:t xml:space="preserve"> </w:t>
      </w:r>
      <w:r w:rsidR="00074833">
        <w:rPr>
          <w:rFonts w:ascii="Calibri" w:hAnsi="Calibri" w:cs="Calibri"/>
          <w:sz w:val="22"/>
          <w:szCs w:val="22"/>
          <w:lang w:val="sl-SI"/>
        </w:rPr>
        <w:t xml:space="preserve">8 </w:t>
      </w:r>
      <w:r w:rsidR="00074833" w:rsidRPr="001872B5">
        <w:rPr>
          <w:rFonts w:ascii="Calibri" w:hAnsi="Calibri" w:cs="Calibri"/>
          <w:sz w:val="22"/>
          <w:szCs w:val="22"/>
          <w:lang w:val="sl-SI"/>
        </w:rPr>
        <w:t>kt CO</w:t>
      </w:r>
      <w:r w:rsidR="00074833" w:rsidRPr="001872B5">
        <w:rPr>
          <w:rFonts w:ascii="Calibri" w:hAnsi="Calibri" w:cs="Calibri"/>
          <w:sz w:val="22"/>
          <w:szCs w:val="22"/>
          <w:vertAlign w:val="subscript"/>
          <w:lang w:val="sl-SI"/>
        </w:rPr>
        <w:t>2</w:t>
      </w:r>
      <w:r w:rsidR="00074833" w:rsidRPr="001872B5">
        <w:rPr>
          <w:rFonts w:ascii="Calibri" w:hAnsi="Calibri" w:cs="Calibri"/>
          <w:sz w:val="22"/>
          <w:szCs w:val="22"/>
          <w:lang w:val="sl-SI"/>
        </w:rPr>
        <w:t xml:space="preserve"> ekv</w:t>
      </w:r>
      <w:r w:rsidR="00074833">
        <w:rPr>
          <w:rFonts w:ascii="Calibri" w:hAnsi="Calibri" w:cs="Calibri"/>
          <w:sz w:val="22"/>
          <w:szCs w:val="22"/>
          <w:lang w:val="sl-SI"/>
        </w:rPr>
        <w:t>.</w:t>
      </w:r>
    </w:p>
    <w:p w14:paraId="2B36511F" w14:textId="77777777" w:rsidR="00C45105" w:rsidRDefault="00C45105" w:rsidP="008817E8">
      <w:pPr>
        <w:pStyle w:val="Default"/>
        <w:jc w:val="both"/>
        <w:rPr>
          <w:rFonts w:ascii="Calibri" w:hAnsi="Calibri" w:cs="Calibri"/>
          <w:sz w:val="22"/>
          <w:szCs w:val="22"/>
          <w:lang w:val="sl-SI"/>
        </w:rPr>
      </w:pPr>
    </w:p>
    <w:p w14:paraId="05ED34B7" w14:textId="2563D279" w:rsidR="00174413" w:rsidRPr="00174413" w:rsidRDefault="00174413" w:rsidP="00174413">
      <w:pPr>
        <w:spacing w:after="0" w:line="240" w:lineRule="auto"/>
        <w:jc w:val="both"/>
        <w:rPr>
          <w:rFonts w:ascii="Calibri" w:hAnsi="Calibri" w:cs="Calibri"/>
          <w:u w:val="single"/>
        </w:rPr>
      </w:pPr>
      <w:r w:rsidRPr="00F93B5D">
        <w:rPr>
          <w:rFonts w:ascii="Calibri" w:hAnsi="Calibri" w:cs="Calibri"/>
          <w:u w:val="single"/>
        </w:rPr>
        <w:t>Priporočila:</w:t>
      </w:r>
    </w:p>
    <w:p w14:paraId="69EEB6F1" w14:textId="77777777" w:rsidR="00174413" w:rsidRPr="00174413" w:rsidRDefault="00174413" w:rsidP="008817E8">
      <w:pPr>
        <w:pStyle w:val="Default"/>
        <w:jc w:val="both"/>
        <w:rPr>
          <w:rFonts w:ascii="Calibri" w:hAnsi="Calibri" w:cs="Calibri"/>
          <w:b/>
          <w:bCs/>
          <w:sz w:val="22"/>
          <w:szCs w:val="22"/>
          <w:lang w:val="sl-SI"/>
        </w:rPr>
      </w:pPr>
    </w:p>
    <w:p w14:paraId="4D5981F3" w14:textId="13F76616" w:rsidR="000A3E49" w:rsidRDefault="00C7363F" w:rsidP="008817E8">
      <w:pPr>
        <w:pStyle w:val="Default"/>
        <w:jc w:val="both"/>
        <w:rPr>
          <w:rFonts w:ascii="Calibri" w:hAnsi="Calibri" w:cs="Calibri"/>
          <w:sz w:val="22"/>
          <w:szCs w:val="22"/>
          <w:lang w:val="sl-SI"/>
        </w:rPr>
      </w:pPr>
      <w:r w:rsidRPr="00472C4D">
        <w:rPr>
          <w:rFonts w:ascii="Calibri" w:hAnsi="Calibri" w:cs="Calibri"/>
          <w:sz w:val="22"/>
          <w:szCs w:val="22"/>
          <w:lang w:val="sl-SI"/>
        </w:rPr>
        <w:t>Da bi bili učinki večji, je potrebno v industriji okrepiti spodbujanje ukrepov OVE in URE. Spodbude je potrebno spremljati bolj sistematično in zagotoviti ustrezne podatke za spr</w:t>
      </w:r>
      <w:r w:rsidR="005514FF">
        <w:rPr>
          <w:rFonts w:ascii="Calibri" w:hAnsi="Calibri" w:cs="Calibri"/>
          <w:sz w:val="22"/>
          <w:szCs w:val="22"/>
          <w:lang w:val="sl-SI"/>
        </w:rPr>
        <w:t>emljanje in vrednotenje učinkov</w:t>
      </w:r>
      <w:r w:rsidRPr="00472C4D">
        <w:rPr>
          <w:rFonts w:ascii="Calibri" w:hAnsi="Calibri" w:cs="Calibri"/>
          <w:sz w:val="22"/>
          <w:szCs w:val="22"/>
          <w:lang w:val="sl-SI"/>
        </w:rPr>
        <w:t xml:space="preserve"> </w:t>
      </w:r>
      <w:r w:rsidR="005514FF" w:rsidRPr="005514FF">
        <w:rPr>
          <w:rFonts w:asciiTheme="minorHAnsi" w:hAnsiTheme="minorHAnsi" w:cstheme="minorHAnsi"/>
          <w:sz w:val="22"/>
          <w:szCs w:val="22"/>
        </w:rPr>
        <w:t>nepovratnih in povratnih spodbud v industriji, in sicer skupno ter ločeno za industrijo ne</w:t>
      </w:r>
      <w:r w:rsidR="005514FF" w:rsidRPr="005514FF">
        <w:rPr>
          <w:rFonts w:asciiTheme="minorHAnsi" w:hAnsiTheme="minorHAnsi" w:cstheme="minorHAnsi"/>
          <w:sz w:val="22"/>
          <w:szCs w:val="22"/>
          <w:lang w:val="sl-SI"/>
        </w:rPr>
        <w:t>-</w:t>
      </w:r>
      <w:r w:rsidR="005514FF" w:rsidRPr="005514FF">
        <w:rPr>
          <w:rFonts w:asciiTheme="minorHAnsi" w:hAnsiTheme="minorHAnsi" w:cstheme="minorHAnsi"/>
          <w:sz w:val="22"/>
          <w:szCs w:val="22"/>
        </w:rPr>
        <w:t>ETS.</w:t>
      </w:r>
      <w:r w:rsidR="005514FF" w:rsidRPr="00472C4D">
        <w:rPr>
          <w:rFonts w:ascii="Calibri" w:hAnsi="Calibri" w:cs="Calibri"/>
          <w:sz w:val="22"/>
          <w:szCs w:val="22"/>
          <w:lang w:val="sl-SI"/>
        </w:rPr>
        <w:t xml:space="preserve"> </w:t>
      </w:r>
      <w:r w:rsidRPr="00472C4D">
        <w:rPr>
          <w:rFonts w:ascii="Calibri" w:hAnsi="Calibri" w:cs="Calibri"/>
          <w:sz w:val="22"/>
          <w:szCs w:val="22"/>
          <w:lang w:val="sl-SI"/>
        </w:rPr>
        <w:t>Ukrepanje bi se izboljšalo z vzpostavitvijo podpornega okolja</w:t>
      </w:r>
      <w:r w:rsidR="005514FF">
        <w:rPr>
          <w:rFonts w:ascii="Calibri" w:hAnsi="Calibri" w:cs="Calibri"/>
          <w:sz w:val="22"/>
          <w:szCs w:val="22"/>
          <w:lang w:val="sl-SI"/>
        </w:rPr>
        <w:t xml:space="preserve"> za razvoj</w:t>
      </w:r>
      <w:r w:rsidRPr="00472C4D">
        <w:rPr>
          <w:rFonts w:ascii="Calibri" w:hAnsi="Calibri" w:cs="Calibri"/>
          <w:sz w:val="22"/>
          <w:szCs w:val="22"/>
          <w:lang w:val="sl-SI"/>
        </w:rPr>
        <w:t xml:space="preserve"> celovitih storitev</w:t>
      </w:r>
      <w:r w:rsidR="005514FF" w:rsidRPr="005514FF">
        <w:t xml:space="preserve"> </w:t>
      </w:r>
      <w:r w:rsidR="005514FF" w:rsidRPr="005514FF">
        <w:rPr>
          <w:rFonts w:asciiTheme="minorHAnsi" w:hAnsiTheme="minorHAnsi" w:cstheme="minorHAnsi"/>
          <w:sz w:val="22"/>
          <w:szCs w:val="22"/>
        </w:rPr>
        <w:t>upravljanja z energijo v malih in srednje velikih podjetjih</w:t>
      </w:r>
      <w:r w:rsidR="00BF4A6E" w:rsidRPr="00472C4D">
        <w:rPr>
          <w:rFonts w:ascii="Calibri" w:hAnsi="Calibri" w:cs="Calibri"/>
          <w:sz w:val="22"/>
          <w:szCs w:val="22"/>
          <w:lang w:val="sl-SI"/>
        </w:rPr>
        <w:t xml:space="preserve">, poslovnih modelov energetskega pogodbeništva in ključnih finančnih instrumentov za </w:t>
      </w:r>
      <w:r w:rsidR="003B10CC">
        <w:rPr>
          <w:rFonts w:ascii="Calibri" w:hAnsi="Calibri" w:cs="Calibri"/>
          <w:sz w:val="22"/>
          <w:szCs w:val="22"/>
          <w:lang w:val="sl-SI"/>
        </w:rPr>
        <w:t>velika energetsko intenzivna podjetja ter</w:t>
      </w:r>
      <w:r w:rsidR="00BF4A6E" w:rsidRPr="00472C4D">
        <w:rPr>
          <w:rFonts w:ascii="Calibri" w:hAnsi="Calibri" w:cs="Calibri"/>
          <w:sz w:val="22"/>
          <w:szCs w:val="22"/>
          <w:lang w:val="sl-SI"/>
        </w:rPr>
        <w:t xml:space="preserve"> mala in srednja podjetja. </w:t>
      </w:r>
    </w:p>
    <w:p w14:paraId="07ED758D" w14:textId="7356769C" w:rsidR="00CC1DEB" w:rsidRDefault="00CC1DEB" w:rsidP="00C52E4C">
      <w:pPr>
        <w:spacing w:after="0" w:line="240" w:lineRule="auto"/>
        <w:jc w:val="both"/>
        <w:rPr>
          <w:rFonts w:ascii="Calibri" w:hAnsi="Calibri" w:cs="Calibri"/>
        </w:rPr>
      </w:pPr>
    </w:p>
    <w:p w14:paraId="11C90AAE" w14:textId="3EAA8C7D" w:rsidR="00C82A07" w:rsidRPr="00472C4D" w:rsidRDefault="003825D3" w:rsidP="00C82A07">
      <w:pPr>
        <w:spacing w:after="0" w:line="240" w:lineRule="auto"/>
        <w:jc w:val="both"/>
        <w:rPr>
          <w:rFonts w:ascii="Calibri" w:hAnsi="Calibri" w:cs="Calibri"/>
          <w:b/>
          <w:bCs/>
        </w:rPr>
      </w:pPr>
      <w:r>
        <w:rPr>
          <w:rFonts w:ascii="Calibri" w:hAnsi="Calibri" w:cs="Calibri"/>
          <w:b/>
          <w:bCs/>
        </w:rPr>
        <w:t>4</w:t>
      </w:r>
      <w:r w:rsidR="00C82A07" w:rsidRPr="00472C4D">
        <w:rPr>
          <w:rFonts w:ascii="Calibri" w:hAnsi="Calibri" w:cs="Calibri"/>
          <w:b/>
          <w:bCs/>
        </w:rPr>
        <w:t>.</w:t>
      </w:r>
      <w:r w:rsidR="00C82A07">
        <w:rPr>
          <w:rFonts w:ascii="Calibri" w:hAnsi="Calibri" w:cs="Calibri"/>
          <w:b/>
          <w:bCs/>
        </w:rPr>
        <w:t>6</w:t>
      </w:r>
      <w:r w:rsidR="00C82A07" w:rsidRPr="00472C4D">
        <w:rPr>
          <w:rFonts w:ascii="Calibri" w:hAnsi="Calibri" w:cs="Calibri"/>
          <w:b/>
          <w:bCs/>
        </w:rPr>
        <w:t xml:space="preserve"> Energetika ne</w:t>
      </w:r>
      <w:r w:rsidR="00C82A07">
        <w:rPr>
          <w:rFonts w:ascii="Calibri" w:hAnsi="Calibri" w:cs="Calibri"/>
          <w:b/>
          <w:bCs/>
        </w:rPr>
        <w:t>-</w:t>
      </w:r>
      <w:r w:rsidR="00C82A07" w:rsidRPr="00472C4D">
        <w:rPr>
          <w:rFonts w:ascii="Calibri" w:hAnsi="Calibri" w:cs="Calibri"/>
          <w:b/>
          <w:bCs/>
        </w:rPr>
        <w:t>ETS</w:t>
      </w:r>
    </w:p>
    <w:p w14:paraId="68AB757F" w14:textId="77777777" w:rsidR="00C82A07" w:rsidRPr="00472C4D" w:rsidRDefault="00C82A07" w:rsidP="00C82A07">
      <w:pPr>
        <w:spacing w:after="0" w:line="240" w:lineRule="auto"/>
        <w:jc w:val="both"/>
        <w:rPr>
          <w:rFonts w:ascii="Calibri" w:hAnsi="Calibri" w:cs="Calibri"/>
        </w:rPr>
      </w:pPr>
    </w:p>
    <w:p w14:paraId="7614E805" w14:textId="77777777" w:rsidR="00422D91" w:rsidRDefault="00C82A07" w:rsidP="00C82A07">
      <w:pPr>
        <w:spacing w:after="0" w:line="240" w:lineRule="auto"/>
        <w:jc w:val="both"/>
        <w:rPr>
          <w:rFonts w:ascii="Calibri" w:hAnsi="Calibri" w:cs="Calibri"/>
        </w:rPr>
      </w:pPr>
      <w:r w:rsidRPr="00472C4D">
        <w:rPr>
          <w:rFonts w:ascii="Calibri" w:hAnsi="Calibri" w:cs="Calibri"/>
        </w:rPr>
        <w:t>Ukrepi zmanjševanja emisij TGP iz sektorja energetika ne</w:t>
      </w:r>
      <w:r>
        <w:rPr>
          <w:rFonts w:ascii="Calibri" w:hAnsi="Calibri" w:cs="Calibri"/>
        </w:rPr>
        <w:t>-</w:t>
      </w:r>
      <w:r w:rsidRPr="00472C4D">
        <w:rPr>
          <w:rFonts w:ascii="Calibri" w:hAnsi="Calibri" w:cs="Calibri"/>
        </w:rPr>
        <w:t xml:space="preserve">ETS so se v letu 2018 izvajali na področju učinkovitih sistemov daljinskega ogrevanja (DO) in  spodbujanju razvoja sistemov DO na OVE v okviru OP EKP. </w:t>
      </w:r>
    </w:p>
    <w:p w14:paraId="79AD8DC7" w14:textId="04A52461" w:rsidR="00422D91" w:rsidRDefault="00C82A07" w:rsidP="00C82A07">
      <w:pPr>
        <w:spacing w:after="0" w:line="240" w:lineRule="auto"/>
        <w:jc w:val="both"/>
      </w:pPr>
      <w:r w:rsidRPr="00472C4D">
        <w:rPr>
          <w:rFonts w:ascii="Calibri" w:hAnsi="Calibri" w:cs="Calibri"/>
        </w:rPr>
        <w:t>V letu 2017 je bilo energetsko uči</w:t>
      </w:r>
      <w:r w:rsidR="00422D91">
        <w:rPr>
          <w:rFonts w:ascii="Calibri" w:hAnsi="Calibri" w:cs="Calibri"/>
        </w:rPr>
        <w:t>n</w:t>
      </w:r>
      <w:r w:rsidRPr="00472C4D">
        <w:rPr>
          <w:rFonts w:ascii="Calibri" w:hAnsi="Calibri" w:cs="Calibri"/>
        </w:rPr>
        <w:t>kovitih 61</w:t>
      </w:r>
      <w:r>
        <w:rPr>
          <w:rFonts w:ascii="Calibri" w:hAnsi="Calibri" w:cs="Calibri"/>
        </w:rPr>
        <w:t xml:space="preserve"> </w:t>
      </w:r>
      <w:r w:rsidRPr="00472C4D">
        <w:rPr>
          <w:rFonts w:ascii="Calibri" w:hAnsi="Calibri" w:cs="Calibri"/>
        </w:rPr>
        <w:t>% sistemov DO</w:t>
      </w:r>
      <w:r w:rsidR="00422D91">
        <w:rPr>
          <w:rFonts w:ascii="Calibri" w:hAnsi="Calibri" w:cs="Calibri"/>
        </w:rPr>
        <w:t>, v letu 2018 pa 58 %</w:t>
      </w:r>
      <w:r w:rsidRPr="00472C4D">
        <w:rPr>
          <w:rFonts w:ascii="Calibri" w:hAnsi="Calibri" w:cs="Calibri"/>
        </w:rPr>
        <w:t xml:space="preserve">. V letu 2019 je </w:t>
      </w:r>
      <w:r w:rsidR="00BA1D93">
        <w:rPr>
          <w:rFonts w:ascii="Calibri" w:hAnsi="Calibri" w:cs="Calibri"/>
        </w:rPr>
        <w:t>s spremembo</w:t>
      </w:r>
      <w:r w:rsidRPr="00472C4D">
        <w:rPr>
          <w:rFonts w:ascii="Calibri" w:hAnsi="Calibri" w:cs="Calibri"/>
        </w:rPr>
        <w:t xml:space="preserve"> Zakona o</w:t>
      </w:r>
      <w:r w:rsidR="00422D91">
        <w:rPr>
          <w:rFonts w:ascii="Calibri" w:hAnsi="Calibri" w:cs="Calibri"/>
        </w:rPr>
        <w:t xml:space="preserve"> spremembah in dopolnitvah EZ-1</w:t>
      </w:r>
      <w:r w:rsidRPr="00472C4D">
        <w:rPr>
          <w:rFonts w:ascii="Calibri" w:hAnsi="Calibri" w:cs="Calibri"/>
        </w:rPr>
        <w:t xml:space="preserve"> </w:t>
      </w:r>
      <w:r w:rsidR="00422D91">
        <w:t xml:space="preserve">v 322. členu prišlo do znižanja zahtev za učinkovite sisteme daljinskega ogrevanja. Namesto vsaj 75 % kombinacije toplote iz OVE, soproizvodnje toplote in električne energije (SPTE) ter/ali odvečne toplote, je potrebno sedaj zagotoviti vsaj 50 % kombinacije toplote iz najmanj dveh izmed prej naštetih treh virov. V skladu z novimi kriteriji je bilo leta 2019 energetsko učinkovitih 68 % sistemov DO. </w:t>
      </w:r>
    </w:p>
    <w:p w14:paraId="029054E1" w14:textId="77777777" w:rsidR="00422D91" w:rsidRDefault="00422D91" w:rsidP="00C82A07">
      <w:pPr>
        <w:spacing w:after="0" w:line="240" w:lineRule="auto"/>
        <w:jc w:val="both"/>
        <w:rPr>
          <w:rFonts w:ascii="Calibri" w:hAnsi="Calibri" w:cs="Calibri"/>
        </w:rPr>
      </w:pPr>
    </w:p>
    <w:p w14:paraId="14C7837F" w14:textId="0CEB088A" w:rsidR="00C82A07" w:rsidRDefault="00C82A07" w:rsidP="00C82A07">
      <w:pPr>
        <w:spacing w:after="0" w:line="240" w:lineRule="auto"/>
        <w:jc w:val="both"/>
        <w:rPr>
          <w:rFonts w:ascii="Calibri" w:hAnsi="Calibri" w:cs="Calibri"/>
        </w:rPr>
      </w:pPr>
      <w:r w:rsidRPr="00472C4D">
        <w:rPr>
          <w:rFonts w:ascii="Calibri" w:hAnsi="Calibri" w:cs="Calibri"/>
        </w:rPr>
        <w:t xml:space="preserve">V letu 2018 so bile načrtovane nepovratne finančne spodbude za sisteme DO na </w:t>
      </w:r>
      <w:r w:rsidR="003A3BC5">
        <w:rPr>
          <w:rFonts w:ascii="Calibri" w:hAnsi="Calibri" w:cs="Calibri"/>
        </w:rPr>
        <w:t xml:space="preserve">OVE v višini 11 milijonov evrov, v letu 2019 v višini 39 milijonov evrov. </w:t>
      </w:r>
      <w:r w:rsidRPr="00472C4D">
        <w:rPr>
          <w:rFonts w:ascii="Calibri" w:hAnsi="Calibri" w:cs="Calibri"/>
        </w:rPr>
        <w:t>Sredstva so spodbudila naložbe za izgradnjo novih in rekonstrukcijo obstoječih sistemov za ogrevanje ter priklop novih uporabnikov na že obstoječe kapacitete. V okviru razpisa DO OVE 2016 in DO OVE 2017, je bilo do konca leta 2018 končanih 12 projektov, ki so skupaj prejeli 8,26 milijona evrov</w:t>
      </w:r>
      <w:r w:rsidR="003A3BC5">
        <w:rPr>
          <w:rFonts w:ascii="Calibri" w:hAnsi="Calibri" w:cs="Calibri"/>
        </w:rPr>
        <w:t xml:space="preserve">, do konca leta 2019 pa 14 projektov, ki so bili podprti s skupaj 4,5 milijona evrov. </w:t>
      </w:r>
    </w:p>
    <w:p w14:paraId="3B5F6E0F" w14:textId="77777777" w:rsidR="00B9610B" w:rsidRDefault="00B9610B" w:rsidP="00C82A07">
      <w:pPr>
        <w:spacing w:after="0" w:line="240" w:lineRule="auto"/>
        <w:jc w:val="both"/>
        <w:rPr>
          <w:rFonts w:ascii="Calibri" w:hAnsi="Calibri" w:cs="Calibri"/>
        </w:rPr>
      </w:pPr>
    </w:p>
    <w:p w14:paraId="570E186E" w14:textId="50475E1F" w:rsidR="00B9610B" w:rsidRDefault="00B9610B" w:rsidP="00C82A07">
      <w:pPr>
        <w:spacing w:after="0" w:line="240" w:lineRule="auto"/>
        <w:jc w:val="both"/>
        <w:rPr>
          <w:rFonts w:ascii="Calibri" w:hAnsi="Calibri" w:cs="Calibri"/>
        </w:rPr>
      </w:pPr>
      <w:r>
        <w:rPr>
          <w:rFonts w:ascii="Calibri" w:hAnsi="Calibri" w:cs="Calibri"/>
        </w:rPr>
        <w:t>Zaradi projektov, ki so bili zaključeni leta 2019 in so prejeli kohezijska sredstva, so se zmanjšale emisije CO</w:t>
      </w:r>
      <w:r>
        <w:rPr>
          <w:rFonts w:ascii="Calibri" w:hAnsi="Calibri" w:cs="Calibri"/>
          <w:vertAlign w:val="subscript"/>
        </w:rPr>
        <w:t>2</w:t>
      </w:r>
      <w:r>
        <w:rPr>
          <w:rFonts w:ascii="Calibri" w:hAnsi="Calibri" w:cs="Calibri"/>
        </w:rPr>
        <w:t xml:space="preserve"> za 0,8 kt/letno ter povečala proizvodnja energije iz OVE za 2,9 GWh/leto.</w:t>
      </w:r>
    </w:p>
    <w:p w14:paraId="3B7EB927" w14:textId="77777777" w:rsidR="002F7423" w:rsidRDefault="002F7423" w:rsidP="00C82A07">
      <w:pPr>
        <w:spacing w:after="0" w:line="240" w:lineRule="auto"/>
        <w:jc w:val="both"/>
        <w:rPr>
          <w:rFonts w:ascii="Calibri" w:hAnsi="Calibri" w:cs="Calibri"/>
        </w:rPr>
      </w:pPr>
    </w:p>
    <w:p w14:paraId="0D53C180" w14:textId="48FAA3B3" w:rsidR="002F7423" w:rsidRDefault="002F7423" w:rsidP="00C82A07">
      <w:pPr>
        <w:spacing w:after="0" w:line="240" w:lineRule="auto"/>
        <w:jc w:val="both"/>
      </w:pPr>
      <w:r>
        <w:t>V okviru pozivov Eko sklada so nepovratna sredstva na voljo tudi za zamenjavo toplotne postaje ali vgradnjo toplotne postaje za priklop na sistem DO. V letu 2019 je bilo z dobrimi 49.000 evri podprtih 7 projektov.</w:t>
      </w:r>
    </w:p>
    <w:p w14:paraId="0791CFEF" w14:textId="34891302" w:rsidR="002F7423" w:rsidRDefault="002F7423" w:rsidP="00C82A07">
      <w:pPr>
        <w:spacing w:after="0" w:line="240" w:lineRule="auto"/>
        <w:jc w:val="both"/>
      </w:pPr>
      <w:r>
        <w:t xml:space="preserve">Pri pravnih osebah in v javnem sektorju pa je bilo v letu 2019 na voljo dobrih 43.000 evrov nepovratnih sredstev za izkoriščanje odvečne toplote iz procesov in/ali naprav. Podprtih je bilo 7 projektov. </w:t>
      </w:r>
    </w:p>
    <w:p w14:paraId="58AF4321" w14:textId="77777777" w:rsidR="004364A8" w:rsidRDefault="004364A8" w:rsidP="00C82A07">
      <w:pPr>
        <w:spacing w:after="0" w:line="240" w:lineRule="auto"/>
        <w:jc w:val="both"/>
      </w:pPr>
    </w:p>
    <w:p w14:paraId="56AF31A9" w14:textId="28D6CE2D" w:rsidR="004364A8" w:rsidRDefault="004364A8" w:rsidP="00C82A07">
      <w:pPr>
        <w:spacing w:after="0" w:line="240" w:lineRule="auto"/>
        <w:jc w:val="both"/>
      </w:pPr>
      <w:r>
        <w:t>V letu 2019 je bilo s pomočjo projektov za trajnostni razvoj obstoječih sistemov DO, ki so bili podprti z nepovratnimi sredstvi Eko sklada v gospodinjstvih, javnem sektorju ali pri pravnih osebah doseženo zmanjšanje rabe energije za 1 GWh/leto in zmanjšanje emisije CO</w:t>
      </w:r>
      <w:r>
        <w:rPr>
          <w:vertAlign w:val="subscript"/>
        </w:rPr>
        <w:t>2</w:t>
      </w:r>
      <w:r>
        <w:t xml:space="preserve"> za 0,2 kt/leto. </w:t>
      </w:r>
    </w:p>
    <w:p w14:paraId="18DA4496" w14:textId="77777777" w:rsidR="002E7878" w:rsidRPr="00B9610B" w:rsidRDefault="002E7878" w:rsidP="00C82A07">
      <w:pPr>
        <w:spacing w:after="0" w:line="240" w:lineRule="auto"/>
        <w:jc w:val="both"/>
        <w:rPr>
          <w:rFonts w:ascii="Calibri" w:hAnsi="Calibri" w:cs="Calibri"/>
        </w:rPr>
      </w:pPr>
    </w:p>
    <w:p w14:paraId="450C6A5D" w14:textId="77777777" w:rsidR="00C82A07" w:rsidRDefault="00C82A07" w:rsidP="00C82A07">
      <w:pPr>
        <w:spacing w:after="0" w:line="240" w:lineRule="auto"/>
        <w:jc w:val="both"/>
        <w:rPr>
          <w:rFonts w:ascii="Calibri" w:hAnsi="Calibri" w:cs="Calibri"/>
        </w:rPr>
      </w:pPr>
    </w:p>
    <w:p w14:paraId="0E5ED55A" w14:textId="0483F4BD" w:rsidR="00D25456" w:rsidRPr="00174413" w:rsidRDefault="00D25456" w:rsidP="00D25456">
      <w:pPr>
        <w:spacing w:after="0" w:line="240" w:lineRule="auto"/>
        <w:jc w:val="both"/>
        <w:rPr>
          <w:rFonts w:ascii="Calibri" w:hAnsi="Calibri" w:cs="Calibri"/>
          <w:u w:val="single"/>
        </w:rPr>
      </w:pPr>
      <w:r w:rsidRPr="00F93B5D">
        <w:rPr>
          <w:rFonts w:ascii="Calibri" w:hAnsi="Calibri" w:cs="Calibri"/>
          <w:u w:val="single"/>
        </w:rPr>
        <w:lastRenderedPageBreak/>
        <w:t>Priporočila:</w:t>
      </w:r>
    </w:p>
    <w:p w14:paraId="66D3727B" w14:textId="77777777" w:rsidR="00C82A07" w:rsidRDefault="00C82A07" w:rsidP="00C82A07">
      <w:pPr>
        <w:spacing w:after="0" w:line="240" w:lineRule="auto"/>
        <w:jc w:val="both"/>
        <w:rPr>
          <w:rFonts w:ascii="Calibri" w:hAnsi="Calibri" w:cs="Calibri"/>
        </w:rPr>
      </w:pPr>
    </w:p>
    <w:p w14:paraId="6DBD8B08" w14:textId="350D2E4A" w:rsidR="000229F8" w:rsidRDefault="00C82A07" w:rsidP="00C82A07">
      <w:pPr>
        <w:spacing w:after="0" w:line="240" w:lineRule="auto"/>
        <w:jc w:val="both"/>
        <w:rPr>
          <w:rFonts w:ascii="Calibri" w:hAnsi="Calibri" w:cs="Calibri"/>
        </w:rPr>
      </w:pPr>
      <w:r w:rsidRPr="00472C4D">
        <w:rPr>
          <w:rFonts w:ascii="Calibri" w:hAnsi="Calibri" w:cs="Calibri"/>
        </w:rPr>
        <w:t>Ukrepi zmanjševanja emisij TGP iz sektorja energetika ne</w:t>
      </w:r>
      <w:r>
        <w:rPr>
          <w:rFonts w:ascii="Calibri" w:hAnsi="Calibri" w:cs="Calibri"/>
        </w:rPr>
        <w:t>-</w:t>
      </w:r>
      <w:r w:rsidRPr="00472C4D">
        <w:rPr>
          <w:rFonts w:ascii="Calibri" w:hAnsi="Calibri" w:cs="Calibri"/>
        </w:rPr>
        <w:t>ETS v OP TGP 2020 niso posebej obravnavani in tako tudi ne ukrepi za spodbujanje sistemov daljinskega ogrevanja</w:t>
      </w:r>
      <w:r w:rsidR="00171C23">
        <w:rPr>
          <w:rFonts w:ascii="Calibri" w:hAnsi="Calibri" w:cs="Calibri"/>
        </w:rPr>
        <w:t xml:space="preserve"> in hlajenja</w:t>
      </w:r>
      <w:r w:rsidRPr="00472C4D">
        <w:rPr>
          <w:rFonts w:ascii="Calibri" w:hAnsi="Calibri" w:cs="Calibri"/>
        </w:rPr>
        <w:t xml:space="preserve">. </w:t>
      </w:r>
      <w:r w:rsidR="000229F8">
        <w:t xml:space="preserve">Čim hitreje je </w:t>
      </w:r>
      <w:r w:rsidR="00CF03A7">
        <w:t>po</w:t>
      </w:r>
      <w:r w:rsidR="000229F8">
        <w:t>treb</w:t>
      </w:r>
      <w:r w:rsidR="00CF03A7">
        <w:t>no</w:t>
      </w:r>
      <w:r w:rsidR="000229F8">
        <w:t xml:space="preserve"> začeti z oblikovanjem in izvajanjem instrumentov za spodbujanje razvoja sistemov daljinskega ogrevanja in hlajenja na OVE in odvečno toploto ter letno povečevati del</w:t>
      </w:r>
      <w:r w:rsidR="00BB323A">
        <w:t>ež OVE in odvečne toplote</w:t>
      </w:r>
      <w:r w:rsidR="000229F8">
        <w:t xml:space="preserve">. </w:t>
      </w:r>
    </w:p>
    <w:p w14:paraId="58DBD0F1" w14:textId="5216476D" w:rsidR="00C82A07" w:rsidRDefault="00C82A07" w:rsidP="00C82A07">
      <w:pPr>
        <w:spacing w:after="0" w:line="240" w:lineRule="auto"/>
        <w:jc w:val="both"/>
        <w:rPr>
          <w:rFonts w:ascii="Calibri" w:hAnsi="Calibri" w:cs="Calibri"/>
        </w:rPr>
      </w:pPr>
      <w:r w:rsidRPr="00472C4D">
        <w:rPr>
          <w:rFonts w:ascii="Calibri" w:hAnsi="Calibri" w:cs="Calibri"/>
        </w:rPr>
        <w:t xml:space="preserve">Večina toplote v sistemih DO je proizvedene v soproizvodnji toplote in električne </w:t>
      </w:r>
      <w:r w:rsidR="00DD13F0">
        <w:rPr>
          <w:rFonts w:ascii="Calibri" w:hAnsi="Calibri" w:cs="Calibri"/>
        </w:rPr>
        <w:t>energije (SPTE)</w:t>
      </w:r>
      <w:r w:rsidRPr="00472C4D">
        <w:rPr>
          <w:rFonts w:ascii="Calibri" w:hAnsi="Calibri" w:cs="Calibri"/>
        </w:rPr>
        <w:t xml:space="preserve">, k čemur je pripomogla podporna shema za električno energijo proizvedeno iz OVE in v SPTE z visokim </w:t>
      </w:r>
      <w:r w:rsidR="00DD13F0">
        <w:rPr>
          <w:rFonts w:ascii="Calibri" w:hAnsi="Calibri" w:cs="Calibri"/>
        </w:rPr>
        <w:t>izkoristkom. Za podporo dodatnim</w:t>
      </w:r>
      <w:r w:rsidRPr="00472C4D">
        <w:rPr>
          <w:rFonts w:ascii="Calibri" w:hAnsi="Calibri" w:cs="Calibri"/>
        </w:rPr>
        <w:t xml:space="preserve"> enot</w:t>
      </w:r>
      <w:r w:rsidR="004E20BE">
        <w:rPr>
          <w:rFonts w:ascii="Calibri" w:hAnsi="Calibri" w:cs="Calibri"/>
        </w:rPr>
        <w:t>am</w:t>
      </w:r>
      <w:r w:rsidRPr="00472C4D">
        <w:rPr>
          <w:rFonts w:ascii="Calibri" w:hAnsi="Calibri" w:cs="Calibri"/>
        </w:rPr>
        <w:t xml:space="preserve"> SPTE na OVE je potrebno dopolniti pravila za vstop v podporno shemo. Nadaljevati je potrebno s</w:t>
      </w:r>
      <w:r w:rsidR="00DD13F0">
        <w:rPr>
          <w:rFonts w:ascii="Calibri" w:hAnsi="Calibri" w:cs="Calibri"/>
        </w:rPr>
        <w:t xml:space="preserve"> nepovratnimi investicijskimi</w:t>
      </w:r>
      <w:r w:rsidRPr="00472C4D">
        <w:rPr>
          <w:rFonts w:ascii="Calibri" w:hAnsi="Calibri" w:cs="Calibri"/>
        </w:rPr>
        <w:t xml:space="preserve"> finančnimi spodbudami za izgr</w:t>
      </w:r>
      <w:r w:rsidR="00DD13F0">
        <w:rPr>
          <w:rFonts w:ascii="Calibri" w:hAnsi="Calibri" w:cs="Calibri"/>
        </w:rPr>
        <w:t>adnjo sistemov DO in zagotoviti njihovo dolgoročnost in stabilnost</w:t>
      </w:r>
      <w:r w:rsidRPr="00472C4D">
        <w:rPr>
          <w:rFonts w:ascii="Calibri" w:hAnsi="Calibri" w:cs="Calibri"/>
        </w:rPr>
        <w:t xml:space="preserve">. In ne nazadnje, kjer je možno, kot vir toplote za sisteme DO uporabiti odvečno toploto. </w:t>
      </w:r>
    </w:p>
    <w:p w14:paraId="2595F2AB" w14:textId="6894EAF9" w:rsidR="000229F8" w:rsidRDefault="000229F8" w:rsidP="000229F8">
      <w:pPr>
        <w:spacing w:after="0" w:line="240" w:lineRule="auto"/>
        <w:jc w:val="both"/>
      </w:pPr>
      <w:r>
        <w:t>Za uspešen nadaljnji razvoj sistemov daljinskega ogrevanja je potrebno nadgraditi načrtova</w:t>
      </w:r>
      <w:r w:rsidR="00CF03A7">
        <w:t>nje energetike na lokalni ravni, p</w:t>
      </w:r>
      <w:r>
        <w:t>renoviti zakonodajni okvir za pripravo lokalnih energetskih/podnebnih konceptov ter na nacionalni ravni zagotoviti centralizirano strokovno podporo lokalnim skupnostim za načrtovanje ogrevanja/hlajenja, vključn</w:t>
      </w:r>
      <w:r w:rsidR="007D658E">
        <w:t>o s potrebnimi orodji</w:t>
      </w:r>
      <w:r>
        <w:t xml:space="preserve"> </w:t>
      </w:r>
      <w:r w:rsidR="007D658E">
        <w:t>(</w:t>
      </w:r>
      <w:r>
        <w:t>npr. toplotna karta</w:t>
      </w:r>
      <w:r w:rsidR="007D658E">
        <w:t>)</w:t>
      </w:r>
      <w:r>
        <w:t>.</w:t>
      </w:r>
    </w:p>
    <w:p w14:paraId="5C390030" w14:textId="77777777" w:rsidR="00C82A07" w:rsidRPr="00472C4D" w:rsidRDefault="00C82A07" w:rsidP="00C52E4C">
      <w:pPr>
        <w:spacing w:after="0" w:line="240" w:lineRule="auto"/>
        <w:jc w:val="both"/>
        <w:rPr>
          <w:rFonts w:ascii="Calibri" w:hAnsi="Calibri" w:cs="Calibri"/>
        </w:rPr>
      </w:pPr>
    </w:p>
    <w:p w14:paraId="4FAA4679" w14:textId="385BA5A1" w:rsidR="00CC1DEB" w:rsidRPr="00472C4D" w:rsidRDefault="003825D3" w:rsidP="00C52E4C">
      <w:pPr>
        <w:spacing w:after="0" w:line="240" w:lineRule="auto"/>
        <w:jc w:val="both"/>
        <w:rPr>
          <w:rFonts w:ascii="Calibri" w:hAnsi="Calibri" w:cs="Calibri"/>
          <w:b/>
          <w:bCs/>
        </w:rPr>
      </w:pPr>
      <w:r>
        <w:rPr>
          <w:rFonts w:ascii="Calibri" w:hAnsi="Calibri" w:cs="Calibri"/>
          <w:b/>
          <w:bCs/>
        </w:rPr>
        <w:t>4</w:t>
      </w:r>
      <w:r w:rsidR="00CC1DEB" w:rsidRPr="00472C4D">
        <w:rPr>
          <w:rFonts w:ascii="Calibri" w:hAnsi="Calibri" w:cs="Calibri"/>
          <w:b/>
          <w:bCs/>
        </w:rPr>
        <w:t>.</w:t>
      </w:r>
      <w:r w:rsidR="00C82A07">
        <w:rPr>
          <w:rFonts w:ascii="Calibri" w:hAnsi="Calibri" w:cs="Calibri"/>
          <w:b/>
          <w:bCs/>
        </w:rPr>
        <w:t>7</w:t>
      </w:r>
      <w:r w:rsidR="00CC1DEB" w:rsidRPr="00472C4D">
        <w:rPr>
          <w:rFonts w:ascii="Calibri" w:hAnsi="Calibri" w:cs="Calibri"/>
          <w:b/>
          <w:bCs/>
        </w:rPr>
        <w:t xml:space="preserve"> Odpadki</w:t>
      </w:r>
    </w:p>
    <w:p w14:paraId="4C2FAC3D" w14:textId="23D5E358" w:rsidR="00C46EC7" w:rsidRPr="00472C4D" w:rsidRDefault="00C46EC7" w:rsidP="00C52E4C">
      <w:pPr>
        <w:spacing w:after="0" w:line="240" w:lineRule="auto"/>
        <w:jc w:val="both"/>
        <w:rPr>
          <w:rFonts w:ascii="Calibri" w:hAnsi="Calibri" w:cs="Calibri"/>
        </w:rPr>
      </w:pPr>
    </w:p>
    <w:p w14:paraId="48B5696F" w14:textId="4A18EDEF" w:rsidR="009B6ADA" w:rsidRPr="00472C4D" w:rsidRDefault="009B6ADA" w:rsidP="00C52E4C">
      <w:pPr>
        <w:spacing w:after="0" w:line="240" w:lineRule="auto"/>
        <w:jc w:val="both"/>
        <w:rPr>
          <w:rFonts w:ascii="Calibri" w:hAnsi="Calibri" w:cs="Calibri"/>
        </w:rPr>
      </w:pPr>
      <w:r w:rsidRPr="00472C4D">
        <w:rPr>
          <w:rFonts w:ascii="Calibri" w:hAnsi="Calibri" w:cs="Calibri"/>
        </w:rPr>
        <w:t>Na področju zmanjšanja količine nastalih odpadkov, spodbujanj</w:t>
      </w:r>
      <w:r w:rsidR="0028478E" w:rsidRPr="00472C4D">
        <w:rPr>
          <w:rFonts w:ascii="Calibri" w:hAnsi="Calibri" w:cs="Calibri"/>
        </w:rPr>
        <w:t>a</w:t>
      </w:r>
      <w:r w:rsidRPr="00472C4D">
        <w:rPr>
          <w:rFonts w:ascii="Calibri" w:hAnsi="Calibri" w:cs="Calibri"/>
        </w:rPr>
        <w:t xml:space="preserve"> ponovne uporabe</w:t>
      </w:r>
      <w:r w:rsidR="0028478E" w:rsidRPr="00472C4D">
        <w:rPr>
          <w:rFonts w:ascii="Calibri" w:hAnsi="Calibri" w:cs="Calibri"/>
        </w:rPr>
        <w:t>,</w:t>
      </w:r>
      <w:r w:rsidRPr="00472C4D">
        <w:rPr>
          <w:rFonts w:ascii="Calibri" w:hAnsi="Calibri" w:cs="Calibri"/>
        </w:rPr>
        <w:t xml:space="preserve"> recikliranja</w:t>
      </w:r>
      <w:r w:rsidR="0028478E" w:rsidRPr="00472C4D">
        <w:rPr>
          <w:rFonts w:ascii="Calibri" w:hAnsi="Calibri" w:cs="Calibri"/>
        </w:rPr>
        <w:t xml:space="preserve"> in ozavešč</w:t>
      </w:r>
      <w:r w:rsidR="00580E2D">
        <w:rPr>
          <w:rFonts w:ascii="Calibri" w:hAnsi="Calibri" w:cs="Calibri"/>
        </w:rPr>
        <w:t>a</w:t>
      </w:r>
      <w:r w:rsidR="0028478E" w:rsidRPr="00472C4D">
        <w:rPr>
          <w:rFonts w:ascii="Calibri" w:hAnsi="Calibri" w:cs="Calibri"/>
        </w:rPr>
        <w:t>nja</w:t>
      </w:r>
      <w:r w:rsidR="00A03A2C">
        <w:rPr>
          <w:rFonts w:ascii="Calibri" w:hAnsi="Calibri" w:cs="Calibri"/>
        </w:rPr>
        <w:t xml:space="preserve"> so </w:t>
      </w:r>
      <w:r w:rsidR="00E347C8">
        <w:rPr>
          <w:rFonts w:ascii="Calibri" w:hAnsi="Calibri" w:cs="Calibri"/>
        </w:rPr>
        <w:t>v letih</w:t>
      </w:r>
      <w:r w:rsidRPr="00472C4D">
        <w:rPr>
          <w:rFonts w:ascii="Calibri" w:hAnsi="Calibri" w:cs="Calibri"/>
        </w:rPr>
        <w:t xml:space="preserve"> 2018</w:t>
      </w:r>
      <w:r w:rsidR="00E347C8">
        <w:rPr>
          <w:rFonts w:ascii="Calibri" w:hAnsi="Calibri" w:cs="Calibri"/>
        </w:rPr>
        <w:t xml:space="preserve"> in 2019</w:t>
      </w:r>
      <w:r w:rsidRPr="00472C4D">
        <w:rPr>
          <w:rFonts w:ascii="Calibri" w:hAnsi="Calibri" w:cs="Calibri"/>
        </w:rPr>
        <w:t xml:space="preserve"> potekal</w:t>
      </w:r>
      <w:r w:rsidR="00A03A2C">
        <w:rPr>
          <w:rFonts w:ascii="Calibri" w:hAnsi="Calibri" w:cs="Calibri"/>
        </w:rPr>
        <w:t>e</w:t>
      </w:r>
      <w:r w:rsidRPr="00472C4D">
        <w:rPr>
          <w:rFonts w:ascii="Calibri" w:hAnsi="Calibri" w:cs="Calibri"/>
        </w:rPr>
        <w:t xml:space="preserve"> </w:t>
      </w:r>
      <w:r w:rsidR="00A03A2C">
        <w:rPr>
          <w:rFonts w:ascii="Calibri" w:hAnsi="Calibri" w:cs="Calibri"/>
        </w:rPr>
        <w:t>naslednje</w:t>
      </w:r>
      <w:r w:rsidRPr="00472C4D">
        <w:rPr>
          <w:rFonts w:ascii="Calibri" w:hAnsi="Calibri" w:cs="Calibri"/>
        </w:rPr>
        <w:t xml:space="preserve"> ak</w:t>
      </w:r>
      <w:r w:rsidR="00BE437C">
        <w:rPr>
          <w:rFonts w:ascii="Calibri" w:hAnsi="Calibri" w:cs="Calibri"/>
        </w:rPr>
        <w:t>tivnosti</w:t>
      </w:r>
      <w:r w:rsidRPr="00472C4D">
        <w:rPr>
          <w:rFonts w:ascii="Calibri" w:hAnsi="Calibri" w:cs="Calibri"/>
        </w:rPr>
        <w:t>:</w:t>
      </w:r>
    </w:p>
    <w:p w14:paraId="0AE1A243" w14:textId="2D28E320" w:rsidR="001872B5" w:rsidRDefault="009B6ADA" w:rsidP="00C52E4C">
      <w:pPr>
        <w:pStyle w:val="Odstavekseznama"/>
        <w:numPr>
          <w:ilvl w:val="0"/>
          <w:numId w:val="9"/>
        </w:numPr>
        <w:spacing w:after="0" w:line="240" w:lineRule="auto"/>
        <w:jc w:val="both"/>
        <w:rPr>
          <w:rFonts w:ascii="Calibri" w:hAnsi="Calibri" w:cs="Calibri"/>
        </w:rPr>
      </w:pPr>
      <w:r w:rsidRPr="001872B5">
        <w:rPr>
          <w:rFonts w:ascii="Calibri" w:hAnsi="Calibri" w:cs="Calibri"/>
        </w:rPr>
        <w:t>ozaveščevalna kampanja</w:t>
      </w:r>
      <w:r w:rsidR="00545B56" w:rsidRPr="001872B5">
        <w:rPr>
          <w:rFonts w:ascii="Calibri" w:hAnsi="Calibri" w:cs="Calibri"/>
        </w:rPr>
        <w:t xml:space="preserve"> </w:t>
      </w:r>
      <w:r w:rsidR="00545B56" w:rsidRPr="001872B5">
        <w:rPr>
          <w:rFonts w:ascii="Calibri" w:hAnsi="Calibri" w:cs="Calibri"/>
          <w:i/>
          <w:iCs/>
        </w:rPr>
        <w:t>Imam svojo vrečko!</w:t>
      </w:r>
      <w:r w:rsidRPr="001872B5">
        <w:rPr>
          <w:rFonts w:ascii="Calibri" w:hAnsi="Calibri" w:cs="Calibri"/>
        </w:rPr>
        <w:t>, ki je spodbujala k zmanjšanju potrošnje lahkih plastičnih nosilnih vrečk</w:t>
      </w:r>
      <w:r w:rsidR="00D45698">
        <w:rPr>
          <w:rFonts w:ascii="Calibri" w:hAnsi="Calibri" w:cs="Calibri"/>
        </w:rPr>
        <w:t xml:space="preserve"> (MOP)</w:t>
      </w:r>
      <w:r w:rsidRPr="001872B5">
        <w:rPr>
          <w:rFonts w:ascii="Calibri" w:hAnsi="Calibri" w:cs="Calibri"/>
        </w:rPr>
        <w:t>;</w:t>
      </w:r>
    </w:p>
    <w:p w14:paraId="0B6E146B" w14:textId="77777777" w:rsidR="001872B5" w:rsidRDefault="009B6ADA" w:rsidP="00C52E4C">
      <w:pPr>
        <w:pStyle w:val="Odstavekseznama"/>
        <w:numPr>
          <w:ilvl w:val="0"/>
          <w:numId w:val="9"/>
        </w:numPr>
        <w:spacing w:after="0" w:line="240" w:lineRule="auto"/>
        <w:jc w:val="both"/>
        <w:rPr>
          <w:rFonts w:ascii="Calibri" w:hAnsi="Calibri" w:cs="Calibri"/>
        </w:rPr>
      </w:pPr>
      <w:r w:rsidRPr="001872B5">
        <w:rPr>
          <w:rFonts w:ascii="Calibri" w:hAnsi="Calibri" w:cs="Calibri"/>
        </w:rPr>
        <w:t xml:space="preserve">projekt </w:t>
      </w:r>
      <w:r w:rsidRPr="001872B5">
        <w:rPr>
          <w:rFonts w:ascii="Calibri" w:hAnsi="Calibri" w:cs="Calibri"/>
          <w:i/>
          <w:iCs/>
        </w:rPr>
        <w:t>Ne več, ampak bolje</w:t>
      </w:r>
      <w:r w:rsidRPr="001872B5">
        <w:rPr>
          <w:rFonts w:ascii="Calibri" w:hAnsi="Calibri" w:cs="Calibri"/>
        </w:rPr>
        <w:t>, ki promovira preprečevanje odpadkov v gospodinjstvih, kosovnih odpadkov,  tekstilnih odpadkov ter zmanjšanje nagrobnih sveč;</w:t>
      </w:r>
    </w:p>
    <w:p w14:paraId="45E95959" w14:textId="7A2CBD6C" w:rsidR="001872B5" w:rsidRDefault="00F258EE" w:rsidP="00C52E4C">
      <w:pPr>
        <w:pStyle w:val="Odstavekseznama"/>
        <w:numPr>
          <w:ilvl w:val="0"/>
          <w:numId w:val="9"/>
        </w:numPr>
        <w:spacing w:after="0" w:line="240" w:lineRule="auto"/>
        <w:jc w:val="both"/>
        <w:rPr>
          <w:rFonts w:ascii="Calibri" w:hAnsi="Calibri" w:cs="Calibri"/>
        </w:rPr>
      </w:pPr>
      <w:r>
        <w:rPr>
          <w:rFonts w:ascii="Calibri" w:hAnsi="Calibri" w:cs="Calibri"/>
        </w:rPr>
        <w:t xml:space="preserve">v soorganizaciji GZS je potekal </w:t>
      </w:r>
      <w:r w:rsidR="00E575D7" w:rsidRPr="001872B5">
        <w:rPr>
          <w:rFonts w:ascii="Calibri" w:hAnsi="Calibri" w:cs="Calibri"/>
        </w:rPr>
        <w:t>Evropski teden zmanjševanja odpadkov (ETZO)</w:t>
      </w:r>
      <w:r>
        <w:rPr>
          <w:rFonts w:ascii="Calibri" w:hAnsi="Calibri" w:cs="Calibri"/>
        </w:rPr>
        <w:t xml:space="preserve"> </w:t>
      </w:r>
      <w:r>
        <w:t>na temo preprečevanja nastajanja nevarnih odpadkov</w:t>
      </w:r>
      <w:r w:rsidR="00E575D7" w:rsidRPr="001872B5">
        <w:rPr>
          <w:rFonts w:ascii="Calibri" w:hAnsi="Calibri" w:cs="Calibri"/>
        </w:rPr>
        <w:t>;</w:t>
      </w:r>
    </w:p>
    <w:p w14:paraId="0B94436D" w14:textId="77777777" w:rsidR="00F258EE" w:rsidRPr="00F258EE" w:rsidRDefault="00E575D7" w:rsidP="00C52E4C">
      <w:pPr>
        <w:pStyle w:val="Odstavekseznama"/>
        <w:numPr>
          <w:ilvl w:val="0"/>
          <w:numId w:val="9"/>
        </w:numPr>
        <w:spacing w:after="0" w:line="240" w:lineRule="auto"/>
        <w:jc w:val="both"/>
        <w:rPr>
          <w:rFonts w:cstheme="minorHAnsi"/>
        </w:rPr>
      </w:pPr>
      <w:r w:rsidRPr="001872B5">
        <w:rPr>
          <w:rFonts w:ascii="Calibri" w:hAnsi="Calibri" w:cs="Calibri"/>
        </w:rPr>
        <w:t xml:space="preserve">projekt </w:t>
      </w:r>
      <w:r w:rsidRPr="001872B5">
        <w:rPr>
          <w:rFonts w:ascii="Calibri" w:hAnsi="Calibri" w:cs="Calibri"/>
          <w:i/>
          <w:iCs/>
        </w:rPr>
        <w:t>Plastika naša vsakdanja</w:t>
      </w:r>
      <w:r w:rsidRPr="001872B5">
        <w:rPr>
          <w:rFonts w:ascii="Calibri" w:hAnsi="Calibri" w:cs="Calibri"/>
        </w:rPr>
        <w:t>, ki ozavešča javnost, analizira deležnike na trgu plastične embalaže, ocenjuje količine in vrste plastične embalaže, sodeluje s podjet</w:t>
      </w:r>
      <w:r w:rsidR="00F258EE">
        <w:rPr>
          <w:rFonts w:ascii="Calibri" w:hAnsi="Calibri" w:cs="Calibri"/>
        </w:rPr>
        <w:t>ji, ki se ukvarjajo s plastiko;</w:t>
      </w:r>
    </w:p>
    <w:p w14:paraId="47BC8496" w14:textId="2808A2D1" w:rsidR="00003D71" w:rsidRPr="00003D71" w:rsidRDefault="00F258EE" w:rsidP="00003D71">
      <w:pPr>
        <w:pStyle w:val="Odstavekseznama"/>
        <w:numPr>
          <w:ilvl w:val="0"/>
          <w:numId w:val="9"/>
        </w:numPr>
        <w:spacing w:after="0" w:line="240" w:lineRule="auto"/>
        <w:jc w:val="both"/>
        <w:rPr>
          <w:rFonts w:cstheme="minorHAnsi"/>
        </w:rPr>
      </w:pPr>
      <w:r w:rsidRPr="00F258EE">
        <w:rPr>
          <w:rFonts w:cstheme="minorHAnsi"/>
        </w:rPr>
        <w:t xml:space="preserve">projekt Okoljsko raziskovalnega zavoda Pozabljen »R«, ki ozavešča javnost </w:t>
      </w:r>
      <w:r>
        <w:rPr>
          <w:rFonts w:cstheme="minorHAnsi"/>
        </w:rPr>
        <w:t xml:space="preserve">o </w:t>
      </w:r>
      <w:r w:rsidRPr="00F258EE">
        <w:rPr>
          <w:rFonts w:cstheme="minorHAnsi"/>
          <w:shd w:val="clear" w:color="auto" w:fill="FFFFFF"/>
        </w:rPr>
        <w:t>treh »3 R« (</w:t>
      </w:r>
      <w:proofErr w:type="spellStart"/>
      <w:r w:rsidRPr="00F258EE">
        <w:rPr>
          <w:rFonts w:cstheme="minorHAnsi"/>
          <w:shd w:val="clear" w:color="auto" w:fill="FFFFFF"/>
        </w:rPr>
        <w:t>Reduce</w:t>
      </w:r>
      <w:proofErr w:type="spellEnd"/>
      <w:r w:rsidRPr="00F258EE">
        <w:rPr>
          <w:rFonts w:cstheme="minorHAnsi"/>
          <w:shd w:val="clear" w:color="auto" w:fill="FFFFFF"/>
        </w:rPr>
        <w:t xml:space="preserve">, </w:t>
      </w:r>
      <w:proofErr w:type="spellStart"/>
      <w:r w:rsidRPr="00F258EE">
        <w:rPr>
          <w:rFonts w:cstheme="minorHAnsi"/>
          <w:shd w:val="clear" w:color="auto" w:fill="FFFFFF"/>
        </w:rPr>
        <w:t>Repair</w:t>
      </w:r>
      <w:proofErr w:type="spellEnd"/>
      <w:r w:rsidRPr="00F258EE">
        <w:rPr>
          <w:rFonts w:cstheme="minorHAnsi"/>
          <w:shd w:val="clear" w:color="auto" w:fill="FFFFFF"/>
        </w:rPr>
        <w:t xml:space="preserve">, </w:t>
      </w:r>
      <w:proofErr w:type="spellStart"/>
      <w:r w:rsidRPr="00F258EE">
        <w:rPr>
          <w:rFonts w:cstheme="minorHAnsi"/>
          <w:shd w:val="clear" w:color="auto" w:fill="FFFFFF"/>
        </w:rPr>
        <w:t>Reuse</w:t>
      </w:r>
      <w:proofErr w:type="spellEnd"/>
      <w:r w:rsidRPr="00F258EE">
        <w:rPr>
          <w:rFonts w:cstheme="minorHAnsi"/>
          <w:shd w:val="clear" w:color="auto" w:fill="FFFFFF"/>
        </w:rPr>
        <w:t>), s poudarkom na poz</w:t>
      </w:r>
      <w:r w:rsidR="00003D71">
        <w:rPr>
          <w:rFonts w:cstheme="minorHAnsi"/>
          <w:shd w:val="clear" w:color="auto" w:fill="FFFFFF"/>
        </w:rPr>
        <w:t xml:space="preserve">abljenem »R« - </w:t>
      </w:r>
      <w:proofErr w:type="spellStart"/>
      <w:r w:rsidR="00003D71">
        <w:rPr>
          <w:rFonts w:cstheme="minorHAnsi"/>
          <w:shd w:val="clear" w:color="auto" w:fill="FFFFFF"/>
        </w:rPr>
        <w:t>Repair</w:t>
      </w:r>
      <w:proofErr w:type="spellEnd"/>
      <w:r w:rsidR="00003D71">
        <w:rPr>
          <w:rFonts w:cstheme="minorHAnsi"/>
          <w:shd w:val="clear" w:color="auto" w:fill="FFFFFF"/>
        </w:rPr>
        <w:t>/popravilo.</w:t>
      </w:r>
    </w:p>
    <w:p w14:paraId="131FB8A5" w14:textId="77777777" w:rsidR="00BE437C" w:rsidRDefault="00BE437C" w:rsidP="00BE437C">
      <w:pPr>
        <w:spacing w:after="0" w:line="240" w:lineRule="auto"/>
        <w:jc w:val="both"/>
        <w:rPr>
          <w:rFonts w:cstheme="minorHAnsi"/>
        </w:rPr>
      </w:pPr>
    </w:p>
    <w:p w14:paraId="01879E5D" w14:textId="518C03E7" w:rsidR="00BE437C" w:rsidRPr="00BE437C" w:rsidRDefault="00A03A2C" w:rsidP="00BE437C">
      <w:pPr>
        <w:spacing w:after="0" w:line="240" w:lineRule="auto"/>
        <w:jc w:val="both"/>
        <w:rPr>
          <w:rFonts w:cstheme="minorHAnsi"/>
        </w:rPr>
      </w:pPr>
      <w:r>
        <w:rPr>
          <w:rFonts w:cstheme="minorHAnsi"/>
        </w:rPr>
        <w:t>V letu 2019 so bile s</w:t>
      </w:r>
      <w:r w:rsidR="00BE437C">
        <w:rPr>
          <w:rFonts w:cstheme="minorHAnsi"/>
        </w:rPr>
        <w:t>klenjene naslednje zaveze:</w:t>
      </w:r>
    </w:p>
    <w:p w14:paraId="1A028767" w14:textId="7E98A033" w:rsidR="00F258EE" w:rsidRPr="00F258EE" w:rsidRDefault="00F258EE" w:rsidP="00C52E4C">
      <w:pPr>
        <w:pStyle w:val="Odstavekseznama"/>
        <w:numPr>
          <w:ilvl w:val="0"/>
          <w:numId w:val="9"/>
        </w:numPr>
        <w:spacing w:after="0" w:line="240" w:lineRule="auto"/>
        <w:jc w:val="both"/>
        <w:rPr>
          <w:rFonts w:ascii="Calibri" w:hAnsi="Calibri" w:cs="Calibri"/>
        </w:rPr>
      </w:pPr>
      <w:r>
        <w:t>s Trgovinsko zbornico Slovenije je MOP leta 2019 podpisal kodeks za manj plastičnih vrečk za enkratno uporabo v slovenskih trgovinah</w:t>
      </w:r>
      <w:r w:rsidR="00BE437C">
        <w:t xml:space="preserve"> - o</w:t>
      </w:r>
      <w:r>
        <w:t>d 1. 9. 2019 v trgovinah na blagajnah ni več</w:t>
      </w:r>
      <w:r w:rsidR="00BE437C">
        <w:t xml:space="preserve"> mogoče kupiti plastičnih vrečk;</w:t>
      </w:r>
      <w:r>
        <w:t xml:space="preserve"> </w:t>
      </w:r>
    </w:p>
    <w:p w14:paraId="12763907" w14:textId="7B57E70A" w:rsidR="00F258EE" w:rsidRPr="00F258EE" w:rsidRDefault="00F258EE" w:rsidP="00C52E4C">
      <w:pPr>
        <w:pStyle w:val="Odstavekseznama"/>
        <w:numPr>
          <w:ilvl w:val="0"/>
          <w:numId w:val="9"/>
        </w:numPr>
        <w:spacing w:after="0" w:line="240" w:lineRule="auto"/>
        <w:jc w:val="both"/>
        <w:rPr>
          <w:rFonts w:ascii="Calibri" w:hAnsi="Calibri" w:cs="Calibri"/>
        </w:rPr>
      </w:pPr>
      <w:r>
        <w:t>kodeks s Turistično gostinsko zbornico o zmanjšanju uporabe plastičnega pribora v gostinskih dejavnostih je bil podpisan 11. 11. 2019 - gostinci, ki bodo pristopili h kodeksu, se prostovoljno zavezujejo, da v svojih gostinskih obratih od 1. 1. 2020 gostom ne bodo ponujali plastičnih slamic, plastičnih krožnikov, plastičnih lončkov i</w:t>
      </w:r>
      <w:r w:rsidR="00BE437C">
        <w:t>n plastičnega jedilnega pribora;</w:t>
      </w:r>
      <w:r>
        <w:t xml:space="preserve"> </w:t>
      </w:r>
    </w:p>
    <w:p w14:paraId="6237FC7E" w14:textId="273F35EB" w:rsidR="00BE437C" w:rsidRPr="00BE437C" w:rsidRDefault="00F258EE" w:rsidP="00C52E4C">
      <w:pPr>
        <w:pStyle w:val="Odstavekseznama"/>
        <w:numPr>
          <w:ilvl w:val="0"/>
          <w:numId w:val="9"/>
        </w:numPr>
        <w:spacing w:after="0" w:line="240" w:lineRule="auto"/>
        <w:jc w:val="both"/>
        <w:rPr>
          <w:rFonts w:ascii="Calibri" w:hAnsi="Calibri" w:cs="Calibri"/>
        </w:rPr>
      </w:pPr>
      <w:r>
        <w:t>sporazum s Skupnostjo slovenskih občin (SOS) o spodbujanju zmanjšanja uporabe plastičnega pribora v slovenskih občinah je bil podpisan novembra 2019</w:t>
      </w:r>
      <w:r w:rsidR="00BE437C">
        <w:t xml:space="preserve"> -</w:t>
      </w:r>
      <w:r>
        <w:t xml:space="preserve"> </w:t>
      </w:r>
      <w:r w:rsidR="00BE437C">
        <w:t>k</w:t>
      </w:r>
      <w:r>
        <w:t xml:space="preserve"> dogovoru lahko kadarkoli pristopi občina, ki v okviru svojih aktivnosti organizira različne oblike javnih ali internih prireditev in sestankov, kjer ni na voljo plastični pribor</w:t>
      </w:r>
      <w:r w:rsidR="00BE437C">
        <w:t>;</w:t>
      </w:r>
      <w:r>
        <w:t xml:space="preserve"> </w:t>
      </w:r>
    </w:p>
    <w:p w14:paraId="5DA8D922" w14:textId="62A93C83" w:rsidR="00BE437C" w:rsidRPr="00BE437C" w:rsidRDefault="00F258EE" w:rsidP="00C52E4C">
      <w:pPr>
        <w:pStyle w:val="Odstavekseznama"/>
        <w:numPr>
          <w:ilvl w:val="0"/>
          <w:numId w:val="9"/>
        </w:numPr>
        <w:spacing w:after="0" w:line="240" w:lineRule="auto"/>
        <w:jc w:val="both"/>
        <w:rPr>
          <w:rFonts w:ascii="Calibri" w:hAnsi="Calibri" w:cs="Calibri"/>
        </w:rPr>
      </w:pPr>
      <w:r>
        <w:t>MOP se je zavezal, da v svojih prostorih in na dogodkih, ki jih organizira, ponuja pitno vodo iz pipe in k njenemu pitju spodbuja tudi</w:t>
      </w:r>
      <w:r w:rsidR="00BE437C">
        <w:t xml:space="preserve"> zaposlene in ostale deležnike </w:t>
      </w:r>
      <w:r>
        <w:t xml:space="preserve">(Certifikat Voda iz pipe). </w:t>
      </w:r>
    </w:p>
    <w:p w14:paraId="1E731F95" w14:textId="77777777" w:rsidR="00F258EE" w:rsidRDefault="00F258EE" w:rsidP="00C52E4C">
      <w:pPr>
        <w:spacing w:after="0" w:line="240" w:lineRule="auto"/>
        <w:jc w:val="both"/>
        <w:rPr>
          <w:rFonts w:ascii="Calibri" w:hAnsi="Calibri" w:cs="Calibri"/>
        </w:rPr>
      </w:pPr>
    </w:p>
    <w:p w14:paraId="316DB13C" w14:textId="77777777" w:rsidR="00D503E5" w:rsidRDefault="00D503E5" w:rsidP="00C52E4C">
      <w:pPr>
        <w:spacing w:after="0" w:line="240" w:lineRule="auto"/>
        <w:jc w:val="both"/>
        <w:rPr>
          <w:rFonts w:ascii="Calibri" w:hAnsi="Calibri" w:cs="Calibri"/>
        </w:rPr>
      </w:pPr>
    </w:p>
    <w:p w14:paraId="58352469" w14:textId="77777777" w:rsidR="00D503E5" w:rsidRDefault="00D503E5" w:rsidP="00C52E4C">
      <w:pPr>
        <w:spacing w:after="0" w:line="240" w:lineRule="auto"/>
        <w:jc w:val="both"/>
        <w:rPr>
          <w:rFonts w:ascii="Calibri" w:hAnsi="Calibri" w:cs="Calibri"/>
        </w:rPr>
      </w:pPr>
    </w:p>
    <w:p w14:paraId="1CC86165" w14:textId="07C9D51E" w:rsidR="001872B5" w:rsidRDefault="00931A2E" w:rsidP="00C52E4C">
      <w:pPr>
        <w:spacing w:after="0" w:line="240" w:lineRule="auto"/>
        <w:jc w:val="both"/>
        <w:rPr>
          <w:rFonts w:ascii="Calibri" w:hAnsi="Calibri" w:cs="Calibri"/>
        </w:rPr>
      </w:pPr>
      <w:r>
        <w:rPr>
          <w:rFonts w:ascii="Calibri" w:hAnsi="Calibri" w:cs="Calibri"/>
        </w:rPr>
        <w:lastRenderedPageBreak/>
        <w:t>Spremembe na p</w:t>
      </w:r>
      <w:r w:rsidR="00772C97" w:rsidRPr="00472C4D">
        <w:rPr>
          <w:rFonts w:ascii="Calibri" w:hAnsi="Calibri" w:cs="Calibri"/>
        </w:rPr>
        <w:t>odročj</w:t>
      </w:r>
      <w:r>
        <w:rPr>
          <w:rFonts w:ascii="Calibri" w:hAnsi="Calibri" w:cs="Calibri"/>
        </w:rPr>
        <w:t>u</w:t>
      </w:r>
      <w:r w:rsidR="00772C97" w:rsidRPr="00472C4D">
        <w:rPr>
          <w:rFonts w:ascii="Calibri" w:hAnsi="Calibri" w:cs="Calibri"/>
        </w:rPr>
        <w:t xml:space="preserve"> zakonodajnih rešitev </w:t>
      </w:r>
      <w:r>
        <w:rPr>
          <w:rFonts w:ascii="Calibri" w:hAnsi="Calibri" w:cs="Calibri"/>
        </w:rPr>
        <w:t>so bile v letih 2018 ali 2019 naslednje</w:t>
      </w:r>
      <w:r w:rsidR="00772C97" w:rsidRPr="00472C4D">
        <w:rPr>
          <w:rFonts w:ascii="Calibri" w:hAnsi="Calibri" w:cs="Calibri"/>
        </w:rPr>
        <w:t>:</w:t>
      </w:r>
    </w:p>
    <w:p w14:paraId="40FEACD7" w14:textId="77777777" w:rsidR="001872B5" w:rsidRDefault="002D2034" w:rsidP="00C52E4C">
      <w:pPr>
        <w:pStyle w:val="Odstavekseznama"/>
        <w:numPr>
          <w:ilvl w:val="0"/>
          <w:numId w:val="10"/>
        </w:numPr>
        <w:spacing w:after="0" w:line="240" w:lineRule="auto"/>
        <w:jc w:val="both"/>
        <w:rPr>
          <w:rFonts w:ascii="Calibri" w:hAnsi="Calibri" w:cs="Calibri"/>
        </w:rPr>
      </w:pPr>
      <w:r w:rsidRPr="001872B5">
        <w:rPr>
          <w:rFonts w:ascii="Calibri" w:hAnsi="Calibri" w:cs="Calibri"/>
        </w:rPr>
        <w:t xml:space="preserve">V letu 2017 je bila sprejeta Uredba o obvezni občinski gospodarski javni službi zbiranja komunalnih odpadkov (UR. L. RS št. 33/17 in 60/18), v kateri so določeni ukrepi za povečanje deleža ločeno zbranih odpadkov na izvoru. Izvajalec javne službe v zbirnem centru mora omogočiti izvajalcu priprave za ponovno uporabo, da vsaj iz prevzetega tekstila, oblačil in kosovnih odpadkov, izloči odpadke, primerne za pripravo za ponovno uporabo, in mu jih dati. </w:t>
      </w:r>
    </w:p>
    <w:p w14:paraId="722810E7" w14:textId="77777777" w:rsidR="001872B5" w:rsidRDefault="005C0CAC" w:rsidP="00C52E4C">
      <w:pPr>
        <w:pStyle w:val="Odstavekseznama"/>
        <w:numPr>
          <w:ilvl w:val="0"/>
          <w:numId w:val="10"/>
        </w:numPr>
        <w:spacing w:after="0" w:line="240" w:lineRule="auto"/>
        <w:jc w:val="both"/>
        <w:rPr>
          <w:rFonts w:ascii="Calibri" w:hAnsi="Calibri" w:cs="Calibri"/>
        </w:rPr>
      </w:pPr>
      <w:r w:rsidRPr="001872B5">
        <w:rPr>
          <w:rFonts w:ascii="Calibri" w:hAnsi="Calibri" w:cs="Calibri"/>
        </w:rPr>
        <w:t>Na področju izboljšanja sistema zbiranja odpadne embalaže, je bila spremenjena in dopolnjena Uredba o ravnanju z embalažo, odpadno embalažo ter sprejet Ukaz o razglasitvi Zakona o interventnih ukrepih pri ravnanju s komunalno odpadno embalažo in z odpadnimi nagrobnimi svečami (ZIURKOE). Zakon ureja interventne ukrepe pri ravnanju s komunalno odpadno embalažo in odpadnimi nagrobnimi svečami.</w:t>
      </w:r>
      <w:r w:rsidR="00F32290" w:rsidRPr="001872B5">
        <w:rPr>
          <w:rFonts w:ascii="Calibri" w:hAnsi="Calibri" w:cs="Calibri"/>
        </w:rPr>
        <w:t xml:space="preserve"> </w:t>
      </w:r>
    </w:p>
    <w:p w14:paraId="40F62EA1" w14:textId="053F8D9A" w:rsidR="002D2034" w:rsidRPr="001872B5" w:rsidRDefault="00F32290" w:rsidP="00C52E4C">
      <w:pPr>
        <w:pStyle w:val="Odstavekseznama"/>
        <w:numPr>
          <w:ilvl w:val="0"/>
          <w:numId w:val="10"/>
        </w:numPr>
        <w:spacing w:after="0" w:line="240" w:lineRule="auto"/>
        <w:jc w:val="both"/>
        <w:rPr>
          <w:rFonts w:ascii="Calibri" w:hAnsi="Calibri" w:cs="Calibri"/>
        </w:rPr>
      </w:pPr>
      <w:r w:rsidRPr="001872B5">
        <w:rPr>
          <w:rFonts w:ascii="Calibri" w:hAnsi="Calibri" w:cs="Calibri"/>
        </w:rPr>
        <w:t>Dopolnjena je bila Uredba o metodologiji za oblikovanje cen storitev obveznih občinskih gospodarskih javnih služb varstva okolja (23. člen, 13. odstavek), ki občini daje možnost, da odvoz odpadkov obračunava na dejansko prepuščeno maso uporabnika.</w:t>
      </w:r>
      <w:r w:rsidR="005C0CAC" w:rsidRPr="001872B5">
        <w:rPr>
          <w:rFonts w:ascii="Calibri" w:hAnsi="Calibri" w:cs="Calibri"/>
        </w:rPr>
        <w:t xml:space="preserve"> </w:t>
      </w:r>
      <w:r w:rsidR="002D2034" w:rsidRPr="001872B5">
        <w:rPr>
          <w:rFonts w:ascii="Calibri" w:hAnsi="Calibri" w:cs="Calibri"/>
        </w:rPr>
        <w:t xml:space="preserve"> </w:t>
      </w:r>
    </w:p>
    <w:p w14:paraId="36B3EC21" w14:textId="77777777" w:rsidR="0015104A" w:rsidRPr="0015104A" w:rsidRDefault="00545B56" w:rsidP="001872B5">
      <w:pPr>
        <w:pStyle w:val="Odstavekseznama"/>
        <w:numPr>
          <w:ilvl w:val="0"/>
          <w:numId w:val="10"/>
        </w:numPr>
        <w:spacing w:after="0" w:line="240" w:lineRule="auto"/>
        <w:jc w:val="both"/>
        <w:rPr>
          <w:rFonts w:ascii="Calibri" w:hAnsi="Calibri" w:cs="Calibri"/>
        </w:rPr>
      </w:pPr>
      <w:r w:rsidRPr="0015104A">
        <w:rPr>
          <w:rFonts w:ascii="Calibri" w:hAnsi="Calibri" w:cs="Calibri"/>
        </w:rPr>
        <w:t>V letu 2018 je bila sprejeta Uredba o spremembah in dopolnitvah Uredbe o predelavi biološko razgradljivih odpadkov in uporabi komposta ali digestata, ki je uskladila predpisane mejne vrednosti za kompost, namenjen uporabi v kmetijstvu</w:t>
      </w:r>
      <w:r w:rsidR="00992B51" w:rsidRPr="0015104A">
        <w:rPr>
          <w:rFonts w:ascii="Calibri" w:hAnsi="Calibri" w:cs="Calibri"/>
        </w:rPr>
        <w:t>,</w:t>
      </w:r>
      <w:r w:rsidRPr="0015104A">
        <w:rPr>
          <w:rFonts w:ascii="Calibri" w:hAnsi="Calibri" w:cs="Calibri"/>
        </w:rPr>
        <w:t xml:space="preserve"> z ostalimi državami članicami ter vzpostavila dodatna merila za uporaba digestata.</w:t>
      </w:r>
      <w:r w:rsidR="0015104A">
        <w:rPr>
          <w:rFonts w:ascii="Calibri" w:hAnsi="Calibri" w:cs="Calibri"/>
        </w:rPr>
        <w:t xml:space="preserve"> </w:t>
      </w:r>
      <w:r w:rsidR="0015104A">
        <w:t xml:space="preserve">V letu 2019 je bil predviden povečan obseg nadzora nad izvajanjem Uredbe o predelavi biološko razgradljivih odpadkov in uporabi komposta ali 70 digestata s strani Inšpektorata RS za okolje in prostor in Inšpektorata RS za kmetijstvo, gozdarstvo, lovstvo in ribištvo – akcija nadzora programa upravljanja območij Natura 2000 – PUN. </w:t>
      </w:r>
    </w:p>
    <w:p w14:paraId="15474140" w14:textId="08C5E528" w:rsidR="0015104A" w:rsidRPr="0015104A" w:rsidRDefault="0015104A" w:rsidP="001872B5">
      <w:pPr>
        <w:pStyle w:val="Odstavekseznama"/>
        <w:numPr>
          <w:ilvl w:val="0"/>
          <w:numId w:val="10"/>
        </w:numPr>
        <w:spacing w:after="0" w:line="240" w:lineRule="auto"/>
        <w:jc w:val="both"/>
        <w:rPr>
          <w:rFonts w:ascii="Calibri" w:hAnsi="Calibri" w:cs="Calibri"/>
        </w:rPr>
      </w:pPr>
      <w:r>
        <w:t>V letu 2019 je bila sprejeta Uredba (EU) 2019/1009 o določitvi pravil o omogočanju dostopnosti sredstev za gnojenje EU na trgu, spremembi uredb (ES) št. 1069/2009 in (ES) št. 1107/2009 ter razveljavitvi Uredbe (ES) št. 2003/2003, ki ureja prav to področje. S sprejetjem te uredbe se načeloma odpira trg za digestat in kompost kot sestavni material sredstev za gnojenje, ki zadošča kriterijem Uredbe EU, kar lahko vodi v uporabo večje količine komposta in digestata, ki je lahko tudi slabše kakovosti kot ta, ki nastaja oz. se predela v RS.</w:t>
      </w:r>
    </w:p>
    <w:p w14:paraId="2FE9DDE2" w14:textId="70457C6B" w:rsidR="00BE437C" w:rsidRPr="00A1654D" w:rsidRDefault="00BE437C" w:rsidP="00BE437C">
      <w:pPr>
        <w:pStyle w:val="Odstavekseznama"/>
        <w:numPr>
          <w:ilvl w:val="0"/>
          <w:numId w:val="10"/>
        </w:numPr>
        <w:spacing w:after="0" w:line="240" w:lineRule="auto"/>
        <w:jc w:val="both"/>
        <w:rPr>
          <w:rFonts w:ascii="Calibri" w:hAnsi="Calibri" w:cs="Calibri"/>
        </w:rPr>
      </w:pPr>
      <w:r w:rsidRPr="00BE437C">
        <w:rPr>
          <w:rFonts w:ascii="Calibri" w:hAnsi="Calibri" w:cs="Calibri"/>
        </w:rPr>
        <w:t xml:space="preserve">V letu 2019 </w:t>
      </w:r>
      <w:r>
        <w:t>je bil pripravljen predlog spremembe Zakona o varstvu okolja, ki v slovenski pravni red prenaša tudi zahteve Direktive (EU) 2018/851 o odpadkih glede sistema proizvajalčeve razširjene odgovornosti - spremembe določajo obveznost proizvajalcev določenih vrst proizvodov, da so finančno in organizacijsko odgovorni za svoje izdelke tudi, ko iz njih nastanejo odpadki.</w:t>
      </w:r>
    </w:p>
    <w:p w14:paraId="09DBDAB3" w14:textId="56B52E13" w:rsidR="00A1654D" w:rsidRPr="00BE437C" w:rsidRDefault="00EC6200" w:rsidP="00BE437C">
      <w:pPr>
        <w:pStyle w:val="Odstavekseznama"/>
        <w:numPr>
          <w:ilvl w:val="0"/>
          <w:numId w:val="10"/>
        </w:numPr>
        <w:spacing w:after="0" w:line="240" w:lineRule="auto"/>
        <w:jc w:val="both"/>
        <w:rPr>
          <w:rFonts w:ascii="Calibri" w:hAnsi="Calibri" w:cs="Calibri"/>
        </w:rPr>
      </w:pPr>
      <w:r>
        <w:t>S</w:t>
      </w:r>
      <w:r w:rsidR="00A1654D">
        <w:t xml:space="preserve">premenjen </w:t>
      </w:r>
      <w:r>
        <w:t xml:space="preserve">je bil </w:t>
      </w:r>
      <w:r w:rsidR="00A1654D">
        <w:t>46. člen Uredbe o ravnanju z embalažo in odpadno embalažo (Ur.l. RS, št. 35/17)</w:t>
      </w:r>
      <w:r w:rsidR="00E71D29">
        <w:t>. Zaradi spremembe morajo d</w:t>
      </w:r>
      <w:r w:rsidR="00A1654D">
        <w:t>ružbe za rav</w:t>
      </w:r>
      <w:r w:rsidR="00E71D29">
        <w:t xml:space="preserve">nanje z odpadno embalažo </w:t>
      </w:r>
      <w:r w:rsidR="00A1654D">
        <w:t>letno poročati o prihodkih, odhodkih in stroških, povezanih</w:t>
      </w:r>
      <w:r w:rsidR="00B96723">
        <w:t xml:space="preserve"> z ravnanjem z odpadno embalažo</w:t>
      </w:r>
      <w:r w:rsidR="00A1654D">
        <w:t xml:space="preserve"> ter dejavnostih obveščanja javnosti in končnih uporabnikov.</w:t>
      </w:r>
    </w:p>
    <w:p w14:paraId="0D015562" w14:textId="68AEE0F8" w:rsidR="00C46EC7" w:rsidRPr="00472C4D" w:rsidRDefault="00C46EC7" w:rsidP="00C52E4C">
      <w:pPr>
        <w:spacing w:after="0" w:line="240" w:lineRule="auto"/>
        <w:jc w:val="both"/>
        <w:rPr>
          <w:rFonts w:ascii="Calibri" w:hAnsi="Calibri" w:cs="Calibri"/>
        </w:rPr>
      </w:pPr>
    </w:p>
    <w:p w14:paraId="672B858E" w14:textId="42D40392" w:rsidR="00D25456" w:rsidRPr="00174413" w:rsidRDefault="00D25456" w:rsidP="00D25456">
      <w:pPr>
        <w:spacing w:after="0" w:line="240" w:lineRule="auto"/>
        <w:jc w:val="both"/>
        <w:rPr>
          <w:rFonts w:ascii="Calibri" w:hAnsi="Calibri" w:cs="Calibri"/>
          <w:u w:val="single"/>
        </w:rPr>
      </w:pPr>
      <w:r w:rsidRPr="00F93B5D">
        <w:rPr>
          <w:rFonts w:ascii="Calibri" w:hAnsi="Calibri" w:cs="Calibri"/>
          <w:u w:val="single"/>
        </w:rPr>
        <w:t>Priporočila:</w:t>
      </w:r>
    </w:p>
    <w:p w14:paraId="087DCC14" w14:textId="77777777" w:rsidR="00174413" w:rsidRDefault="00174413" w:rsidP="00C52E4C">
      <w:pPr>
        <w:spacing w:after="0" w:line="240" w:lineRule="auto"/>
        <w:jc w:val="both"/>
        <w:rPr>
          <w:rFonts w:ascii="Calibri" w:hAnsi="Calibri" w:cs="Calibri"/>
        </w:rPr>
      </w:pPr>
    </w:p>
    <w:p w14:paraId="17F96C8D" w14:textId="51228A99" w:rsidR="00FC67EB" w:rsidRDefault="00252EA5" w:rsidP="00C52E4C">
      <w:pPr>
        <w:spacing w:after="0" w:line="240" w:lineRule="auto"/>
        <w:jc w:val="both"/>
        <w:rPr>
          <w:rFonts w:ascii="Calibri" w:hAnsi="Calibri" w:cs="Calibri"/>
        </w:rPr>
      </w:pPr>
      <w:r w:rsidRPr="00472C4D">
        <w:rPr>
          <w:rFonts w:ascii="Calibri" w:hAnsi="Calibri" w:cs="Calibri"/>
        </w:rPr>
        <w:t xml:space="preserve">Med nastalimi odpadki v RS je največ gradbenih odpadkov – v letu 2017 </w:t>
      </w:r>
      <w:r w:rsidR="00992B51">
        <w:rPr>
          <w:rFonts w:ascii="Calibri" w:hAnsi="Calibri" w:cs="Calibri"/>
        </w:rPr>
        <w:t xml:space="preserve">jih je bilo </w:t>
      </w:r>
      <w:r w:rsidRPr="00472C4D">
        <w:rPr>
          <w:rFonts w:ascii="Calibri" w:hAnsi="Calibri" w:cs="Calibri"/>
        </w:rPr>
        <w:t>kar 44</w:t>
      </w:r>
      <w:r w:rsidR="007555F2">
        <w:rPr>
          <w:rFonts w:ascii="Calibri" w:hAnsi="Calibri" w:cs="Calibri"/>
        </w:rPr>
        <w:t xml:space="preserve"> </w:t>
      </w:r>
      <w:r w:rsidRPr="00472C4D">
        <w:rPr>
          <w:rFonts w:ascii="Calibri" w:hAnsi="Calibri" w:cs="Calibri"/>
        </w:rPr>
        <w:t>%. Potrebno je slediti ciljem krožnega gospodarstva in začeti izvajati korake, ki bodo v letu 2020 najmanj 70</w:t>
      </w:r>
      <w:r w:rsidR="007555F2">
        <w:rPr>
          <w:rFonts w:ascii="Calibri" w:hAnsi="Calibri" w:cs="Calibri"/>
        </w:rPr>
        <w:t xml:space="preserve"> </w:t>
      </w:r>
      <w:r w:rsidRPr="00472C4D">
        <w:rPr>
          <w:rFonts w:ascii="Calibri" w:hAnsi="Calibri" w:cs="Calibri"/>
        </w:rPr>
        <w:t xml:space="preserve">% nenevarnih gradbenih odpadkov pripravili za ponovno uporabo, recikliranje in snovno predelavo. </w:t>
      </w:r>
    </w:p>
    <w:p w14:paraId="145B19E9" w14:textId="29E6D1EA" w:rsidR="004E630F" w:rsidRPr="004E630F" w:rsidRDefault="004E630F" w:rsidP="004E630F">
      <w:pPr>
        <w:autoSpaceDE w:val="0"/>
        <w:autoSpaceDN w:val="0"/>
        <w:adjustRightInd w:val="0"/>
        <w:spacing w:after="0" w:line="240" w:lineRule="auto"/>
        <w:jc w:val="both"/>
        <w:rPr>
          <w:rFonts w:cstheme="minorHAnsi"/>
        </w:rPr>
      </w:pPr>
      <w:r w:rsidRPr="004E630F">
        <w:rPr>
          <w:rFonts w:cstheme="minorHAnsi"/>
        </w:rPr>
        <w:t>Tudi pri drugih odpadkih je potrebno vzpodbujati</w:t>
      </w:r>
      <w:r w:rsidRPr="004E630F">
        <w:rPr>
          <w:rFonts w:cstheme="minorHAnsi"/>
        </w:rPr>
        <w:t xml:space="preserve"> inovacije za</w:t>
      </w:r>
      <w:r w:rsidRPr="004E630F">
        <w:rPr>
          <w:rFonts w:cstheme="minorHAnsi"/>
        </w:rPr>
        <w:t xml:space="preserve"> </w:t>
      </w:r>
      <w:r w:rsidRPr="004E630F">
        <w:rPr>
          <w:rFonts w:cstheme="minorHAnsi"/>
        </w:rPr>
        <w:t>recikliranje, predelavo in ponovno uporabo s ciljem sledenju krožnega gospodarstva</w:t>
      </w:r>
      <w:r w:rsidRPr="004E630F">
        <w:rPr>
          <w:rFonts w:cstheme="minorHAnsi"/>
        </w:rPr>
        <w:t>.</w:t>
      </w:r>
      <w:bookmarkStart w:id="0" w:name="_GoBack"/>
      <w:bookmarkEnd w:id="0"/>
    </w:p>
    <w:p w14:paraId="6A85B46E" w14:textId="2667CFB8" w:rsidR="00CE6A49" w:rsidRDefault="00CE6A49" w:rsidP="00C52E4C">
      <w:pPr>
        <w:spacing w:after="0" w:line="240" w:lineRule="auto"/>
        <w:jc w:val="both"/>
        <w:rPr>
          <w:rFonts w:ascii="Calibri" w:hAnsi="Calibri" w:cs="Calibri"/>
        </w:rPr>
      </w:pPr>
    </w:p>
    <w:p w14:paraId="0B978C6E" w14:textId="7544EB65" w:rsidR="007740D2" w:rsidRPr="007740D2" w:rsidRDefault="003825D3" w:rsidP="00C52E4C">
      <w:pPr>
        <w:spacing w:after="0" w:line="240" w:lineRule="auto"/>
        <w:jc w:val="both"/>
        <w:rPr>
          <w:b/>
        </w:rPr>
      </w:pPr>
      <w:r>
        <w:rPr>
          <w:rFonts w:ascii="Calibri" w:hAnsi="Calibri" w:cs="Calibri"/>
          <w:b/>
        </w:rPr>
        <w:t>4</w:t>
      </w:r>
      <w:r w:rsidR="007740D2" w:rsidRPr="007740D2">
        <w:rPr>
          <w:rFonts w:ascii="Calibri" w:hAnsi="Calibri" w:cs="Calibri"/>
          <w:b/>
        </w:rPr>
        <w:t xml:space="preserve">.8 LULUCF – </w:t>
      </w:r>
      <w:r w:rsidR="007740D2" w:rsidRPr="007740D2">
        <w:rPr>
          <w:b/>
        </w:rPr>
        <w:t>raba zemljišč, sprememba rabe zemljišč in gozdarstvo</w:t>
      </w:r>
    </w:p>
    <w:p w14:paraId="37C61993" w14:textId="77777777" w:rsidR="007740D2" w:rsidRDefault="007740D2" w:rsidP="00C52E4C">
      <w:pPr>
        <w:spacing w:after="0" w:line="240" w:lineRule="auto"/>
        <w:jc w:val="both"/>
      </w:pPr>
    </w:p>
    <w:p w14:paraId="663F77BA" w14:textId="77777777" w:rsidR="002D371D" w:rsidRDefault="00E37CA4" w:rsidP="00C52E4C">
      <w:pPr>
        <w:spacing w:after="0" w:line="240" w:lineRule="auto"/>
        <w:jc w:val="both"/>
      </w:pPr>
      <w:r>
        <w:t>Večina obnove slovenskih gozdov š</w:t>
      </w:r>
      <w:r w:rsidR="002D371D">
        <w:t>e vedno poteka po naravni poti. Umetna o</w:t>
      </w:r>
      <w:r>
        <w:t xml:space="preserve">bnova s sadnjo sadik in setvijo semena naravno obnovo dopolnjuje le takrat, kadar je to potrebno. Delež umetne obnove je </w:t>
      </w:r>
      <w:r>
        <w:lastRenderedPageBreak/>
        <w:t>v obdobju 2010−2016 predstavljal približno 10 % vse obnove, površina gozdov, ki zahtevajo umetno o</w:t>
      </w:r>
      <w:r w:rsidR="002D371D">
        <w:t xml:space="preserve">bnovo, pa se počasi povečuje. </w:t>
      </w:r>
    </w:p>
    <w:p w14:paraId="45CFFDE2" w14:textId="3FF9EF9C" w:rsidR="007740D2" w:rsidRDefault="00E37CA4" w:rsidP="00C52E4C">
      <w:pPr>
        <w:spacing w:after="0" w:line="240" w:lineRule="auto"/>
        <w:jc w:val="both"/>
      </w:pPr>
      <w:r>
        <w:t>Slovenski gozdovi so zastarani, sedanje razmerje razvojnih faz gozdov je neugodno,</w:t>
      </w:r>
      <w:r w:rsidR="00720197">
        <w:t xml:space="preserve"> obnova gozdov poteka prepočasi, </w:t>
      </w:r>
      <w:r>
        <w:t>površine v obnovo vpeljanih gozdov so premajhne, da bi lahko spremenili stanje neugodnega razmerja razvojnih faz gozda in tako zagotovili njegov trajnostni razvoj. Delež mlajših razvojnih faz gozda (mladovje, drogovnjak), ki j</w:t>
      </w:r>
      <w:r w:rsidR="00720197">
        <w:t>ih primanjkuje, se ne povečuje.</w:t>
      </w:r>
    </w:p>
    <w:p w14:paraId="66E55EB0" w14:textId="77777777" w:rsidR="009A5405" w:rsidRDefault="009A5405" w:rsidP="00D25456">
      <w:pPr>
        <w:spacing w:after="0" w:line="240" w:lineRule="auto"/>
        <w:jc w:val="both"/>
        <w:rPr>
          <w:rFonts w:ascii="Calibri" w:hAnsi="Calibri" w:cs="Calibri"/>
          <w:u w:val="single"/>
        </w:rPr>
      </w:pPr>
    </w:p>
    <w:p w14:paraId="0BAF8AB5" w14:textId="6224C08E" w:rsidR="00D25456" w:rsidRPr="00174413" w:rsidRDefault="00D25456" w:rsidP="00D25456">
      <w:pPr>
        <w:spacing w:after="0" w:line="240" w:lineRule="auto"/>
        <w:jc w:val="both"/>
        <w:rPr>
          <w:rFonts w:ascii="Calibri" w:hAnsi="Calibri" w:cs="Calibri"/>
          <w:u w:val="single"/>
        </w:rPr>
      </w:pPr>
      <w:r w:rsidRPr="00F93B5D">
        <w:rPr>
          <w:rFonts w:ascii="Calibri" w:hAnsi="Calibri" w:cs="Calibri"/>
          <w:u w:val="single"/>
        </w:rPr>
        <w:t>Priporočila</w:t>
      </w:r>
      <w:r w:rsidR="00E62626" w:rsidRPr="00F93B5D">
        <w:rPr>
          <w:rFonts w:ascii="Calibri" w:hAnsi="Calibri" w:cs="Calibri"/>
          <w:u w:val="single"/>
        </w:rPr>
        <w:t>:</w:t>
      </w:r>
      <w:r w:rsidRPr="00F93B5D">
        <w:rPr>
          <w:rFonts w:ascii="Calibri" w:hAnsi="Calibri" w:cs="Calibri"/>
          <w:u w:val="single"/>
        </w:rPr>
        <w:t xml:space="preserve"> </w:t>
      </w:r>
    </w:p>
    <w:p w14:paraId="682DDC6D" w14:textId="77777777" w:rsidR="00720197" w:rsidRDefault="00720197" w:rsidP="00C52E4C">
      <w:pPr>
        <w:spacing w:after="0" w:line="240" w:lineRule="auto"/>
        <w:jc w:val="both"/>
      </w:pPr>
    </w:p>
    <w:p w14:paraId="1FF64C6A" w14:textId="2D885AA1" w:rsidR="00720197" w:rsidRDefault="00960E6B" w:rsidP="00C52E4C">
      <w:pPr>
        <w:spacing w:after="0" w:line="240" w:lineRule="auto"/>
        <w:jc w:val="both"/>
      </w:pPr>
      <w:r>
        <w:t>Nadgraditi je treba inventurni sistem za gozdni in negozdni prostor ter obstoječe ukrepe za ureditev ključnih nerešenih vprašanj v sektorju. V Gozdnogospodarske načrte GGO z veljavnostjo 2021‒2030 je treba zapisati ustrezne cilje glede lesne zaloge, poseka in akumulacije, upoštevaje Nacionalni načrt RS za obračunavanje emisij in ponorov TGP na področju gozdarstva (NFAP) z referenčnimi vrednostmi za gospodarjenje z gozdovi (FRL) in Celoviti nacionalni energetski in podnebni načrt RS (NEPN). Zagotoviti je treba stalnost financiranja za državne spodbude za lastnike gozdov za nego in varstvo gozdov</w:t>
      </w:r>
      <w:r w:rsidR="00D173C7">
        <w:t xml:space="preserve"> ter</w:t>
      </w:r>
      <w:r>
        <w:t xml:space="preserve"> stalnost izobraževanja in delavnic o trajnostnem gospodarjenju z gozdovi za lastnike gozdov.</w:t>
      </w:r>
    </w:p>
    <w:p w14:paraId="12804F17" w14:textId="77777777" w:rsidR="00792672" w:rsidRDefault="00792672" w:rsidP="00C52E4C">
      <w:pPr>
        <w:spacing w:after="0" w:line="240" w:lineRule="auto"/>
        <w:jc w:val="both"/>
      </w:pPr>
    </w:p>
    <w:p w14:paraId="7506F37B" w14:textId="6B70BB8A" w:rsidR="00CC1DEB" w:rsidRPr="00C31735" w:rsidRDefault="003825D3" w:rsidP="00C52E4C">
      <w:pPr>
        <w:spacing w:after="0" w:line="240" w:lineRule="auto"/>
        <w:jc w:val="both"/>
        <w:rPr>
          <w:rFonts w:ascii="Calibri" w:hAnsi="Calibri" w:cs="Calibri"/>
          <w:b/>
          <w:bCs/>
        </w:rPr>
      </w:pPr>
      <w:r>
        <w:rPr>
          <w:rFonts w:ascii="Calibri" w:hAnsi="Calibri" w:cs="Calibri"/>
          <w:b/>
          <w:bCs/>
        </w:rPr>
        <w:t>4</w:t>
      </w:r>
      <w:r w:rsidR="007740D2">
        <w:rPr>
          <w:rFonts w:ascii="Calibri" w:hAnsi="Calibri" w:cs="Calibri"/>
          <w:b/>
          <w:bCs/>
        </w:rPr>
        <w:t>.9</w:t>
      </w:r>
      <w:r w:rsidR="00C31735" w:rsidRPr="00C31735">
        <w:rPr>
          <w:rFonts w:ascii="Calibri" w:hAnsi="Calibri" w:cs="Calibri"/>
          <w:b/>
          <w:bCs/>
        </w:rPr>
        <w:t xml:space="preserve"> Večsektorski ukrepi</w:t>
      </w:r>
    </w:p>
    <w:p w14:paraId="6680AACE" w14:textId="518D4094" w:rsidR="00C31735" w:rsidRDefault="00C31735" w:rsidP="00C52E4C">
      <w:pPr>
        <w:spacing w:after="0" w:line="240" w:lineRule="auto"/>
        <w:jc w:val="both"/>
        <w:rPr>
          <w:rFonts w:ascii="Calibri" w:hAnsi="Calibri" w:cs="Calibri"/>
        </w:rPr>
      </w:pPr>
    </w:p>
    <w:p w14:paraId="6E0FFFF0" w14:textId="49CBF6E4" w:rsidR="007C0ACA" w:rsidRDefault="00B14D8E" w:rsidP="00C52E4C">
      <w:pPr>
        <w:spacing w:after="0" w:line="240" w:lineRule="auto"/>
        <w:jc w:val="both"/>
      </w:pPr>
      <w:r>
        <w:t>K zmanjševanj</w:t>
      </w:r>
      <w:r w:rsidR="00B111DF">
        <w:t>u</w:t>
      </w:r>
      <w:r>
        <w:t xml:space="preserve"> emisij TGP prispevajo tudi drugi večsektorski ukrepi. Dobavitelji energije, ki morajo doseči prihranke končne energije pri končnih odjemalcih, le-te spodbujajo k zamenjavi starih kotlov in gospodinjskih električnih aparatov, uporabi varčnih sijalk, izolaciji stavb itd. V okviru sheme obveznega doseganja prihrankov končne energije z URE in OVE projekti je 127 zavezancev v letu 2017 </w:t>
      </w:r>
      <w:r w:rsidR="009540FA">
        <w:t xml:space="preserve">zmanjšalo rabo energije </w:t>
      </w:r>
      <w:r>
        <w:t>za 232,7 GWh</w:t>
      </w:r>
      <w:r w:rsidR="00315160">
        <w:rPr>
          <w:rFonts w:ascii="Calibri" w:hAnsi="Calibri" w:cs="Calibri"/>
        </w:rPr>
        <w:t>/leto</w:t>
      </w:r>
      <w:r>
        <w:t>.</w:t>
      </w:r>
      <w:r w:rsidR="0047751E">
        <w:t xml:space="preserve"> Največ prihrankov je bilo doseženih v industriji, in sicer 57 %. Sledijo gospodinjstva z 19 %, promet z 11,5 %. </w:t>
      </w:r>
      <w:r>
        <w:t>Več kot 75 % celotnega prihranka se je doseglo z uvajanjem sistema upravljanja energije</w:t>
      </w:r>
      <w:r w:rsidR="00E601C5">
        <w:t xml:space="preserve"> (45 %)</w:t>
      </w:r>
      <w:r>
        <w:t xml:space="preserve">, </w:t>
      </w:r>
      <w:r w:rsidR="00E601C5">
        <w:t>z dodajanjem aditiva pogonskemu gorivu (11%), z energetsko učinkovito razsvetljavo v stavbah (10 %) in vgradnjo novih kotlov z visokim izkoristkom na plin (10 %).</w:t>
      </w:r>
      <w:r>
        <w:t xml:space="preserve">  </w:t>
      </w:r>
      <w:r w:rsidR="0078350D">
        <w:t>Prav tako so se zmanjšale tudi emisije CO</w:t>
      </w:r>
      <w:r w:rsidR="0078350D">
        <w:rPr>
          <w:vertAlign w:val="subscript"/>
        </w:rPr>
        <w:t>2</w:t>
      </w:r>
      <w:r w:rsidR="0078350D">
        <w:t>, in sicer za 65,7 kt</w:t>
      </w:r>
      <w:r w:rsidR="00315160">
        <w:rPr>
          <w:rFonts w:ascii="Calibri" w:hAnsi="Calibri" w:cs="Calibri"/>
        </w:rPr>
        <w:t>/leto</w:t>
      </w:r>
      <w:r w:rsidR="009540FA">
        <w:rPr>
          <w:rFonts w:ascii="Calibri" w:hAnsi="Calibri" w:cs="Calibri"/>
        </w:rPr>
        <w:t>,</w:t>
      </w:r>
      <w:r w:rsidR="0078350D">
        <w:t xml:space="preserve"> ter povečala proizvodnja energije iz OVE za 3,5 GWh</w:t>
      </w:r>
      <w:r w:rsidR="00315160">
        <w:rPr>
          <w:rFonts w:ascii="Calibri" w:hAnsi="Calibri" w:cs="Calibri"/>
        </w:rPr>
        <w:t>/leto</w:t>
      </w:r>
      <w:r w:rsidR="0078350D">
        <w:t xml:space="preserve">. </w:t>
      </w:r>
      <w:r w:rsidR="0047751E">
        <w:t xml:space="preserve">V letu 2018 se je v primerjavi z letom 2017 zmanjšanje rabe energije pri končnih odjemalcih povečalo za 12 %. Z 38 % je bilo največ prihrankov doseženih v industriji, sledila so promet z 20 % in sektor pretvorbe, distribucije in prenosa energije z 18 %. </w:t>
      </w:r>
      <w:r w:rsidR="00C31051">
        <w:t>Največ</w:t>
      </w:r>
      <w:r w:rsidR="0047751E">
        <w:t xml:space="preserve"> prihranka je </w:t>
      </w:r>
      <w:r w:rsidR="00C31051">
        <w:t>bilo doseženega z</w:t>
      </w:r>
      <w:r w:rsidR="00C31051" w:rsidRPr="00C31051">
        <w:t xml:space="preserve"> </w:t>
      </w:r>
      <w:r w:rsidR="00C31051">
        <w:t>vgradnjo sistemov za soproizvodnjo toplote in električne energije (22 %), z ukrepi dodajanja aditiva pogonskemu gorivu (19 %), vgradnjo energetsko učinkovito razsvetljave v stavbah (15 %) in izkoriščanjem odvečne toplote v industriji (8 %).</w:t>
      </w:r>
      <w:r w:rsidR="0047751E">
        <w:t xml:space="preserve"> </w:t>
      </w:r>
      <w:r w:rsidR="009E48DD">
        <w:t>Z izvedbo projektov URE in izrabe OVE v okviru sheme obveznega doseganja prihrankov končne energije za zavezance so se v letu 2018 zmanjšale emisije CO</w:t>
      </w:r>
      <w:r w:rsidR="009E48DD">
        <w:rPr>
          <w:vertAlign w:val="subscript"/>
        </w:rPr>
        <w:t>2</w:t>
      </w:r>
      <w:r w:rsidR="009E48DD">
        <w:t xml:space="preserve"> za 86,1 kt/leto, proizvodnja energije iz OVE pa se je povečala za 18,3 GWh/leto.</w:t>
      </w:r>
    </w:p>
    <w:p w14:paraId="2C9D8E9E" w14:textId="77777777" w:rsidR="00A2725D" w:rsidRPr="009E48DD" w:rsidRDefault="00A2725D" w:rsidP="00C52E4C">
      <w:pPr>
        <w:spacing w:after="0" w:line="240" w:lineRule="auto"/>
        <w:jc w:val="both"/>
      </w:pPr>
    </w:p>
    <w:p w14:paraId="32F35C23" w14:textId="56EB85B6" w:rsidR="00792EEC" w:rsidRDefault="007C0ACA" w:rsidP="00C52E4C">
      <w:pPr>
        <w:spacing w:after="0" w:line="240" w:lineRule="auto"/>
        <w:jc w:val="both"/>
      </w:pPr>
      <w:r>
        <w:t xml:space="preserve">V letu 2018 je Eko sklad </w:t>
      </w:r>
      <w:r w:rsidR="00E07E69">
        <w:t>odobril za 42,2 milijona evrov ugodnih kreditov. Podpisanih kreditnih pogodb je bilo</w:t>
      </w:r>
      <w:r w:rsidR="00B14D8E">
        <w:t xml:space="preserve"> </w:t>
      </w:r>
      <w:r w:rsidR="00E07E69">
        <w:t>za</w:t>
      </w:r>
      <w:r w:rsidR="00E943A6">
        <w:t xml:space="preserve"> 32,9 milijona evrov. Znesek se je v primerjavi z letom 2017 skoraj podvojil, in sicer na račun večjega obsega </w:t>
      </w:r>
      <w:r w:rsidR="00260118">
        <w:t xml:space="preserve">kreditiranja </w:t>
      </w:r>
      <w:r w:rsidR="00E943A6">
        <w:t>okoljskih naložb občanov.</w:t>
      </w:r>
      <w:r w:rsidR="00260118">
        <w:t xml:space="preserve"> V letu 2019 </w:t>
      </w:r>
      <w:r w:rsidR="00E07E69">
        <w:t>sta se z</w:t>
      </w:r>
      <w:r w:rsidR="00260118">
        <w:t>nes</w:t>
      </w:r>
      <w:r w:rsidR="00E07E69">
        <w:t>ka</w:t>
      </w:r>
      <w:r w:rsidR="00260118">
        <w:t xml:space="preserve"> </w:t>
      </w:r>
      <w:r w:rsidR="00E07E69">
        <w:t xml:space="preserve">odobrenih ugodnih kreditov in </w:t>
      </w:r>
      <w:r w:rsidR="00260118">
        <w:t xml:space="preserve">podpisanih kreditnih pogodb </w:t>
      </w:r>
      <w:r w:rsidR="00E07E69">
        <w:t>še povečala. Prvi je znašal 57,7 milijona evrov, drugi</w:t>
      </w:r>
      <w:r w:rsidR="00260118">
        <w:t xml:space="preserve"> 40,5 mi</w:t>
      </w:r>
      <w:r w:rsidR="00E07E69">
        <w:t>lijonov evrov</w:t>
      </w:r>
      <w:r w:rsidR="00260118">
        <w:t xml:space="preserve">.  </w:t>
      </w:r>
    </w:p>
    <w:p w14:paraId="33750A0F" w14:textId="77777777" w:rsidR="00A2725D" w:rsidRDefault="00A2725D" w:rsidP="00C52E4C">
      <w:pPr>
        <w:spacing w:after="0" w:line="240" w:lineRule="auto"/>
        <w:jc w:val="both"/>
      </w:pPr>
    </w:p>
    <w:p w14:paraId="6EB8A14F" w14:textId="5001F2DE" w:rsidR="00064F1A" w:rsidRDefault="00445458" w:rsidP="00C52E4C">
      <w:pPr>
        <w:spacing w:after="0" w:line="240" w:lineRule="auto"/>
        <w:jc w:val="both"/>
      </w:pPr>
      <w:r>
        <w:t xml:space="preserve">Shema podpor za spodbujanje proizvodnje električne energije iz OVE in SPTE z visokim izkoristkom v vseh sektorjih je namenjena napravam SPTE manjšim od 20 MW ali elektrarnam na OVE manjšim od 10 MW – vetrna polja morajo biti manjša od 50 MW. </w:t>
      </w:r>
      <w:r w:rsidR="001675B3">
        <w:t xml:space="preserve">Pretežni del učinkov sheme je sicer dosežen v sektorju EU-ETS. </w:t>
      </w:r>
      <w:r w:rsidR="00D666A9">
        <w:t xml:space="preserve">Učinki podporne sheme se kažejo kot nezadostni, posebej je problematična minimalna realizacija novih proizvodnih naprav ter zmanjševanje obsega proizvodnje električne energije iz OVE. </w:t>
      </w:r>
      <w:r w:rsidR="00432484">
        <w:t xml:space="preserve">Od leta 2016 je bilo objavljenih šest razpisov, vsak v vrednosti 10 milijonov evrov. </w:t>
      </w:r>
      <w:r w:rsidR="00064F1A">
        <w:t xml:space="preserve">V </w:t>
      </w:r>
      <w:r w:rsidR="00064F1A">
        <w:lastRenderedPageBreak/>
        <w:t xml:space="preserve">okviru razpisa iz leta 2016 je bilo za vstop v podporno shemo izbranih 78 naprav s skupno nazivno močjo 61,4 MW (od tega je 44 % te moči odpadlo na enote SPTE, 41 % pa na vetrne elektrarne). V okviru razpisa iz leta 2017 je bilo za vstop v shemo izbranih 93 naprav s skupno nazivno močjo 98 MW (82 % moči je odpadlo na vetrne elektrarne). V okviru razpisa iz februarja 2018 je bilo za vstop v shemo izbranih 41 naprav s skupno močjo 129 MW (84 %, je odpadlo na vetrne elektrarne). </w:t>
      </w:r>
      <w:r w:rsidR="00432484">
        <w:t xml:space="preserve">Leta 2019 so se pogoji za prijavo projektov na javne pozive zaostrili z zahtevo po predložitvi gradbenega dovoljenja že ob sami prijavi na javni poziv, in sicer za tiste elektrarne, katerih gradnja je z njim pogojena. Slednje je bilo eden glavnih razlogov za upad števila prijavljenih in tudi izbranih projektov. Tako je bilo na javnem pozivu iz junija 2019 izbranih le 19 projektov s skupno nazivno električno močjo 26,7 MW. Na decembra 2019 objavljenem javnem pozivu, ki se je zaključil v letu 2020, pa je bilo izbranih 32 projektov s skupno nazivno električno močjo 13 MW. </w:t>
      </w:r>
    </w:p>
    <w:p w14:paraId="3C69E22C" w14:textId="7210ACA5" w:rsidR="00064F1A" w:rsidRDefault="00064F1A" w:rsidP="00C52E4C">
      <w:pPr>
        <w:spacing w:after="0" w:line="240" w:lineRule="auto"/>
        <w:jc w:val="both"/>
      </w:pPr>
      <w:r>
        <w:t>L</w:t>
      </w:r>
      <w:r w:rsidR="00432484">
        <w:t>eta 2016 zaradi prehoda na novo shemo v shemo ni vstopila nobena nova proizvodna naprava</w:t>
      </w:r>
      <w:r>
        <w:t>. Leta</w:t>
      </w:r>
      <w:r w:rsidR="00432484">
        <w:t xml:space="preserve"> 2017 </w:t>
      </w:r>
      <w:r>
        <w:t xml:space="preserve">je </w:t>
      </w:r>
      <w:r w:rsidR="00432484">
        <w:t>v shemo vstopilo 6 novih naprav s skupno močjo 12,9 MW, leta 2018 12 novih naprav s skupno močjo 3,9 MW, leta 2019 pa je bilo izvedenih 17 projektov. Zaenkrat ni v shemo vstopila še nobena vetrna elektrarna.</w:t>
      </w:r>
      <w:r w:rsidR="00155F41">
        <w:t xml:space="preserve"> </w:t>
      </w:r>
      <w:r>
        <w:t>Leta 2016 so naprave, v</w:t>
      </w:r>
      <w:r w:rsidR="006F39BA">
        <w:t>ključene v shemo, proizvedle 1005,3</w:t>
      </w:r>
      <w:r>
        <w:t xml:space="preserve"> GWh električne energije</w:t>
      </w:r>
      <w:r w:rsidR="006F39BA">
        <w:t>, v letu 2017 945 GWh, v letu 2018 938,1 GWh in leto kasneje 947,5 GWh. Zaradi enot SPTE, ki povečujejo učinkovitost izrabe energije pri proizvodnji električne energije ter sončnih, vetrnih ter hidroelektrarn, ki nadomeščajo proizvodnjo električne energije iz fosilnih virov</w:t>
      </w:r>
      <w:r w:rsidR="006F39BA" w:rsidRPr="006F39BA">
        <w:t xml:space="preserve"> </w:t>
      </w:r>
      <w:r w:rsidR="006F39BA">
        <w:t xml:space="preserve">je bil v letu 2017 dosežen </w:t>
      </w:r>
      <w:r w:rsidR="00217A02">
        <w:t>565</w:t>
      </w:r>
      <w:r w:rsidR="006F39BA">
        <w:t xml:space="preserve"> </w:t>
      </w:r>
      <w:r w:rsidR="00217A02">
        <w:t>G</w:t>
      </w:r>
      <w:r w:rsidR="006F39BA">
        <w:t xml:space="preserve">Wh prihranek primarne energije, v letu 2018 pa 568 GWh. </w:t>
      </w:r>
    </w:p>
    <w:p w14:paraId="48EC2FE3" w14:textId="221C28F9" w:rsidR="00155F41" w:rsidRDefault="00155F41" w:rsidP="00C52E4C">
      <w:pPr>
        <w:spacing w:after="0" w:line="240" w:lineRule="auto"/>
        <w:jc w:val="both"/>
      </w:pPr>
      <w:r>
        <w:t xml:space="preserve">Znesek izplačil </w:t>
      </w:r>
      <w:r w:rsidR="00BB34B4">
        <w:t xml:space="preserve">v okviru sheme </w:t>
      </w:r>
      <w:r>
        <w:t>v letu 2018 je znašal 135,1 milijona evrov, v letu 2019 pa 123 milijonov evrov.</w:t>
      </w:r>
    </w:p>
    <w:p w14:paraId="66EE61D6" w14:textId="77777777" w:rsidR="00C762BF" w:rsidRDefault="00C762BF" w:rsidP="00C52E4C">
      <w:pPr>
        <w:spacing w:after="0" w:line="240" w:lineRule="auto"/>
        <w:jc w:val="both"/>
      </w:pPr>
    </w:p>
    <w:p w14:paraId="6868E75E" w14:textId="3A70D20E" w:rsidR="00D25456" w:rsidRPr="00174413" w:rsidRDefault="00D25456" w:rsidP="00D25456">
      <w:pPr>
        <w:spacing w:after="0" w:line="240" w:lineRule="auto"/>
        <w:jc w:val="both"/>
        <w:rPr>
          <w:rFonts w:ascii="Calibri" w:hAnsi="Calibri" w:cs="Calibri"/>
          <w:u w:val="single"/>
        </w:rPr>
      </w:pPr>
      <w:r w:rsidRPr="00F93B5D">
        <w:rPr>
          <w:rFonts w:ascii="Calibri" w:hAnsi="Calibri" w:cs="Calibri"/>
          <w:u w:val="single"/>
        </w:rPr>
        <w:t>Priporočila</w:t>
      </w:r>
      <w:r w:rsidR="00657256" w:rsidRPr="00F93B5D">
        <w:rPr>
          <w:rFonts w:ascii="Calibri" w:hAnsi="Calibri" w:cs="Calibri"/>
          <w:u w:val="single"/>
        </w:rPr>
        <w:t>:</w:t>
      </w:r>
    </w:p>
    <w:p w14:paraId="18DA0FC2" w14:textId="009B440C" w:rsidR="00C762BF" w:rsidRDefault="00C762BF" w:rsidP="00C52E4C">
      <w:pPr>
        <w:spacing w:after="0" w:line="240" w:lineRule="auto"/>
        <w:jc w:val="both"/>
      </w:pPr>
    </w:p>
    <w:p w14:paraId="6115B32E" w14:textId="7C562B1C" w:rsidR="0091358E" w:rsidRPr="00ED3622" w:rsidRDefault="004D61F1" w:rsidP="0091358E">
      <w:pPr>
        <w:spacing w:after="0" w:line="240" w:lineRule="auto"/>
        <w:jc w:val="both"/>
        <w:rPr>
          <w:rFonts w:ascii="Arial" w:hAnsi="Arial" w:cs="Arial"/>
        </w:rPr>
      </w:pPr>
      <w:r>
        <w:t>Z</w:t>
      </w:r>
      <w:r w:rsidR="005A0150">
        <w:t xml:space="preserve">agotoviti </w:t>
      </w:r>
      <w:r>
        <w:t xml:space="preserve">je potrebno </w:t>
      </w:r>
      <w:r w:rsidR="005A0150">
        <w:t xml:space="preserve">kontinuiteto delovanja sheme podpor za spodbujanje proizvodnje električne </w:t>
      </w:r>
      <w:r w:rsidR="005A0150" w:rsidRPr="003F265E">
        <w:rPr>
          <w:rFonts w:cstheme="minorHAnsi"/>
        </w:rPr>
        <w:t>energije iz OVE</w:t>
      </w:r>
      <w:r w:rsidR="005A0150" w:rsidRPr="0091358E">
        <w:rPr>
          <w:rFonts w:cstheme="minorHAnsi"/>
        </w:rPr>
        <w:t xml:space="preserve"> in v SPTE</w:t>
      </w:r>
      <w:r w:rsidRPr="0091358E">
        <w:rPr>
          <w:rFonts w:cstheme="minorHAnsi"/>
        </w:rPr>
        <w:t xml:space="preserve"> ter nabor podpor povečati</w:t>
      </w:r>
      <w:r w:rsidR="005A0150" w:rsidRPr="0091358E">
        <w:rPr>
          <w:rFonts w:cstheme="minorHAnsi"/>
        </w:rPr>
        <w:t>.</w:t>
      </w:r>
      <w:r w:rsidRPr="0091358E">
        <w:rPr>
          <w:rFonts w:cstheme="minorHAnsi"/>
        </w:rPr>
        <w:t xml:space="preserve"> </w:t>
      </w:r>
      <w:r w:rsidR="0091358E">
        <w:rPr>
          <w:rFonts w:cstheme="minorHAnsi"/>
        </w:rPr>
        <w:t xml:space="preserve">Potrebna je </w:t>
      </w:r>
      <w:r w:rsidR="00637057">
        <w:rPr>
          <w:rFonts w:cstheme="minorHAnsi"/>
        </w:rPr>
        <w:t xml:space="preserve">tudi </w:t>
      </w:r>
      <w:r w:rsidRPr="0091358E">
        <w:rPr>
          <w:rFonts w:cstheme="minorHAnsi"/>
        </w:rPr>
        <w:t>kontinuitet</w:t>
      </w:r>
      <w:r w:rsidR="0091358E">
        <w:rPr>
          <w:rFonts w:cstheme="minorHAnsi"/>
        </w:rPr>
        <w:t>a</w:t>
      </w:r>
      <w:r w:rsidRPr="0091358E">
        <w:rPr>
          <w:rFonts w:cstheme="minorHAnsi"/>
        </w:rPr>
        <w:t xml:space="preserve"> nepovratnih sredstev</w:t>
      </w:r>
      <w:r w:rsidR="0091358E" w:rsidRPr="0091358E">
        <w:rPr>
          <w:rFonts w:cstheme="minorHAnsi"/>
        </w:rPr>
        <w:t xml:space="preserve"> ter i</w:t>
      </w:r>
      <w:r w:rsidR="0091358E">
        <w:rPr>
          <w:rFonts w:cstheme="minorHAnsi"/>
        </w:rPr>
        <w:t>zboljšan</w:t>
      </w:r>
      <w:r w:rsidR="0091358E" w:rsidRPr="0091358E">
        <w:rPr>
          <w:rFonts w:cstheme="minorHAnsi"/>
        </w:rPr>
        <w:t xml:space="preserve"> sistem spremljanja učinkov kreditov Eko sklada, da bodo na razpolago vsi potrebni podatki o doseženih učinkih po sektorjih in letih, ko so bile naložbe izvedene.</w:t>
      </w:r>
    </w:p>
    <w:p w14:paraId="39014794" w14:textId="51C31787" w:rsidR="003F265E" w:rsidRDefault="003F265E" w:rsidP="003F265E">
      <w:pPr>
        <w:spacing w:after="0" w:line="240" w:lineRule="auto"/>
        <w:jc w:val="both"/>
        <w:rPr>
          <w:rFonts w:cstheme="minorHAnsi"/>
          <w:color w:val="000000"/>
        </w:rPr>
      </w:pPr>
      <w:r w:rsidRPr="003F265E">
        <w:rPr>
          <w:rFonts w:cstheme="minorHAnsi"/>
          <w:color w:val="000000"/>
        </w:rPr>
        <w:t xml:space="preserve">V okviru sheme podpor za spodbujanje proizvodnje električne energije iz OVE in v SPTE z visokim izkoristkom je potrebno zagotoviti realizacijo potrjenih projektov, </w:t>
      </w:r>
      <w:r w:rsidR="002C05CA">
        <w:rPr>
          <w:rFonts w:cstheme="minorHAnsi"/>
          <w:color w:val="000000"/>
        </w:rPr>
        <w:t xml:space="preserve">okrepiti promocijo razpisov, podrobneje analizirati ovire,  </w:t>
      </w:r>
      <w:r w:rsidR="002C05CA" w:rsidRPr="002C05CA">
        <w:rPr>
          <w:rFonts w:cstheme="minorHAnsi"/>
          <w:color w:val="000000"/>
        </w:rPr>
        <w:t>z</w:t>
      </w:r>
      <w:r w:rsidR="002C05CA" w:rsidRPr="002C05CA">
        <w:rPr>
          <w:rFonts w:cstheme="minorHAnsi"/>
        </w:rPr>
        <w:t xml:space="preserve">agotoviti, da so oprostitve plačila prispevka OVE in SPTE zgolj začasne, podpreti investitorje pri pripravi prijav </w:t>
      </w:r>
      <w:r w:rsidR="005F0335" w:rsidRPr="002C05CA">
        <w:rPr>
          <w:rFonts w:cstheme="minorHAnsi"/>
          <w:color w:val="000000"/>
        </w:rPr>
        <w:t xml:space="preserve">ter </w:t>
      </w:r>
      <w:r w:rsidRPr="002C05CA">
        <w:rPr>
          <w:rFonts w:cstheme="minorHAnsi"/>
          <w:color w:val="000000"/>
        </w:rPr>
        <w:t>dopolniti pravila na razpisih, da bi v shemo vstopale tudi naprave SPTE na lesno biomaso.</w:t>
      </w:r>
      <w:r w:rsidRPr="003F265E">
        <w:rPr>
          <w:rFonts w:cstheme="minorHAnsi"/>
          <w:color w:val="000000"/>
        </w:rPr>
        <w:t xml:space="preserve"> </w:t>
      </w:r>
    </w:p>
    <w:p w14:paraId="10C0C996" w14:textId="4C4364B3" w:rsidR="00637057" w:rsidRDefault="00637057" w:rsidP="003F265E">
      <w:pPr>
        <w:spacing w:after="0" w:line="240" w:lineRule="auto"/>
        <w:jc w:val="both"/>
      </w:pPr>
      <w:r>
        <w:t>Uredba o zagotavljanju prihrankov energije ureja delovanje sheme obveznega doseganja prihrankov končne energije za zavezance do konca leta 2020, zato je potrebno za njeno neprekinjeno nadaljnje delovanje pravočasno pripraviti spremembo Uredbe oz. ustrezen nov pravni akt.</w:t>
      </w:r>
    </w:p>
    <w:p w14:paraId="75F990A5" w14:textId="77777777" w:rsidR="00A8710B" w:rsidRDefault="00A8710B" w:rsidP="003F265E">
      <w:pPr>
        <w:spacing w:after="0" w:line="240" w:lineRule="auto"/>
        <w:jc w:val="both"/>
      </w:pPr>
    </w:p>
    <w:p w14:paraId="7053BC96" w14:textId="3CDE3268" w:rsidR="00CC1DEB" w:rsidRPr="00472C4D" w:rsidRDefault="003825D3" w:rsidP="00C52E4C">
      <w:pPr>
        <w:spacing w:after="0" w:line="240" w:lineRule="auto"/>
        <w:jc w:val="both"/>
        <w:rPr>
          <w:rFonts w:ascii="Calibri" w:hAnsi="Calibri" w:cs="Calibri"/>
          <w:b/>
          <w:bCs/>
        </w:rPr>
      </w:pPr>
      <w:r w:rsidRPr="007E4F7F">
        <w:rPr>
          <w:rFonts w:ascii="Calibri" w:hAnsi="Calibri" w:cs="Calibri"/>
          <w:b/>
          <w:bCs/>
        </w:rPr>
        <w:t>4</w:t>
      </w:r>
      <w:r w:rsidR="00CC1DEB" w:rsidRPr="007E4F7F">
        <w:rPr>
          <w:rFonts w:ascii="Calibri" w:hAnsi="Calibri" w:cs="Calibri"/>
          <w:b/>
          <w:bCs/>
        </w:rPr>
        <w:t>.</w:t>
      </w:r>
      <w:r w:rsidR="007740D2" w:rsidRPr="007E4F7F">
        <w:rPr>
          <w:rFonts w:ascii="Calibri" w:hAnsi="Calibri" w:cs="Calibri"/>
          <w:b/>
          <w:bCs/>
        </w:rPr>
        <w:t>10</w:t>
      </w:r>
      <w:r w:rsidR="00CC1DEB" w:rsidRPr="007E4F7F">
        <w:rPr>
          <w:rFonts w:ascii="Calibri" w:hAnsi="Calibri" w:cs="Calibri"/>
          <w:b/>
          <w:bCs/>
        </w:rPr>
        <w:t xml:space="preserve"> Izobraževanje, usposabljanje, informiranje, ozaveščanje</w:t>
      </w:r>
    </w:p>
    <w:p w14:paraId="585D30F1" w14:textId="0A2B69A4" w:rsidR="00C46EC7" w:rsidRPr="00472C4D" w:rsidRDefault="00C46EC7" w:rsidP="00C52E4C">
      <w:pPr>
        <w:spacing w:after="0" w:line="240" w:lineRule="auto"/>
        <w:jc w:val="both"/>
        <w:rPr>
          <w:rFonts w:ascii="Calibri" w:hAnsi="Calibri" w:cs="Calibri"/>
        </w:rPr>
      </w:pPr>
    </w:p>
    <w:p w14:paraId="2998AA1C" w14:textId="7BCE98ED" w:rsidR="0078516E" w:rsidRPr="00472C4D" w:rsidRDefault="00DA78CA" w:rsidP="00C52E4C">
      <w:pPr>
        <w:spacing w:after="0" w:line="240" w:lineRule="auto"/>
        <w:jc w:val="both"/>
        <w:rPr>
          <w:rFonts w:ascii="Calibri" w:hAnsi="Calibri" w:cs="Calibri"/>
        </w:rPr>
      </w:pPr>
      <w:r w:rsidRPr="00472C4D">
        <w:rPr>
          <w:rFonts w:ascii="Calibri" w:hAnsi="Calibri" w:cs="Calibri"/>
        </w:rPr>
        <w:t>Na področju blaženja podnebnih sprememb s</w:t>
      </w:r>
      <w:r w:rsidR="00FB144A" w:rsidRPr="00472C4D">
        <w:rPr>
          <w:rFonts w:ascii="Calibri" w:hAnsi="Calibri" w:cs="Calibri"/>
        </w:rPr>
        <w:t>o se v let</w:t>
      </w:r>
      <w:r w:rsidR="00FF0AAA">
        <w:rPr>
          <w:rFonts w:ascii="Calibri" w:hAnsi="Calibri" w:cs="Calibri"/>
        </w:rPr>
        <w:t>ih</w:t>
      </w:r>
      <w:r w:rsidR="00FB144A" w:rsidRPr="00472C4D">
        <w:rPr>
          <w:rFonts w:ascii="Calibri" w:hAnsi="Calibri" w:cs="Calibri"/>
        </w:rPr>
        <w:t xml:space="preserve"> 2018</w:t>
      </w:r>
      <w:r w:rsidRPr="00472C4D">
        <w:rPr>
          <w:rFonts w:ascii="Calibri" w:hAnsi="Calibri" w:cs="Calibri"/>
        </w:rPr>
        <w:t xml:space="preserve"> </w:t>
      </w:r>
      <w:r w:rsidR="00FF0AAA">
        <w:rPr>
          <w:rFonts w:ascii="Calibri" w:hAnsi="Calibri" w:cs="Calibri"/>
        </w:rPr>
        <w:t xml:space="preserve">in 2019 </w:t>
      </w:r>
      <w:r w:rsidRPr="00472C4D">
        <w:rPr>
          <w:rFonts w:ascii="Calibri" w:hAnsi="Calibri" w:cs="Calibri"/>
        </w:rPr>
        <w:t>izvaja</w:t>
      </w:r>
      <w:r w:rsidR="00FB144A" w:rsidRPr="00472C4D">
        <w:rPr>
          <w:rFonts w:ascii="Calibri" w:hAnsi="Calibri" w:cs="Calibri"/>
        </w:rPr>
        <w:t>l</w:t>
      </w:r>
      <w:r w:rsidR="00A81F30">
        <w:rPr>
          <w:rFonts w:ascii="Calibri" w:hAnsi="Calibri" w:cs="Calibri"/>
        </w:rPr>
        <w:t>e</w:t>
      </w:r>
      <w:r w:rsidRPr="00472C4D">
        <w:rPr>
          <w:rFonts w:ascii="Calibri" w:hAnsi="Calibri" w:cs="Calibri"/>
        </w:rPr>
        <w:t xml:space="preserve"> številn</w:t>
      </w:r>
      <w:r w:rsidR="00A81F30">
        <w:rPr>
          <w:rFonts w:ascii="Calibri" w:hAnsi="Calibri" w:cs="Calibri"/>
        </w:rPr>
        <w:t>e</w:t>
      </w:r>
      <w:r w:rsidRPr="00472C4D">
        <w:rPr>
          <w:rFonts w:ascii="Calibri" w:hAnsi="Calibri" w:cs="Calibri"/>
        </w:rPr>
        <w:t xml:space="preserve"> </w:t>
      </w:r>
      <w:r w:rsidR="00A81F30">
        <w:rPr>
          <w:rFonts w:ascii="Calibri" w:hAnsi="Calibri" w:cs="Calibri"/>
        </w:rPr>
        <w:t xml:space="preserve">aktivnosti </w:t>
      </w:r>
      <w:r w:rsidRPr="00472C4D">
        <w:rPr>
          <w:rFonts w:ascii="Calibri" w:hAnsi="Calibri" w:cs="Calibri"/>
        </w:rPr>
        <w:t>izobraževanja, usposabljanja, informiranja in ozaveščanja</w:t>
      </w:r>
      <w:r w:rsidR="00147C25">
        <w:rPr>
          <w:rStyle w:val="Sprotnaopomba-sklic"/>
          <w:rFonts w:ascii="Calibri" w:hAnsi="Calibri" w:cs="Calibri"/>
        </w:rPr>
        <w:footnoteReference w:id="10"/>
      </w:r>
      <w:r w:rsidR="00CA29C3" w:rsidRPr="00472C4D">
        <w:rPr>
          <w:rFonts w:ascii="Calibri" w:hAnsi="Calibri" w:cs="Calibri"/>
        </w:rPr>
        <w:t>:</w:t>
      </w:r>
    </w:p>
    <w:p w14:paraId="58995260" w14:textId="0FB7CE58" w:rsidR="001872B5" w:rsidRDefault="00593353" w:rsidP="00C52E4C">
      <w:pPr>
        <w:pStyle w:val="Odstavekseznama"/>
        <w:numPr>
          <w:ilvl w:val="0"/>
          <w:numId w:val="11"/>
        </w:numPr>
        <w:spacing w:after="0" w:line="240" w:lineRule="auto"/>
        <w:jc w:val="both"/>
        <w:rPr>
          <w:rFonts w:ascii="Calibri" w:hAnsi="Calibri" w:cs="Calibri"/>
        </w:rPr>
      </w:pPr>
      <w:r>
        <w:rPr>
          <w:rFonts w:ascii="Calibri" w:hAnsi="Calibri" w:cs="Calibri"/>
        </w:rPr>
        <w:t>v</w:t>
      </w:r>
      <w:r w:rsidR="00AA2FF8">
        <w:rPr>
          <w:rFonts w:ascii="Calibri" w:hAnsi="Calibri" w:cs="Calibri"/>
        </w:rPr>
        <w:t xml:space="preserve"> letu 2018 je bil </w:t>
      </w:r>
      <w:r w:rsidR="00325A2A" w:rsidRPr="001872B5">
        <w:rPr>
          <w:rFonts w:ascii="Calibri" w:hAnsi="Calibri" w:cs="Calibri"/>
        </w:rPr>
        <w:t xml:space="preserve">odobren projekt </w:t>
      </w:r>
      <w:r w:rsidR="00325A2A" w:rsidRPr="001872B5">
        <w:rPr>
          <w:rFonts w:ascii="Calibri" w:hAnsi="Calibri" w:cs="Calibri"/>
          <w:i/>
          <w:iCs/>
        </w:rPr>
        <w:t>LIFE IP CARE4CLIMATE</w:t>
      </w:r>
      <w:r w:rsidR="00325A2A" w:rsidRPr="001872B5">
        <w:rPr>
          <w:rFonts w:ascii="Calibri" w:hAnsi="Calibri" w:cs="Calibri"/>
        </w:rPr>
        <w:t>, ki spodbuja zmanjšanje emisij TGP do 2020 s pogledom do 2030</w:t>
      </w:r>
      <w:r w:rsidR="00F6372F">
        <w:rPr>
          <w:rFonts w:ascii="Calibri" w:hAnsi="Calibri" w:cs="Calibri"/>
        </w:rPr>
        <w:t xml:space="preserve"> (</w:t>
      </w:r>
      <w:r w:rsidR="009D52C9" w:rsidRPr="009D52C9">
        <w:rPr>
          <w:rFonts w:cstheme="minorHAnsi"/>
          <w:color w:val="111111"/>
        </w:rPr>
        <w:t>ozavešča</w:t>
      </w:r>
      <w:r w:rsidR="009D52C9">
        <w:rPr>
          <w:rFonts w:cstheme="minorHAnsi"/>
          <w:color w:val="111111"/>
        </w:rPr>
        <w:t>nje</w:t>
      </w:r>
      <w:r w:rsidR="009D52C9" w:rsidRPr="009D52C9">
        <w:rPr>
          <w:rFonts w:cstheme="minorHAnsi"/>
          <w:color w:val="111111"/>
        </w:rPr>
        <w:t>, izobraž</w:t>
      </w:r>
      <w:r w:rsidR="009D52C9">
        <w:rPr>
          <w:rFonts w:cstheme="minorHAnsi"/>
          <w:color w:val="111111"/>
        </w:rPr>
        <w:t>evanje</w:t>
      </w:r>
      <w:r w:rsidR="009D52C9" w:rsidRPr="009D52C9">
        <w:rPr>
          <w:rFonts w:cstheme="minorHAnsi"/>
          <w:color w:val="111111"/>
        </w:rPr>
        <w:t xml:space="preserve"> in usposablja</w:t>
      </w:r>
      <w:r w:rsidR="009D52C9">
        <w:rPr>
          <w:rFonts w:cstheme="minorHAnsi"/>
          <w:color w:val="111111"/>
        </w:rPr>
        <w:t>nje</w:t>
      </w:r>
      <w:r w:rsidR="009D52C9" w:rsidRPr="009D52C9">
        <w:rPr>
          <w:rFonts w:cstheme="minorHAnsi"/>
          <w:color w:val="111111"/>
        </w:rPr>
        <w:t xml:space="preserve"> deležnik</w:t>
      </w:r>
      <w:r w:rsidR="009D52C9">
        <w:rPr>
          <w:rFonts w:cstheme="minorHAnsi"/>
          <w:color w:val="111111"/>
        </w:rPr>
        <w:t>ov</w:t>
      </w:r>
      <w:r w:rsidR="009D52C9" w:rsidRPr="009D52C9">
        <w:rPr>
          <w:rFonts w:cstheme="minorHAnsi"/>
          <w:color w:val="111111"/>
        </w:rPr>
        <w:t xml:space="preserve"> na področjih trajnostne mobilnosti, zelenega javnega naročanja, trajnostne gradnje in učinkovite rabe energije v stavbah ter podjetjih, odpadne hrane in rabe zemljišč, spremembe rabe zemljišč in gozdarstva (LULUCF) z namenom učinkovitejšega izvajanje ključnih ukrepov zmanjšanja emisij toplogrednih plinov v Sloveniji do leta 2030</w:t>
      </w:r>
      <w:r w:rsidR="00F6372F">
        <w:rPr>
          <w:rFonts w:ascii="Calibri" w:hAnsi="Calibri" w:cs="Calibri"/>
        </w:rPr>
        <w:t>)</w:t>
      </w:r>
      <w:r w:rsidR="00AA2FF8">
        <w:rPr>
          <w:rFonts w:ascii="Calibri" w:hAnsi="Calibri" w:cs="Calibri"/>
        </w:rPr>
        <w:t>, ki se je pričel izvajati v letu 2019</w:t>
      </w:r>
      <w:r w:rsidR="00325A2A" w:rsidRPr="001872B5">
        <w:rPr>
          <w:rFonts w:ascii="Calibri" w:hAnsi="Calibri" w:cs="Calibri"/>
        </w:rPr>
        <w:t>;</w:t>
      </w:r>
    </w:p>
    <w:p w14:paraId="346F850B" w14:textId="20D3D6C6" w:rsidR="003F6697" w:rsidRPr="00A81F30" w:rsidRDefault="003F6697" w:rsidP="003D2543">
      <w:pPr>
        <w:pStyle w:val="Odstavekseznama"/>
        <w:numPr>
          <w:ilvl w:val="0"/>
          <w:numId w:val="11"/>
        </w:numPr>
        <w:spacing w:after="0" w:line="240" w:lineRule="auto"/>
        <w:jc w:val="both"/>
        <w:rPr>
          <w:rFonts w:ascii="Calibri" w:hAnsi="Calibri" w:cs="Calibri"/>
        </w:rPr>
      </w:pPr>
      <w:r w:rsidRPr="00A81F30">
        <w:rPr>
          <w:rFonts w:ascii="Calibri" w:hAnsi="Calibri" w:cs="Calibri"/>
        </w:rPr>
        <w:t xml:space="preserve">nadaljevale so se aktivnosti </w:t>
      </w:r>
      <w:r w:rsidR="003D2543" w:rsidRPr="00A81F30">
        <w:rPr>
          <w:rFonts w:ascii="Calibri" w:hAnsi="Calibri" w:cs="Calibri"/>
        </w:rPr>
        <w:t>vseevropske Skupnosti znanja in inovacij</w:t>
      </w:r>
      <w:r w:rsidRPr="00A81F30">
        <w:rPr>
          <w:rFonts w:ascii="Calibri" w:hAnsi="Calibri" w:cs="Calibri"/>
        </w:rPr>
        <w:t xml:space="preserve"> </w:t>
      </w:r>
      <w:r w:rsidRPr="00A81F30">
        <w:rPr>
          <w:rFonts w:ascii="Calibri" w:hAnsi="Calibri" w:cs="Calibri"/>
          <w:i/>
        </w:rPr>
        <w:t xml:space="preserve">EIT </w:t>
      </w:r>
      <w:proofErr w:type="spellStart"/>
      <w:r w:rsidRPr="00A81F30">
        <w:rPr>
          <w:rFonts w:ascii="Calibri" w:hAnsi="Calibri" w:cs="Calibri"/>
          <w:i/>
        </w:rPr>
        <w:t>Climate</w:t>
      </w:r>
      <w:proofErr w:type="spellEnd"/>
      <w:r w:rsidRPr="00A81F30">
        <w:rPr>
          <w:rFonts w:ascii="Calibri" w:hAnsi="Calibri" w:cs="Calibri"/>
          <w:i/>
        </w:rPr>
        <w:t>-KIC</w:t>
      </w:r>
      <w:r w:rsidRPr="00A81F30">
        <w:rPr>
          <w:rFonts w:ascii="Calibri" w:hAnsi="Calibri" w:cs="Calibri"/>
        </w:rPr>
        <w:t xml:space="preserve">, ki je </w:t>
      </w:r>
      <w:r w:rsidR="00A81F30" w:rsidRPr="00A81F30">
        <w:rPr>
          <w:rFonts w:ascii="Calibri" w:hAnsi="Calibri" w:cs="Calibri"/>
        </w:rPr>
        <w:t>v Sloveniji dejavna</w:t>
      </w:r>
      <w:r w:rsidRPr="00A81F30">
        <w:rPr>
          <w:rFonts w:ascii="Calibri" w:hAnsi="Calibri" w:cs="Calibri"/>
        </w:rPr>
        <w:t xml:space="preserve"> od leta 2014 in postopoma povečuje svoj vpliv in vključenost, z dejavnost</w:t>
      </w:r>
      <w:r w:rsidR="003D2543" w:rsidRPr="00A81F30">
        <w:rPr>
          <w:rFonts w:ascii="Calibri" w:hAnsi="Calibri" w:cs="Calibri"/>
        </w:rPr>
        <w:t>m</w:t>
      </w:r>
      <w:r w:rsidRPr="00A81F30">
        <w:rPr>
          <w:rFonts w:ascii="Calibri" w:hAnsi="Calibri" w:cs="Calibri"/>
        </w:rPr>
        <w:t>i na področjih izobraževanja</w:t>
      </w:r>
      <w:r w:rsidR="003D2543" w:rsidRPr="00A81F30">
        <w:rPr>
          <w:rFonts w:ascii="Calibri" w:hAnsi="Calibri" w:cs="Calibri"/>
        </w:rPr>
        <w:t xml:space="preserve"> in ozaveščanja,</w:t>
      </w:r>
      <w:r w:rsidRPr="00A81F30">
        <w:rPr>
          <w:rFonts w:ascii="Calibri" w:hAnsi="Calibri" w:cs="Calibri"/>
        </w:rPr>
        <w:t xml:space="preserve"> ustvarjanja podjetij in pospeševanja storitev za </w:t>
      </w:r>
      <w:proofErr w:type="spellStart"/>
      <w:r w:rsidRPr="00A81F30">
        <w:rPr>
          <w:rFonts w:ascii="Calibri" w:hAnsi="Calibri" w:cs="Calibri"/>
        </w:rPr>
        <w:t>startupe</w:t>
      </w:r>
      <w:proofErr w:type="spellEnd"/>
      <w:r w:rsidRPr="00A81F30">
        <w:rPr>
          <w:rFonts w:ascii="Calibri" w:hAnsi="Calibri" w:cs="Calibri"/>
        </w:rPr>
        <w:t xml:space="preserve"> </w:t>
      </w:r>
      <w:r w:rsidRPr="00A81F30">
        <w:rPr>
          <w:rFonts w:ascii="Calibri" w:hAnsi="Calibri" w:cs="Calibri"/>
        </w:rPr>
        <w:lastRenderedPageBreak/>
        <w:t xml:space="preserve">in inovatorje; med drugim je </w:t>
      </w:r>
      <w:proofErr w:type="spellStart"/>
      <w:r w:rsidR="003D2543" w:rsidRPr="00A81F30">
        <w:rPr>
          <w:rFonts w:ascii="Calibri" w:hAnsi="Calibri" w:cs="Calibri"/>
        </w:rPr>
        <w:t>Climathon</w:t>
      </w:r>
      <w:proofErr w:type="spellEnd"/>
      <w:r w:rsidR="003D2543" w:rsidRPr="00A81F30">
        <w:rPr>
          <w:rFonts w:ascii="Calibri" w:hAnsi="Calibri" w:cs="Calibri"/>
        </w:rPr>
        <w:t xml:space="preserve"> potekal že v treh slovenskih mestih. </w:t>
      </w:r>
      <w:r w:rsidRPr="00A81F30">
        <w:rPr>
          <w:rFonts w:ascii="Calibri" w:hAnsi="Calibri" w:cs="Calibri"/>
        </w:rPr>
        <w:t>CO NOT je postal</w:t>
      </w:r>
      <w:r w:rsidR="00A81F30" w:rsidRPr="00A81F30">
        <w:rPr>
          <w:rFonts w:ascii="Calibri" w:hAnsi="Calibri" w:cs="Calibri"/>
        </w:rPr>
        <w:t xml:space="preserve"> </w:t>
      </w:r>
      <w:r w:rsidRPr="00A81F30">
        <w:rPr>
          <w:rFonts w:ascii="Calibri" w:hAnsi="Calibri" w:cs="Calibri"/>
        </w:rPr>
        <w:t>partner v letu 2017, Kemijski inštitut</w:t>
      </w:r>
      <w:r w:rsidR="003D2543" w:rsidRPr="00A81F30">
        <w:rPr>
          <w:rFonts w:ascii="Calibri" w:hAnsi="Calibri" w:cs="Calibri"/>
        </w:rPr>
        <w:t xml:space="preserve"> pa leta 2018;</w:t>
      </w:r>
    </w:p>
    <w:p w14:paraId="30793E3F" w14:textId="7FECE3A4" w:rsidR="001872B5" w:rsidRDefault="00FB144A" w:rsidP="00C52E4C">
      <w:pPr>
        <w:pStyle w:val="Odstavekseznama"/>
        <w:numPr>
          <w:ilvl w:val="0"/>
          <w:numId w:val="11"/>
        </w:numPr>
        <w:spacing w:after="0" w:line="240" w:lineRule="auto"/>
        <w:jc w:val="both"/>
        <w:rPr>
          <w:rFonts w:ascii="Calibri" w:hAnsi="Calibri" w:cs="Calibri"/>
        </w:rPr>
      </w:pPr>
      <w:r w:rsidRPr="001872B5">
        <w:rPr>
          <w:rFonts w:ascii="Calibri" w:hAnsi="Calibri" w:cs="Calibri"/>
        </w:rPr>
        <w:t>iz sredstev Eko sklada so se</w:t>
      </w:r>
      <w:r w:rsidR="00B262F0">
        <w:rPr>
          <w:rFonts w:ascii="Calibri" w:hAnsi="Calibri" w:cs="Calibri"/>
        </w:rPr>
        <w:t xml:space="preserve"> v letih 2018 in 2019</w:t>
      </w:r>
      <w:r w:rsidRPr="001872B5">
        <w:rPr>
          <w:rFonts w:ascii="Calibri" w:hAnsi="Calibri" w:cs="Calibri"/>
        </w:rPr>
        <w:t xml:space="preserve"> izv</w:t>
      </w:r>
      <w:r w:rsidR="00B262F0">
        <w:rPr>
          <w:rFonts w:ascii="Calibri" w:hAnsi="Calibri" w:cs="Calibri"/>
        </w:rPr>
        <w:t>ajala</w:t>
      </w:r>
      <w:r w:rsidRPr="001872B5">
        <w:rPr>
          <w:rFonts w:ascii="Calibri" w:hAnsi="Calibri" w:cs="Calibri"/>
        </w:rPr>
        <w:t xml:space="preserve"> </w:t>
      </w:r>
      <w:r w:rsidR="00CA29C3" w:rsidRPr="001872B5">
        <w:rPr>
          <w:rFonts w:ascii="Calibri" w:hAnsi="Calibri" w:cs="Calibri"/>
        </w:rPr>
        <w:t>neodvisna energetska svetovanja za občane</w:t>
      </w:r>
      <w:r w:rsidRPr="001872B5">
        <w:rPr>
          <w:rFonts w:ascii="Calibri" w:hAnsi="Calibri" w:cs="Calibri"/>
        </w:rPr>
        <w:t xml:space="preserve"> (mreža ENSVET), </w:t>
      </w:r>
      <w:r w:rsidR="00B262F0">
        <w:rPr>
          <w:rFonts w:ascii="Calibri" w:hAnsi="Calibri" w:cs="Calibri"/>
        </w:rPr>
        <w:t xml:space="preserve">v letu 2018 </w:t>
      </w:r>
      <w:r w:rsidRPr="001872B5">
        <w:rPr>
          <w:rFonts w:ascii="Calibri" w:hAnsi="Calibri" w:cs="Calibri"/>
        </w:rPr>
        <w:t>poletna energetska šola</w:t>
      </w:r>
      <w:r w:rsidR="00B262F0">
        <w:rPr>
          <w:rFonts w:ascii="Calibri" w:hAnsi="Calibri" w:cs="Calibri"/>
        </w:rPr>
        <w:t xml:space="preserve"> in</w:t>
      </w:r>
      <w:r w:rsidRPr="001872B5">
        <w:rPr>
          <w:rFonts w:ascii="Calibri" w:hAnsi="Calibri" w:cs="Calibri"/>
        </w:rPr>
        <w:t xml:space="preserve"> Mednarodna šola politične ekologije</w:t>
      </w:r>
      <w:r w:rsidR="00BD7690">
        <w:rPr>
          <w:rFonts w:ascii="Calibri" w:hAnsi="Calibri" w:cs="Calibri"/>
        </w:rPr>
        <w:t xml:space="preserve"> 2018 (Focus)</w:t>
      </w:r>
      <w:r w:rsidR="00CA29C3" w:rsidRPr="001872B5">
        <w:rPr>
          <w:rFonts w:ascii="Calibri" w:hAnsi="Calibri" w:cs="Calibri"/>
        </w:rPr>
        <w:t>;</w:t>
      </w:r>
    </w:p>
    <w:p w14:paraId="7F8FF437" w14:textId="77777777" w:rsidR="00147C25" w:rsidRDefault="00FB144A" w:rsidP="00C52E4C">
      <w:pPr>
        <w:pStyle w:val="Odstavekseznama"/>
        <w:numPr>
          <w:ilvl w:val="0"/>
          <w:numId w:val="11"/>
        </w:numPr>
        <w:spacing w:after="0" w:line="240" w:lineRule="auto"/>
        <w:jc w:val="both"/>
        <w:rPr>
          <w:rFonts w:ascii="Calibri" w:hAnsi="Calibri" w:cs="Calibri"/>
        </w:rPr>
      </w:pPr>
      <w:r w:rsidRPr="001872B5">
        <w:rPr>
          <w:rFonts w:ascii="Calibri" w:hAnsi="Calibri" w:cs="Calibri"/>
        </w:rPr>
        <w:t xml:space="preserve">iz sredstev Podnebnega sklada </w:t>
      </w:r>
      <w:r w:rsidR="0051151F">
        <w:rPr>
          <w:rFonts w:ascii="Calibri" w:hAnsi="Calibri" w:cs="Calibri"/>
        </w:rPr>
        <w:t xml:space="preserve">se </w:t>
      </w:r>
      <w:r w:rsidRPr="001872B5">
        <w:rPr>
          <w:rFonts w:ascii="Calibri" w:hAnsi="Calibri" w:cs="Calibri"/>
        </w:rPr>
        <w:t>je</w:t>
      </w:r>
      <w:r w:rsidR="00B262F0">
        <w:rPr>
          <w:rFonts w:ascii="Calibri" w:hAnsi="Calibri" w:cs="Calibri"/>
        </w:rPr>
        <w:t xml:space="preserve"> leta 2018</w:t>
      </w:r>
      <w:r w:rsidRPr="001872B5">
        <w:rPr>
          <w:rFonts w:ascii="Calibri" w:hAnsi="Calibri" w:cs="Calibri"/>
        </w:rPr>
        <w:t xml:space="preserve"> </w:t>
      </w:r>
      <w:r w:rsidR="0051151F">
        <w:rPr>
          <w:rFonts w:ascii="Calibri" w:hAnsi="Calibri" w:cs="Calibri"/>
        </w:rPr>
        <w:t xml:space="preserve">podprlo več projektov nevladnih organizacij - </w:t>
      </w:r>
      <w:r w:rsidRPr="001872B5">
        <w:rPr>
          <w:rFonts w:ascii="Calibri" w:hAnsi="Calibri" w:cs="Calibri"/>
        </w:rPr>
        <w:t>nevladna organizacija Umanotera</w:t>
      </w:r>
      <w:r w:rsidR="00147C25">
        <w:rPr>
          <w:rFonts w:ascii="Calibri" w:hAnsi="Calibri" w:cs="Calibri"/>
        </w:rPr>
        <w:t xml:space="preserve">, </w:t>
      </w:r>
      <w:r w:rsidR="00147C25" w:rsidRPr="00147C25">
        <w:rPr>
          <w:rFonts w:cstheme="minorHAnsi"/>
          <w:shd w:val="clear" w:color="auto" w:fill="FFFFFF"/>
        </w:rPr>
        <w:t>Slovenska fundacija za trajnostni razvoj je</w:t>
      </w:r>
      <w:r w:rsidRPr="00147C25">
        <w:rPr>
          <w:rFonts w:ascii="Calibri" w:hAnsi="Calibri" w:cs="Calibri"/>
        </w:rPr>
        <w:t xml:space="preserve"> </w:t>
      </w:r>
      <w:r w:rsidRPr="001872B5">
        <w:rPr>
          <w:rFonts w:ascii="Calibri" w:hAnsi="Calibri" w:cs="Calibri"/>
        </w:rPr>
        <w:t>izvedla usposabljanje izobraževalcev in</w:t>
      </w:r>
      <w:r w:rsidR="00147C25">
        <w:rPr>
          <w:rFonts w:ascii="Calibri" w:hAnsi="Calibri" w:cs="Calibri"/>
        </w:rPr>
        <w:t xml:space="preserve"> mladih o podnebnih spremembah </w:t>
      </w:r>
      <w:r w:rsidRPr="001872B5">
        <w:rPr>
          <w:rFonts w:ascii="Calibri" w:hAnsi="Calibri" w:cs="Calibri"/>
          <w:i/>
          <w:iCs/>
        </w:rPr>
        <w:t>projekt Klima za podnebje</w:t>
      </w:r>
      <w:r w:rsidR="00147C25">
        <w:rPr>
          <w:rFonts w:ascii="Calibri" w:hAnsi="Calibri" w:cs="Calibri"/>
        </w:rPr>
        <w:t xml:space="preserve"> </w:t>
      </w:r>
    </w:p>
    <w:p w14:paraId="5CF8D61F" w14:textId="3A980A8C" w:rsidR="001872B5" w:rsidRDefault="00147C25" w:rsidP="00C52E4C">
      <w:pPr>
        <w:pStyle w:val="Odstavekseznama"/>
        <w:numPr>
          <w:ilvl w:val="0"/>
          <w:numId w:val="11"/>
        </w:numPr>
        <w:spacing w:after="0" w:line="240" w:lineRule="auto"/>
        <w:jc w:val="both"/>
        <w:rPr>
          <w:rFonts w:ascii="Calibri" w:hAnsi="Calibri" w:cs="Calibri"/>
        </w:rPr>
      </w:pPr>
      <w:r>
        <w:rPr>
          <w:rFonts w:ascii="Calibri" w:hAnsi="Calibri" w:cs="Calibri"/>
        </w:rPr>
        <w:t>Umanotera je nadal</w:t>
      </w:r>
      <w:r w:rsidR="00825F20">
        <w:rPr>
          <w:rFonts w:ascii="Calibri" w:hAnsi="Calibri" w:cs="Calibri"/>
        </w:rPr>
        <w:t>jeva</w:t>
      </w:r>
      <w:r>
        <w:rPr>
          <w:rFonts w:ascii="Calibri" w:hAnsi="Calibri" w:cs="Calibri"/>
        </w:rPr>
        <w:t>la</w:t>
      </w:r>
      <w:r w:rsidR="00825F20">
        <w:rPr>
          <w:rFonts w:ascii="Calibri" w:hAnsi="Calibri" w:cs="Calibri"/>
        </w:rPr>
        <w:t xml:space="preserve"> </w:t>
      </w:r>
      <w:r w:rsidR="00325046" w:rsidRPr="001872B5">
        <w:rPr>
          <w:rFonts w:ascii="Calibri" w:hAnsi="Calibri" w:cs="Calibri"/>
        </w:rPr>
        <w:t xml:space="preserve">projekt </w:t>
      </w:r>
      <w:r w:rsidR="00325046" w:rsidRPr="001872B5">
        <w:rPr>
          <w:rFonts w:ascii="Calibri" w:hAnsi="Calibri" w:cs="Calibri"/>
          <w:i/>
          <w:iCs/>
        </w:rPr>
        <w:t>Slovenija znižuje CO</w:t>
      </w:r>
      <w:r w:rsidR="00325046" w:rsidRPr="001872B5">
        <w:rPr>
          <w:rFonts w:ascii="Calibri" w:hAnsi="Calibri" w:cs="Calibri"/>
          <w:i/>
          <w:iCs/>
          <w:vertAlign w:val="subscript"/>
        </w:rPr>
        <w:t>2</w:t>
      </w:r>
      <w:r>
        <w:rPr>
          <w:rFonts w:ascii="Calibri" w:hAnsi="Calibri" w:cs="Calibri"/>
          <w:i/>
          <w:iCs/>
        </w:rPr>
        <w:t>:</w:t>
      </w:r>
      <w:r w:rsidR="00825F20">
        <w:rPr>
          <w:rFonts w:ascii="Calibri" w:hAnsi="Calibri" w:cs="Calibri"/>
          <w:i/>
          <w:iCs/>
          <w:vertAlign w:val="subscript"/>
        </w:rPr>
        <w:t xml:space="preserve"> </w:t>
      </w:r>
      <w:r w:rsidR="00825F20" w:rsidRPr="00825F20">
        <w:rPr>
          <w:rFonts w:ascii="Calibri" w:hAnsi="Calibri" w:cs="Calibri"/>
          <w:i/>
        </w:rPr>
        <w:t>dobre prakse</w:t>
      </w:r>
      <w:r w:rsidR="00FB144A" w:rsidRPr="001872B5">
        <w:rPr>
          <w:rFonts w:ascii="Calibri" w:hAnsi="Calibri" w:cs="Calibri"/>
        </w:rPr>
        <w:t xml:space="preserve">;  </w:t>
      </w:r>
    </w:p>
    <w:p w14:paraId="63DA3465" w14:textId="710ACA30" w:rsidR="001872B5" w:rsidRDefault="00CA29C3" w:rsidP="00C52E4C">
      <w:pPr>
        <w:pStyle w:val="Odstavekseznama"/>
        <w:numPr>
          <w:ilvl w:val="0"/>
          <w:numId w:val="11"/>
        </w:numPr>
        <w:spacing w:after="0" w:line="240" w:lineRule="auto"/>
        <w:jc w:val="both"/>
        <w:rPr>
          <w:rFonts w:ascii="Calibri" w:hAnsi="Calibri" w:cs="Calibri"/>
        </w:rPr>
      </w:pPr>
      <w:r w:rsidRPr="001872B5">
        <w:rPr>
          <w:rFonts w:ascii="Calibri" w:hAnsi="Calibri" w:cs="Calibri"/>
        </w:rPr>
        <w:t xml:space="preserve">potekalo </w:t>
      </w:r>
      <w:r w:rsidR="00B262F0">
        <w:rPr>
          <w:rFonts w:ascii="Calibri" w:hAnsi="Calibri" w:cs="Calibri"/>
        </w:rPr>
        <w:t xml:space="preserve">je </w:t>
      </w:r>
      <w:r w:rsidRPr="001872B5">
        <w:rPr>
          <w:rFonts w:ascii="Calibri" w:hAnsi="Calibri" w:cs="Calibri"/>
        </w:rPr>
        <w:t xml:space="preserve">izobraževanje </w:t>
      </w:r>
      <w:r w:rsidRPr="001872B5">
        <w:rPr>
          <w:rFonts w:ascii="Calibri" w:hAnsi="Calibri" w:cs="Calibri"/>
          <w:i/>
          <w:iCs/>
        </w:rPr>
        <w:t>Evropski energetski menedžer</w:t>
      </w:r>
      <w:r w:rsidRPr="001872B5">
        <w:rPr>
          <w:rFonts w:ascii="Calibri" w:hAnsi="Calibri" w:cs="Calibri"/>
        </w:rPr>
        <w:t xml:space="preserve"> – </w:t>
      </w:r>
      <w:r w:rsidRPr="001872B5">
        <w:rPr>
          <w:rFonts w:ascii="Calibri" w:hAnsi="Calibri" w:cs="Calibri"/>
          <w:i/>
          <w:iCs/>
        </w:rPr>
        <w:t>EUREM</w:t>
      </w:r>
      <w:r w:rsidRPr="001872B5">
        <w:rPr>
          <w:rFonts w:ascii="Calibri" w:hAnsi="Calibri" w:cs="Calibri"/>
        </w:rPr>
        <w:t>;</w:t>
      </w:r>
    </w:p>
    <w:p w14:paraId="2A78A213" w14:textId="7E89F5F9" w:rsidR="001872B5" w:rsidRDefault="00B97C55" w:rsidP="00C52E4C">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je bil </w:t>
      </w:r>
      <w:r w:rsidR="00FB144A" w:rsidRPr="001872B5">
        <w:rPr>
          <w:rFonts w:ascii="Calibri" w:hAnsi="Calibri" w:cs="Calibri"/>
        </w:rPr>
        <w:t xml:space="preserve">vzpostavljen </w:t>
      </w:r>
      <w:r w:rsidR="00FB144A" w:rsidRPr="001872B5">
        <w:rPr>
          <w:rFonts w:ascii="Calibri" w:hAnsi="Calibri" w:cs="Calibri"/>
          <w:i/>
          <w:iCs/>
        </w:rPr>
        <w:t>Portal energetika</w:t>
      </w:r>
      <w:r w:rsidR="00FB144A" w:rsidRPr="001872B5">
        <w:rPr>
          <w:rFonts w:ascii="Calibri" w:hAnsi="Calibri" w:cs="Calibri"/>
        </w:rPr>
        <w:t>;</w:t>
      </w:r>
    </w:p>
    <w:p w14:paraId="7FC4B68A" w14:textId="1EA0C135" w:rsidR="001872B5" w:rsidRDefault="006940EB" w:rsidP="00C52E4C">
      <w:pPr>
        <w:pStyle w:val="Odstavekseznama"/>
        <w:numPr>
          <w:ilvl w:val="0"/>
          <w:numId w:val="11"/>
        </w:numPr>
        <w:spacing w:after="0" w:line="240" w:lineRule="auto"/>
        <w:jc w:val="both"/>
        <w:rPr>
          <w:rFonts w:ascii="Calibri" w:hAnsi="Calibri" w:cs="Calibri"/>
        </w:rPr>
      </w:pPr>
      <w:r w:rsidRPr="001872B5">
        <w:rPr>
          <w:rFonts w:ascii="Calibri" w:hAnsi="Calibri" w:cs="Calibri"/>
        </w:rPr>
        <w:t xml:space="preserve">v projektu </w:t>
      </w:r>
      <w:r w:rsidRPr="001872B5">
        <w:rPr>
          <w:rFonts w:ascii="Calibri" w:hAnsi="Calibri" w:cs="Calibri"/>
          <w:i/>
          <w:iCs/>
        </w:rPr>
        <w:t>Teden mobilnosti</w:t>
      </w:r>
      <w:r w:rsidRPr="001872B5">
        <w:rPr>
          <w:rFonts w:ascii="Calibri" w:hAnsi="Calibri" w:cs="Calibri"/>
        </w:rPr>
        <w:t xml:space="preserve"> je </w:t>
      </w:r>
      <w:r w:rsidR="00AA2FF8">
        <w:rPr>
          <w:rFonts w:ascii="Calibri" w:hAnsi="Calibri" w:cs="Calibri"/>
        </w:rPr>
        <w:t xml:space="preserve">v letu 2018 </w:t>
      </w:r>
      <w:r w:rsidRPr="001872B5">
        <w:rPr>
          <w:rFonts w:ascii="Calibri" w:hAnsi="Calibri" w:cs="Calibri"/>
        </w:rPr>
        <w:t>sodelovalo 77 občin</w:t>
      </w:r>
      <w:r w:rsidR="00AA2FF8">
        <w:rPr>
          <w:rFonts w:ascii="Calibri" w:hAnsi="Calibri" w:cs="Calibri"/>
        </w:rPr>
        <w:t>, v letu 2019 že 80</w:t>
      </w:r>
      <w:r w:rsidRPr="001872B5">
        <w:rPr>
          <w:rFonts w:ascii="Calibri" w:hAnsi="Calibri" w:cs="Calibri"/>
        </w:rPr>
        <w:t>;</w:t>
      </w:r>
    </w:p>
    <w:p w14:paraId="5F6FCCA9" w14:textId="051E261C" w:rsidR="001872B5" w:rsidRDefault="00593353" w:rsidP="00C52E4C">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se je </w:t>
      </w:r>
      <w:r w:rsidR="004D4FFD" w:rsidRPr="001872B5">
        <w:rPr>
          <w:rFonts w:ascii="Calibri" w:hAnsi="Calibri" w:cs="Calibri"/>
        </w:rPr>
        <w:t xml:space="preserve">pričel izvajati projekt </w:t>
      </w:r>
      <w:r w:rsidR="004D4FFD" w:rsidRPr="001872B5">
        <w:rPr>
          <w:rFonts w:ascii="Calibri" w:hAnsi="Calibri" w:cs="Calibri"/>
          <w:i/>
          <w:iCs/>
        </w:rPr>
        <w:t>Mehki ukrepi trajnostne mobilnosti</w:t>
      </w:r>
      <w:r w:rsidR="004D4FFD" w:rsidRPr="001872B5">
        <w:rPr>
          <w:rFonts w:ascii="Calibri" w:hAnsi="Calibri" w:cs="Calibri"/>
        </w:rPr>
        <w:t>, ki med drugim izobražuje vrtce in osnovne šole o trajnostni mobilnosti</w:t>
      </w:r>
      <w:r w:rsidR="00B97C55">
        <w:rPr>
          <w:rFonts w:ascii="Calibri" w:hAnsi="Calibri" w:cs="Calibri"/>
        </w:rPr>
        <w:t xml:space="preserve"> in bo trajal do leta 2021</w:t>
      </w:r>
      <w:r w:rsidR="004D4FFD" w:rsidRPr="001872B5">
        <w:rPr>
          <w:rFonts w:ascii="Calibri" w:hAnsi="Calibri" w:cs="Calibri"/>
        </w:rPr>
        <w:t>;</w:t>
      </w:r>
    </w:p>
    <w:p w14:paraId="580E85E1" w14:textId="77777777" w:rsidR="001872B5" w:rsidRDefault="00F81A3E" w:rsidP="00C52E4C">
      <w:pPr>
        <w:pStyle w:val="Odstavekseznama"/>
        <w:numPr>
          <w:ilvl w:val="0"/>
          <w:numId w:val="11"/>
        </w:numPr>
        <w:spacing w:after="0" w:line="240" w:lineRule="auto"/>
        <w:jc w:val="both"/>
        <w:rPr>
          <w:rFonts w:ascii="Calibri" w:hAnsi="Calibri" w:cs="Calibri"/>
        </w:rPr>
      </w:pPr>
      <w:r w:rsidRPr="001872B5">
        <w:rPr>
          <w:rFonts w:ascii="Calibri" w:hAnsi="Calibri" w:cs="Calibri"/>
        </w:rPr>
        <w:t xml:space="preserve">nadaljeval se je projekt </w:t>
      </w:r>
      <w:r w:rsidRPr="001872B5">
        <w:rPr>
          <w:rFonts w:ascii="Calibri" w:hAnsi="Calibri" w:cs="Calibri"/>
          <w:i/>
          <w:iCs/>
        </w:rPr>
        <w:t>LIFE Podnebna pot 2050</w:t>
      </w:r>
      <w:r w:rsidRPr="001872B5">
        <w:rPr>
          <w:rFonts w:ascii="Calibri" w:hAnsi="Calibri" w:cs="Calibri"/>
        </w:rPr>
        <w:t>;</w:t>
      </w:r>
    </w:p>
    <w:p w14:paraId="45E7FCC6" w14:textId="5A54144A" w:rsidR="001872B5" w:rsidRDefault="00125AB4" w:rsidP="00C52E4C">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se je </w:t>
      </w:r>
      <w:r w:rsidR="00F81A3E" w:rsidRPr="001872B5">
        <w:rPr>
          <w:rFonts w:ascii="Calibri" w:hAnsi="Calibri" w:cs="Calibri"/>
        </w:rPr>
        <w:t xml:space="preserve">zaključil projekt </w:t>
      </w:r>
      <w:r w:rsidR="00F81A3E" w:rsidRPr="001872B5">
        <w:rPr>
          <w:rFonts w:ascii="Calibri" w:hAnsi="Calibri" w:cs="Calibri"/>
          <w:i/>
          <w:iCs/>
        </w:rPr>
        <w:t>LIFE Krepitev zmogljivosti</w:t>
      </w:r>
      <w:r w:rsidR="00F81A3E" w:rsidRPr="001872B5">
        <w:rPr>
          <w:rFonts w:ascii="Calibri" w:hAnsi="Calibri" w:cs="Calibri"/>
        </w:rPr>
        <w:t>, ki je krepil znanje o pripravi in vodenju pr</w:t>
      </w:r>
      <w:r w:rsidR="00AA625F" w:rsidRPr="001872B5">
        <w:rPr>
          <w:rFonts w:ascii="Calibri" w:hAnsi="Calibri" w:cs="Calibri"/>
        </w:rPr>
        <w:t>oj</w:t>
      </w:r>
      <w:r w:rsidR="00F81A3E" w:rsidRPr="001872B5">
        <w:rPr>
          <w:rFonts w:ascii="Calibri" w:hAnsi="Calibri" w:cs="Calibri"/>
        </w:rPr>
        <w:t>e</w:t>
      </w:r>
      <w:r w:rsidR="00AA625F" w:rsidRPr="001872B5">
        <w:rPr>
          <w:rFonts w:ascii="Calibri" w:hAnsi="Calibri" w:cs="Calibri"/>
        </w:rPr>
        <w:t>k</w:t>
      </w:r>
      <w:r w:rsidR="00F81A3E" w:rsidRPr="001872B5">
        <w:rPr>
          <w:rFonts w:ascii="Calibri" w:hAnsi="Calibri" w:cs="Calibri"/>
        </w:rPr>
        <w:t>tov program</w:t>
      </w:r>
      <w:r w:rsidR="00AA625F" w:rsidRPr="001872B5">
        <w:rPr>
          <w:rFonts w:ascii="Calibri" w:hAnsi="Calibri" w:cs="Calibri"/>
        </w:rPr>
        <w:t>a</w:t>
      </w:r>
      <w:r w:rsidR="00F81A3E" w:rsidRPr="001872B5">
        <w:rPr>
          <w:rFonts w:ascii="Calibri" w:hAnsi="Calibri" w:cs="Calibri"/>
        </w:rPr>
        <w:t xml:space="preserve"> LIFE;</w:t>
      </w:r>
    </w:p>
    <w:p w14:paraId="1F072468" w14:textId="042F2C1D" w:rsidR="001872B5" w:rsidRDefault="00125AB4" w:rsidP="00C52E4C">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se je </w:t>
      </w:r>
      <w:r w:rsidR="00F81A3E" w:rsidRPr="001872B5">
        <w:rPr>
          <w:rFonts w:ascii="Calibri" w:hAnsi="Calibri" w:cs="Calibri"/>
        </w:rPr>
        <w:t xml:space="preserve">nadaljeval projekt </w:t>
      </w:r>
      <w:r w:rsidR="00825F20">
        <w:rPr>
          <w:rFonts w:ascii="Calibri" w:hAnsi="Calibri" w:cs="Calibri"/>
        </w:rPr>
        <w:t>s</w:t>
      </w:r>
      <w:r w:rsidR="00825F20">
        <w:t xml:space="preserve">premljanja porabe energije v gospodinjstvih </w:t>
      </w:r>
      <w:proofErr w:type="spellStart"/>
      <w:r w:rsidR="00F81A3E" w:rsidRPr="001872B5">
        <w:rPr>
          <w:rFonts w:ascii="Calibri" w:hAnsi="Calibri" w:cs="Calibri"/>
          <w:i/>
          <w:iCs/>
        </w:rPr>
        <w:t>Clear</w:t>
      </w:r>
      <w:proofErr w:type="spellEnd"/>
      <w:r w:rsidR="00F81A3E" w:rsidRPr="001872B5">
        <w:rPr>
          <w:rFonts w:ascii="Calibri" w:hAnsi="Calibri" w:cs="Calibri"/>
          <w:i/>
          <w:iCs/>
        </w:rPr>
        <w:t xml:space="preserve"> 2.0</w:t>
      </w:r>
      <w:r w:rsidR="00F81A3E" w:rsidRPr="001872B5">
        <w:rPr>
          <w:rFonts w:ascii="Calibri" w:hAnsi="Calibri" w:cs="Calibri"/>
        </w:rPr>
        <w:t>, ki spodbuja prehod v nizkoogljično družbo;</w:t>
      </w:r>
    </w:p>
    <w:p w14:paraId="62EF785C" w14:textId="51A1A004" w:rsidR="001872B5" w:rsidRPr="00113AC8" w:rsidRDefault="00F81A3E" w:rsidP="00125AB4">
      <w:pPr>
        <w:pStyle w:val="Default"/>
        <w:numPr>
          <w:ilvl w:val="0"/>
          <w:numId w:val="11"/>
        </w:numPr>
        <w:jc w:val="both"/>
        <w:rPr>
          <w:rFonts w:asciiTheme="minorHAnsi" w:hAnsiTheme="minorHAnsi" w:cstheme="minorHAnsi"/>
          <w:sz w:val="22"/>
          <w:szCs w:val="22"/>
          <w:lang w:val="sl-SI"/>
        </w:rPr>
      </w:pPr>
      <w:r w:rsidRPr="00113AC8">
        <w:rPr>
          <w:rFonts w:asciiTheme="minorHAnsi" w:hAnsiTheme="minorHAnsi" w:cstheme="minorHAnsi"/>
          <w:sz w:val="22"/>
          <w:szCs w:val="22"/>
          <w:lang w:val="sl-SI"/>
        </w:rPr>
        <w:t>Fo</w:t>
      </w:r>
      <w:r w:rsidR="00697FED" w:rsidRPr="00113AC8">
        <w:rPr>
          <w:rFonts w:asciiTheme="minorHAnsi" w:hAnsiTheme="minorHAnsi" w:cstheme="minorHAnsi"/>
          <w:sz w:val="22"/>
          <w:szCs w:val="22"/>
          <w:lang w:val="sl-SI"/>
        </w:rPr>
        <w:t>c</w:t>
      </w:r>
      <w:r w:rsidRPr="00113AC8">
        <w:rPr>
          <w:rFonts w:asciiTheme="minorHAnsi" w:hAnsiTheme="minorHAnsi" w:cstheme="minorHAnsi"/>
          <w:sz w:val="22"/>
          <w:szCs w:val="22"/>
          <w:lang w:val="sl-SI"/>
        </w:rPr>
        <w:t>us</w:t>
      </w:r>
      <w:r w:rsidR="00147C25">
        <w:rPr>
          <w:rFonts w:asciiTheme="minorHAnsi" w:hAnsiTheme="minorHAnsi" w:cstheme="minorHAnsi"/>
          <w:sz w:val="22"/>
          <w:szCs w:val="22"/>
          <w:lang w:val="sl-SI"/>
        </w:rPr>
        <w:t>, društvo za sonaraven razvoj je bil</w:t>
      </w:r>
      <w:r w:rsidRPr="00113AC8">
        <w:rPr>
          <w:rFonts w:asciiTheme="minorHAnsi" w:hAnsiTheme="minorHAnsi" w:cstheme="minorHAnsi"/>
          <w:sz w:val="22"/>
          <w:szCs w:val="22"/>
          <w:lang w:val="sl-SI"/>
        </w:rPr>
        <w:t xml:space="preserve"> </w:t>
      </w:r>
      <w:r w:rsidR="00125AB4" w:rsidRPr="00113AC8">
        <w:rPr>
          <w:rFonts w:asciiTheme="minorHAnsi" w:hAnsiTheme="minorHAnsi" w:cstheme="minorHAnsi"/>
          <w:sz w:val="22"/>
          <w:szCs w:val="22"/>
          <w:lang w:val="sl-SI"/>
        </w:rPr>
        <w:t xml:space="preserve">v letu 2019 </w:t>
      </w:r>
      <w:r w:rsidRPr="00113AC8">
        <w:rPr>
          <w:rFonts w:asciiTheme="minorHAnsi" w:hAnsiTheme="minorHAnsi" w:cstheme="minorHAnsi"/>
          <w:sz w:val="22"/>
          <w:szCs w:val="22"/>
          <w:lang w:val="sl-SI"/>
        </w:rPr>
        <w:t xml:space="preserve">vključen v </w:t>
      </w:r>
      <w:r w:rsidR="00125AB4" w:rsidRPr="00113AC8">
        <w:rPr>
          <w:rFonts w:asciiTheme="minorHAnsi" w:hAnsiTheme="minorHAnsi" w:cstheme="minorHAnsi"/>
          <w:sz w:val="22"/>
          <w:szCs w:val="22"/>
          <w:lang w:val="sl-SI"/>
        </w:rPr>
        <w:t xml:space="preserve">različne projekte: </w:t>
      </w:r>
      <w:r w:rsidR="00125AB4" w:rsidRPr="00113AC8">
        <w:rPr>
          <w:rFonts w:asciiTheme="minorHAnsi" w:hAnsiTheme="minorHAnsi" w:cstheme="minorHAnsi"/>
          <w:i/>
          <w:iCs/>
          <w:sz w:val="22"/>
          <w:szCs w:val="22"/>
          <w:lang w:val="sl-SI"/>
        </w:rPr>
        <w:t>LIFE IP CARE4CLIMATE</w:t>
      </w:r>
      <w:r w:rsidR="00125AB4" w:rsidRPr="00113AC8">
        <w:rPr>
          <w:rFonts w:asciiTheme="minorHAnsi" w:hAnsiTheme="minorHAnsi" w:cstheme="minorHAnsi"/>
          <w:sz w:val="22"/>
          <w:szCs w:val="22"/>
          <w:lang w:val="sl-SI"/>
        </w:rPr>
        <w:t xml:space="preserve">, izvedli so celostno prenovo programa </w:t>
      </w:r>
      <w:r w:rsidR="00125AB4" w:rsidRPr="00113AC8">
        <w:rPr>
          <w:rFonts w:asciiTheme="minorHAnsi" w:hAnsiTheme="minorHAnsi" w:cstheme="minorHAnsi"/>
          <w:i/>
          <w:iCs/>
          <w:sz w:val="22"/>
          <w:szCs w:val="22"/>
          <w:lang w:val="sl-SI"/>
        </w:rPr>
        <w:t>Dovolj za vse</w:t>
      </w:r>
      <w:r w:rsidR="00BD7690">
        <w:rPr>
          <w:rFonts w:asciiTheme="minorHAnsi" w:hAnsiTheme="minorHAnsi" w:cstheme="minorHAnsi"/>
          <w:iCs/>
          <w:sz w:val="22"/>
          <w:szCs w:val="22"/>
          <w:lang w:val="sl-SI"/>
        </w:rPr>
        <w:t xml:space="preserve"> (vključena tudi Umanotera)</w:t>
      </w:r>
      <w:r w:rsidR="00125AB4" w:rsidRPr="00113AC8">
        <w:rPr>
          <w:rFonts w:asciiTheme="minorHAnsi" w:hAnsiTheme="minorHAnsi" w:cstheme="minorHAnsi"/>
          <w:sz w:val="22"/>
          <w:szCs w:val="22"/>
          <w:lang w:val="sl-SI"/>
        </w:rPr>
        <w:t xml:space="preserve"> in oblikovali novo spletno stran, soorganizirali nacionalno konferenco o skupnostnem upravljanju z življenjskim viri, pripravili video in smernice za javne uslužbence o prehodu v NOD, začeli z izvajanjem projekta LIFE UNIFY, katerega cilj je prispevati k pravočasnemu in učinkovitemu prehodu v nizkoogljično družbo in gospodarstvo, </w:t>
      </w:r>
      <w:r w:rsidR="00113AC8" w:rsidRPr="00113AC8">
        <w:rPr>
          <w:rFonts w:asciiTheme="minorHAnsi" w:hAnsiTheme="minorHAnsi" w:cstheme="minorHAnsi"/>
          <w:sz w:val="22"/>
          <w:szCs w:val="22"/>
          <w:lang w:val="sl-SI"/>
        </w:rPr>
        <w:t>o</w:t>
      </w:r>
      <w:r w:rsidR="006D7435">
        <w:rPr>
          <w:rFonts w:asciiTheme="minorHAnsi" w:hAnsiTheme="minorHAnsi" w:cstheme="minorHAnsi"/>
          <w:sz w:val="22"/>
          <w:szCs w:val="22"/>
          <w:lang w:val="sl-SI"/>
        </w:rPr>
        <w:t>rganizirali</w:t>
      </w:r>
      <w:r w:rsidR="00125AB4" w:rsidRPr="00113AC8">
        <w:rPr>
          <w:rFonts w:asciiTheme="minorHAnsi" w:hAnsiTheme="minorHAnsi" w:cstheme="minorHAnsi"/>
          <w:sz w:val="22"/>
          <w:szCs w:val="22"/>
          <w:lang w:val="sl-SI"/>
        </w:rPr>
        <w:t xml:space="preserve"> projekt </w:t>
      </w:r>
      <w:r w:rsidR="00125AB4" w:rsidRPr="00113AC8">
        <w:rPr>
          <w:rFonts w:asciiTheme="minorHAnsi" w:hAnsiTheme="minorHAnsi" w:cstheme="minorHAnsi"/>
          <w:i/>
          <w:iCs/>
          <w:sz w:val="22"/>
          <w:szCs w:val="22"/>
          <w:lang w:val="sl-SI"/>
        </w:rPr>
        <w:t>Prihodnost Evrope 2</w:t>
      </w:r>
      <w:r w:rsidR="00125AB4" w:rsidRPr="00113AC8">
        <w:rPr>
          <w:rFonts w:asciiTheme="minorHAnsi" w:hAnsiTheme="minorHAnsi" w:cstheme="minorHAnsi"/>
          <w:sz w:val="22"/>
          <w:szCs w:val="22"/>
          <w:lang w:val="sl-SI"/>
        </w:rPr>
        <w:t xml:space="preserve">, ki se je osredotočal na pomen politične participacije mladih ‒ bralni krožek na temo podnebne pravičnosti, iz leta 2018 pa </w:t>
      </w:r>
      <w:r w:rsidR="00113AC8" w:rsidRPr="00113AC8">
        <w:rPr>
          <w:rFonts w:asciiTheme="minorHAnsi" w:hAnsiTheme="minorHAnsi" w:cstheme="minorHAnsi"/>
          <w:sz w:val="22"/>
          <w:szCs w:val="22"/>
          <w:lang w:val="sl-SI"/>
        </w:rPr>
        <w:t>so</w:t>
      </w:r>
      <w:r w:rsidR="00125AB4" w:rsidRPr="00113AC8">
        <w:rPr>
          <w:rFonts w:asciiTheme="minorHAnsi" w:hAnsiTheme="minorHAnsi" w:cstheme="minorHAnsi"/>
          <w:sz w:val="22"/>
          <w:szCs w:val="22"/>
          <w:lang w:val="sl-SI"/>
        </w:rPr>
        <w:t xml:space="preserve"> nadaljeval</w:t>
      </w:r>
      <w:r w:rsidR="00113AC8" w:rsidRPr="00113AC8">
        <w:rPr>
          <w:rFonts w:asciiTheme="minorHAnsi" w:hAnsiTheme="minorHAnsi" w:cstheme="minorHAnsi"/>
          <w:sz w:val="22"/>
          <w:szCs w:val="22"/>
          <w:lang w:val="sl-SI"/>
        </w:rPr>
        <w:t>i</w:t>
      </w:r>
      <w:r w:rsidR="00125AB4" w:rsidRPr="00113AC8">
        <w:rPr>
          <w:rFonts w:asciiTheme="minorHAnsi" w:hAnsiTheme="minorHAnsi" w:cstheme="minorHAnsi"/>
          <w:sz w:val="22"/>
          <w:szCs w:val="22"/>
          <w:lang w:val="sl-SI"/>
        </w:rPr>
        <w:t xml:space="preserve"> tudi </w:t>
      </w:r>
      <w:r w:rsidRPr="00113AC8">
        <w:rPr>
          <w:rFonts w:asciiTheme="minorHAnsi" w:hAnsiTheme="minorHAnsi" w:cstheme="minorHAnsi"/>
          <w:sz w:val="22"/>
          <w:szCs w:val="22"/>
          <w:lang w:val="sl-SI"/>
        </w:rPr>
        <w:t>projekt IDEA za razvoj inovativnih pristopov na področju izobraževanja o energetski revščini;</w:t>
      </w:r>
    </w:p>
    <w:p w14:paraId="57EF0E88" w14:textId="16F57125" w:rsidR="00125AB4" w:rsidRPr="00113AC8" w:rsidRDefault="00125AB4" w:rsidP="00125AB4">
      <w:pPr>
        <w:pStyle w:val="Odstavekseznama"/>
        <w:numPr>
          <w:ilvl w:val="0"/>
          <w:numId w:val="11"/>
        </w:numPr>
        <w:autoSpaceDE w:val="0"/>
        <w:autoSpaceDN w:val="0"/>
        <w:adjustRightInd w:val="0"/>
        <w:spacing w:after="0" w:line="240" w:lineRule="auto"/>
        <w:jc w:val="both"/>
        <w:rPr>
          <w:rFonts w:cstheme="minorHAnsi"/>
          <w:color w:val="000000"/>
        </w:rPr>
      </w:pPr>
      <w:r w:rsidRPr="00113AC8">
        <w:rPr>
          <w:rFonts w:cstheme="minorHAnsi"/>
          <w:color w:val="000000"/>
        </w:rPr>
        <w:t xml:space="preserve">društvo za energetsko pismenost EN-LITE je nadaljevalo z aktivnostmi na področju </w:t>
      </w:r>
      <w:proofErr w:type="spellStart"/>
      <w:r w:rsidRPr="00113AC8">
        <w:rPr>
          <w:rFonts w:cstheme="minorHAnsi"/>
          <w:color w:val="000000"/>
        </w:rPr>
        <w:t>iENERGIJE</w:t>
      </w:r>
      <w:proofErr w:type="spellEnd"/>
      <w:r w:rsidRPr="00113AC8">
        <w:rPr>
          <w:rFonts w:cstheme="minorHAnsi"/>
          <w:color w:val="000000"/>
        </w:rPr>
        <w:t xml:space="preserve">; </w:t>
      </w:r>
    </w:p>
    <w:p w14:paraId="33CB4AAC" w14:textId="05E07DEB" w:rsidR="001872B5" w:rsidRDefault="00125AB4" w:rsidP="00C52E4C">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je </w:t>
      </w:r>
      <w:r w:rsidR="00306E0C" w:rsidRPr="001872B5">
        <w:rPr>
          <w:rFonts w:ascii="Calibri" w:hAnsi="Calibri" w:cs="Calibri"/>
        </w:rPr>
        <w:t xml:space="preserve">izšel priročnik </w:t>
      </w:r>
      <w:r w:rsidR="00306E0C" w:rsidRPr="001872B5">
        <w:rPr>
          <w:rFonts w:ascii="Calibri" w:hAnsi="Calibri" w:cs="Calibri"/>
          <w:i/>
          <w:iCs/>
        </w:rPr>
        <w:t>Prehod v zeleno gospodarstvo</w:t>
      </w:r>
      <w:r w:rsidR="00306E0C" w:rsidRPr="001872B5">
        <w:rPr>
          <w:rFonts w:ascii="Calibri" w:hAnsi="Calibri" w:cs="Calibri"/>
        </w:rPr>
        <w:t xml:space="preserve">, ki </w:t>
      </w:r>
      <w:r w:rsidR="00C6370B" w:rsidRPr="001872B5">
        <w:rPr>
          <w:rFonts w:ascii="Calibri" w:hAnsi="Calibri" w:cs="Calibri"/>
        </w:rPr>
        <w:t xml:space="preserve">predstavlja </w:t>
      </w:r>
      <w:r w:rsidR="00875754">
        <w:t>smeri, zavezujoče strateške in operativne cilje EU in Slovenije ter konkretna orodja za podjetja s primeri iz prakse.</w:t>
      </w:r>
      <w:r w:rsidR="00C6370B" w:rsidRPr="001872B5">
        <w:rPr>
          <w:rFonts w:ascii="Calibri" w:hAnsi="Calibri" w:cs="Calibri"/>
        </w:rPr>
        <w:t>;</w:t>
      </w:r>
    </w:p>
    <w:p w14:paraId="1485B4C0" w14:textId="3E7F2327" w:rsidR="005C5D29" w:rsidRPr="005C5D29" w:rsidRDefault="005C5D29" w:rsidP="005C5D29">
      <w:pPr>
        <w:pStyle w:val="Odstavekseznama"/>
        <w:numPr>
          <w:ilvl w:val="0"/>
          <w:numId w:val="11"/>
        </w:numPr>
        <w:autoSpaceDE w:val="0"/>
        <w:autoSpaceDN w:val="0"/>
        <w:adjustRightInd w:val="0"/>
        <w:spacing w:after="0" w:line="240" w:lineRule="auto"/>
        <w:jc w:val="both"/>
        <w:rPr>
          <w:rFonts w:cstheme="minorHAnsi"/>
          <w:color w:val="000000"/>
        </w:rPr>
      </w:pPr>
      <w:r w:rsidRPr="005C5D29">
        <w:rPr>
          <w:rFonts w:cstheme="minorHAnsi"/>
          <w:color w:val="000000"/>
        </w:rPr>
        <w:t xml:space="preserve">Focus, Inštitut za politike prostora in CIPRA Slovenije so v letu 2019 sodelovali v programu </w:t>
      </w:r>
      <w:r w:rsidRPr="005C5D29">
        <w:rPr>
          <w:rFonts w:cstheme="minorHAnsi"/>
          <w:i/>
          <w:iCs/>
          <w:color w:val="000000"/>
        </w:rPr>
        <w:t>Aktivno v šolo</w:t>
      </w:r>
      <w:r w:rsidRPr="005C5D29">
        <w:rPr>
          <w:rFonts w:cstheme="minorHAnsi"/>
          <w:color w:val="000000"/>
        </w:rPr>
        <w:t xml:space="preserve">, katerega namen je podpora šolam in občinam pri spodbujanju aktivne poti v šolo ter organizirali </w:t>
      </w:r>
      <w:r w:rsidRPr="005C5D29">
        <w:rPr>
          <w:rFonts w:cstheme="minorHAnsi"/>
          <w:i/>
          <w:iCs/>
          <w:color w:val="000000"/>
        </w:rPr>
        <w:t>kolesarski zajtrk</w:t>
      </w:r>
      <w:r w:rsidR="006D7435">
        <w:rPr>
          <w:rFonts w:cstheme="minorHAnsi"/>
          <w:color w:val="000000"/>
        </w:rPr>
        <w:t>;</w:t>
      </w:r>
    </w:p>
    <w:p w14:paraId="05E66B62" w14:textId="1C9F7932" w:rsidR="005C5D29" w:rsidRPr="005C5D29" w:rsidRDefault="00E62B06" w:rsidP="005C5D29">
      <w:pPr>
        <w:pStyle w:val="Odstavekseznama"/>
        <w:numPr>
          <w:ilvl w:val="0"/>
          <w:numId w:val="11"/>
        </w:numPr>
        <w:autoSpaceDE w:val="0"/>
        <w:autoSpaceDN w:val="0"/>
        <w:adjustRightInd w:val="0"/>
        <w:spacing w:after="0" w:line="240" w:lineRule="auto"/>
        <w:jc w:val="both"/>
        <w:rPr>
          <w:rFonts w:cstheme="minorHAnsi"/>
          <w:color w:val="000000"/>
        </w:rPr>
      </w:pPr>
      <w:r>
        <w:rPr>
          <w:rFonts w:cstheme="minorHAnsi"/>
          <w:color w:val="000000"/>
        </w:rPr>
        <w:t>i</w:t>
      </w:r>
      <w:r w:rsidR="005C5D29" w:rsidRPr="005C5D29">
        <w:rPr>
          <w:rFonts w:cstheme="minorHAnsi"/>
          <w:color w:val="000000"/>
        </w:rPr>
        <w:t xml:space="preserve">z sredstev Sklada za podnebne spremembe je bil leta 2019 financiran projekt </w:t>
      </w:r>
      <w:r w:rsidR="005C5D29" w:rsidRPr="005C5D29">
        <w:rPr>
          <w:rFonts w:cstheme="minorHAnsi"/>
          <w:i/>
          <w:iCs/>
          <w:color w:val="000000"/>
        </w:rPr>
        <w:t xml:space="preserve">Podnebni dosje </w:t>
      </w:r>
      <w:r w:rsidR="005C5D29" w:rsidRPr="005C5D29">
        <w:rPr>
          <w:rFonts w:cstheme="minorHAnsi"/>
          <w:color w:val="000000"/>
        </w:rPr>
        <w:t xml:space="preserve">‒ članki na temo podnebnih sprememb v reviji </w:t>
      </w:r>
      <w:proofErr w:type="spellStart"/>
      <w:r w:rsidR="005C5D29" w:rsidRPr="005C5D29">
        <w:rPr>
          <w:rFonts w:cstheme="minorHAnsi"/>
          <w:color w:val="000000"/>
        </w:rPr>
        <w:t>Eol</w:t>
      </w:r>
      <w:proofErr w:type="spellEnd"/>
      <w:r w:rsidR="005C5D29">
        <w:rPr>
          <w:rFonts w:cstheme="minorHAnsi"/>
          <w:color w:val="000000"/>
        </w:rPr>
        <w:t>;</w:t>
      </w:r>
      <w:r w:rsidR="005C5D29" w:rsidRPr="005C5D29">
        <w:rPr>
          <w:rFonts w:cstheme="minorHAnsi"/>
          <w:color w:val="000000"/>
        </w:rPr>
        <w:t xml:space="preserve"> </w:t>
      </w:r>
    </w:p>
    <w:p w14:paraId="72AF7E72" w14:textId="0415EEC8" w:rsidR="00FB144A" w:rsidRDefault="00125AB4" w:rsidP="00FB144A">
      <w:pPr>
        <w:pStyle w:val="Odstavekseznama"/>
        <w:numPr>
          <w:ilvl w:val="0"/>
          <w:numId w:val="11"/>
        </w:numPr>
        <w:spacing w:after="0" w:line="240" w:lineRule="auto"/>
        <w:jc w:val="both"/>
        <w:rPr>
          <w:rFonts w:ascii="Calibri" w:hAnsi="Calibri" w:cs="Calibri"/>
        </w:rPr>
      </w:pPr>
      <w:r>
        <w:rPr>
          <w:rFonts w:ascii="Calibri" w:hAnsi="Calibri" w:cs="Calibri"/>
        </w:rPr>
        <w:t xml:space="preserve">v letu 2018 je </w:t>
      </w:r>
      <w:r w:rsidR="00FB144A" w:rsidRPr="001872B5">
        <w:rPr>
          <w:rFonts w:ascii="Calibri" w:hAnsi="Calibri" w:cs="Calibri"/>
        </w:rPr>
        <w:t>v veljavo vstopil tudi novi pravilnik o usposabljanju, licencah in registru licenc neodvisnih strokovnjakov za izdelavo energetskih izkaznic</w:t>
      </w:r>
      <w:r w:rsidR="00E62B06">
        <w:rPr>
          <w:rFonts w:ascii="Calibri" w:hAnsi="Calibri" w:cs="Calibri"/>
        </w:rPr>
        <w:t>;</w:t>
      </w:r>
    </w:p>
    <w:p w14:paraId="309FFD71" w14:textId="3F0899CA" w:rsidR="00C877E6" w:rsidRPr="00AF23F1" w:rsidRDefault="00C877E6" w:rsidP="00C877E6">
      <w:pPr>
        <w:pStyle w:val="Odstavekseznama"/>
        <w:numPr>
          <w:ilvl w:val="0"/>
          <w:numId w:val="11"/>
        </w:numPr>
        <w:spacing w:after="0" w:line="240" w:lineRule="auto"/>
        <w:jc w:val="both"/>
        <w:rPr>
          <w:rFonts w:ascii="Calibri" w:hAnsi="Calibri" w:cs="Calibri"/>
        </w:rPr>
      </w:pPr>
      <w:r>
        <w:rPr>
          <w:rFonts w:ascii="Calibri" w:hAnsi="Calibri" w:cs="Calibri"/>
        </w:rPr>
        <w:t>z</w:t>
      </w:r>
      <w:r w:rsidRPr="00AF23F1">
        <w:rPr>
          <w:rFonts w:ascii="Calibri" w:hAnsi="Calibri" w:cs="Calibri"/>
        </w:rPr>
        <w:t xml:space="preserve">a različne deležnike v šolstvu, kulturi, zdravstvu, itd. </w:t>
      </w:r>
      <w:r>
        <w:rPr>
          <w:rFonts w:ascii="Calibri" w:hAnsi="Calibri" w:cs="Calibri"/>
        </w:rPr>
        <w:t>j</w:t>
      </w:r>
      <w:r w:rsidRPr="00AF23F1">
        <w:rPr>
          <w:rFonts w:ascii="Calibri" w:hAnsi="Calibri" w:cs="Calibri"/>
        </w:rPr>
        <w:t>e bilo</w:t>
      </w:r>
      <w:r>
        <w:rPr>
          <w:rFonts w:ascii="Calibri" w:hAnsi="Calibri" w:cs="Calibri"/>
        </w:rPr>
        <w:t xml:space="preserve"> leta 2018</w:t>
      </w:r>
      <w:r w:rsidRPr="00AF23F1">
        <w:rPr>
          <w:rFonts w:ascii="Calibri" w:hAnsi="Calibri" w:cs="Calibri"/>
        </w:rPr>
        <w:t xml:space="preserve"> izvedenih več usposabljanj </w:t>
      </w:r>
      <w:r>
        <w:rPr>
          <w:rFonts w:ascii="Calibri" w:hAnsi="Calibri" w:cs="Calibri"/>
        </w:rPr>
        <w:t>za</w:t>
      </w:r>
      <w:r w:rsidRPr="00AF23F1">
        <w:rPr>
          <w:rFonts w:ascii="Calibri" w:hAnsi="Calibri" w:cs="Calibri"/>
        </w:rPr>
        <w:t xml:space="preserve"> poročanje po Uredbi o upravljanj</w:t>
      </w:r>
      <w:r>
        <w:rPr>
          <w:rFonts w:ascii="Calibri" w:hAnsi="Calibri" w:cs="Calibri"/>
        </w:rPr>
        <w:t>u z energijo v javnem sektorju;</w:t>
      </w:r>
    </w:p>
    <w:p w14:paraId="587628B9" w14:textId="6E1D34C0" w:rsidR="00E62B06" w:rsidRDefault="00C877E6" w:rsidP="00E62B06">
      <w:pPr>
        <w:pStyle w:val="Odstavekseznama"/>
        <w:numPr>
          <w:ilvl w:val="0"/>
          <w:numId w:val="11"/>
        </w:numPr>
        <w:spacing w:after="0" w:line="240" w:lineRule="auto"/>
        <w:jc w:val="both"/>
        <w:rPr>
          <w:rFonts w:ascii="Calibri" w:hAnsi="Calibri" w:cs="Calibri"/>
        </w:rPr>
      </w:pPr>
      <w:r>
        <w:rPr>
          <w:rFonts w:ascii="Calibri" w:hAnsi="Calibri" w:cs="Calibri"/>
        </w:rPr>
        <w:t>v</w:t>
      </w:r>
      <w:r w:rsidR="00E62B06">
        <w:rPr>
          <w:rFonts w:ascii="Calibri" w:hAnsi="Calibri" w:cs="Calibri"/>
        </w:rPr>
        <w:t xml:space="preserve"> šol. letu 2018/2019 je bil </w:t>
      </w:r>
      <w:r w:rsidR="00E62B06" w:rsidRPr="001872B5">
        <w:rPr>
          <w:rFonts w:ascii="Calibri" w:hAnsi="Calibri" w:cs="Calibri"/>
        </w:rPr>
        <w:t>v program Ekošole dodan sklop Podnebne spremembe</w:t>
      </w:r>
      <w:r w:rsidR="00E62B06">
        <w:rPr>
          <w:rFonts w:ascii="Calibri" w:hAnsi="Calibri" w:cs="Calibri"/>
        </w:rPr>
        <w:t>;</w:t>
      </w:r>
    </w:p>
    <w:p w14:paraId="68903068" w14:textId="223F090B" w:rsidR="00E62B06" w:rsidRPr="00E62B06" w:rsidRDefault="00E62B06" w:rsidP="00E62B06">
      <w:pPr>
        <w:pStyle w:val="Default"/>
        <w:numPr>
          <w:ilvl w:val="0"/>
          <w:numId w:val="11"/>
        </w:numPr>
        <w:jc w:val="both"/>
        <w:rPr>
          <w:rFonts w:ascii="Calibri" w:hAnsi="Calibri" w:cs="Calibri"/>
          <w:sz w:val="22"/>
          <w:szCs w:val="22"/>
          <w:lang w:val="sl-SI"/>
        </w:rPr>
      </w:pPr>
      <w:r w:rsidRPr="00E62B06">
        <w:rPr>
          <w:rFonts w:ascii="Calibri" w:hAnsi="Calibri" w:cs="Calibri"/>
          <w:sz w:val="22"/>
          <w:szCs w:val="22"/>
          <w:lang w:val="sl-SI"/>
        </w:rPr>
        <w:t>leta 2019 je pri Zavodu Republike Slovenije za šolstvo začel teči proces evalvacije učnih načrtov osnovnošolskega programa, posodobljen je bil koncept razširjenega programa osnovne šole, ki se v obdobju 2018‒2021 pilotsko uvaja v 20 osnovnih šolah, za gimnazije je bil pripravljen u</w:t>
      </w:r>
      <w:r w:rsidR="00D95988">
        <w:rPr>
          <w:rFonts w:ascii="Calibri" w:hAnsi="Calibri" w:cs="Calibri"/>
          <w:sz w:val="22"/>
          <w:szCs w:val="22"/>
          <w:lang w:val="sl-SI"/>
        </w:rPr>
        <w:t>čni načrt za področje državljan</w:t>
      </w:r>
      <w:r w:rsidRPr="00E62B06">
        <w:rPr>
          <w:rFonts w:ascii="Calibri" w:hAnsi="Calibri" w:cs="Calibri"/>
          <w:sz w:val="22"/>
          <w:szCs w:val="22"/>
          <w:lang w:val="sl-SI"/>
        </w:rPr>
        <w:t xml:space="preserve">ske vzgoje, ki vključuje tudi trajnostni razvoj in smernice Vzgoje in izobraževanja za trajnostni razvoj (VITR), na področju izobraževanja odraslih se je uveljavil model študijskih krožkov, ki jih koordinira Andragoški center Slovenije (ACS), izveden </w:t>
      </w:r>
      <w:r>
        <w:rPr>
          <w:rFonts w:ascii="Calibri" w:hAnsi="Calibri" w:cs="Calibri"/>
          <w:sz w:val="22"/>
          <w:szCs w:val="22"/>
          <w:lang w:val="sl-SI"/>
        </w:rPr>
        <w:t xml:space="preserve">pa </w:t>
      </w:r>
      <w:r w:rsidRPr="00E62B06">
        <w:rPr>
          <w:rFonts w:ascii="Calibri" w:hAnsi="Calibri" w:cs="Calibri"/>
          <w:sz w:val="22"/>
          <w:szCs w:val="22"/>
          <w:lang w:val="sl-SI"/>
        </w:rPr>
        <w:t xml:space="preserve">je bil </w:t>
      </w:r>
      <w:r>
        <w:rPr>
          <w:rFonts w:ascii="Calibri" w:hAnsi="Calibri" w:cs="Calibri"/>
          <w:sz w:val="22"/>
          <w:szCs w:val="22"/>
          <w:lang w:val="sl-SI"/>
        </w:rPr>
        <w:t xml:space="preserve">tudi </w:t>
      </w:r>
      <w:r w:rsidRPr="00E62B06">
        <w:rPr>
          <w:rFonts w:ascii="Calibri" w:hAnsi="Calibri" w:cs="Calibri"/>
          <w:sz w:val="22"/>
          <w:szCs w:val="22"/>
          <w:lang w:val="sl-SI"/>
        </w:rPr>
        <w:t xml:space="preserve">teden izobraževanja za trajnostni razvoj, pod okriljem Združenja izobraževalnih in svetovalnih središč Slovenije – </w:t>
      </w:r>
      <w:proofErr w:type="spellStart"/>
      <w:r w:rsidRPr="00E62B06">
        <w:rPr>
          <w:rFonts w:ascii="Calibri" w:hAnsi="Calibri" w:cs="Calibri"/>
          <w:sz w:val="22"/>
          <w:szCs w:val="22"/>
          <w:lang w:val="sl-SI"/>
        </w:rPr>
        <w:t>ZiSS</w:t>
      </w:r>
      <w:proofErr w:type="spellEnd"/>
      <w:r>
        <w:rPr>
          <w:rFonts w:ascii="Calibri" w:hAnsi="Calibri" w:cs="Calibri"/>
          <w:sz w:val="22"/>
          <w:szCs w:val="22"/>
          <w:lang w:val="sl-SI"/>
        </w:rPr>
        <w:t>.</w:t>
      </w:r>
    </w:p>
    <w:p w14:paraId="38314C5C" w14:textId="77D40DA9" w:rsidR="00CA29C3" w:rsidRDefault="00CA29C3" w:rsidP="00C52E4C">
      <w:pPr>
        <w:spacing w:after="0" w:line="240" w:lineRule="auto"/>
        <w:jc w:val="both"/>
        <w:rPr>
          <w:rFonts w:ascii="Calibri" w:hAnsi="Calibri" w:cs="Calibri"/>
        </w:rPr>
      </w:pPr>
    </w:p>
    <w:p w14:paraId="0885E14C" w14:textId="77777777" w:rsidR="002E7878" w:rsidRDefault="002E7878" w:rsidP="00174413">
      <w:pPr>
        <w:spacing w:after="0" w:line="240" w:lineRule="auto"/>
        <w:jc w:val="both"/>
        <w:rPr>
          <w:rFonts w:ascii="Calibri" w:hAnsi="Calibri" w:cs="Calibri"/>
          <w:u w:val="single"/>
        </w:rPr>
      </w:pPr>
    </w:p>
    <w:p w14:paraId="1320D9EF" w14:textId="77777777" w:rsidR="002E7878" w:rsidRDefault="002E7878" w:rsidP="00174413">
      <w:pPr>
        <w:spacing w:after="0" w:line="240" w:lineRule="auto"/>
        <w:jc w:val="both"/>
        <w:rPr>
          <w:rFonts w:ascii="Calibri" w:hAnsi="Calibri" w:cs="Calibri"/>
          <w:u w:val="single"/>
        </w:rPr>
      </w:pPr>
    </w:p>
    <w:p w14:paraId="6E555793" w14:textId="77777777" w:rsidR="002E7878" w:rsidRDefault="002E7878" w:rsidP="00174413">
      <w:pPr>
        <w:spacing w:after="0" w:line="240" w:lineRule="auto"/>
        <w:jc w:val="both"/>
        <w:rPr>
          <w:rFonts w:ascii="Calibri" w:hAnsi="Calibri" w:cs="Calibri"/>
          <w:u w:val="single"/>
        </w:rPr>
      </w:pPr>
    </w:p>
    <w:p w14:paraId="7AD2E56E" w14:textId="77777777" w:rsidR="00174413" w:rsidRPr="00174413" w:rsidRDefault="00174413" w:rsidP="00174413">
      <w:pPr>
        <w:spacing w:after="0" w:line="240" w:lineRule="auto"/>
        <w:jc w:val="both"/>
        <w:rPr>
          <w:rFonts w:ascii="Calibri" w:hAnsi="Calibri" w:cs="Calibri"/>
          <w:u w:val="single"/>
        </w:rPr>
      </w:pPr>
      <w:r w:rsidRPr="00F93B5D">
        <w:rPr>
          <w:rFonts w:ascii="Calibri" w:hAnsi="Calibri" w:cs="Calibri"/>
          <w:u w:val="single"/>
        </w:rPr>
        <w:t>Priporočila:</w:t>
      </w:r>
    </w:p>
    <w:p w14:paraId="1D1CF43F" w14:textId="77777777" w:rsidR="00174413" w:rsidRPr="00472C4D" w:rsidRDefault="00174413" w:rsidP="00C52E4C">
      <w:pPr>
        <w:spacing w:after="0" w:line="240" w:lineRule="auto"/>
        <w:jc w:val="both"/>
        <w:rPr>
          <w:rFonts w:ascii="Calibri" w:hAnsi="Calibri" w:cs="Calibri"/>
        </w:rPr>
      </w:pPr>
    </w:p>
    <w:p w14:paraId="3E80751F" w14:textId="0DCA99EF" w:rsidR="00C46EC7" w:rsidRDefault="00CA29C3" w:rsidP="00C52E4C">
      <w:pPr>
        <w:spacing w:after="0" w:line="240" w:lineRule="auto"/>
        <w:jc w:val="both"/>
        <w:rPr>
          <w:rFonts w:ascii="Calibri" w:hAnsi="Calibri" w:cs="Calibri"/>
        </w:rPr>
      </w:pPr>
      <w:r w:rsidRPr="00472C4D">
        <w:rPr>
          <w:rFonts w:ascii="Calibri" w:hAnsi="Calibri" w:cs="Calibri"/>
        </w:rPr>
        <w:t xml:space="preserve">Mnoge aktivnosti </w:t>
      </w:r>
      <w:r w:rsidR="003F6697">
        <w:rPr>
          <w:rFonts w:ascii="Calibri" w:hAnsi="Calibri" w:cs="Calibri"/>
        </w:rPr>
        <w:t xml:space="preserve">so potekale </w:t>
      </w:r>
      <w:r w:rsidRPr="00472C4D">
        <w:rPr>
          <w:rFonts w:ascii="Calibri" w:hAnsi="Calibri" w:cs="Calibri"/>
        </w:rPr>
        <w:t xml:space="preserve">ločeno in </w:t>
      </w:r>
      <w:r w:rsidR="00F67032" w:rsidRPr="00472C4D">
        <w:rPr>
          <w:rFonts w:ascii="Calibri" w:hAnsi="Calibri" w:cs="Calibri"/>
        </w:rPr>
        <w:t>med s</w:t>
      </w:r>
      <w:r w:rsidR="00904F84">
        <w:rPr>
          <w:rFonts w:ascii="Calibri" w:hAnsi="Calibri" w:cs="Calibri"/>
        </w:rPr>
        <w:t>eboj</w:t>
      </w:r>
      <w:r w:rsidR="00F67032" w:rsidRPr="00472C4D">
        <w:rPr>
          <w:rFonts w:ascii="Calibri" w:hAnsi="Calibri" w:cs="Calibri"/>
        </w:rPr>
        <w:t xml:space="preserve"> </w:t>
      </w:r>
      <w:r w:rsidRPr="00472C4D">
        <w:rPr>
          <w:rFonts w:ascii="Calibri" w:hAnsi="Calibri" w:cs="Calibri"/>
        </w:rPr>
        <w:t xml:space="preserve">niso </w:t>
      </w:r>
      <w:r w:rsidR="003F6697">
        <w:rPr>
          <w:rFonts w:ascii="Calibri" w:hAnsi="Calibri" w:cs="Calibri"/>
        </w:rPr>
        <w:t xml:space="preserve">bile </w:t>
      </w:r>
      <w:r w:rsidRPr="00472C4D">
        <w:rPr>
          <w:rFonts w:ascii="Calibri" w:hAnsi="Calibri" w:cs="Calibri"/>
        </w:rPr>
        <w:t xml:space="preserve">povezane. </w:t>
      </w:r>
      <w:r w:rsidR="003A511E" w:rsidRPr="00472C4D">
        <w:rPr>
          <w:rFonts w:ascii="Calibri" w:hAnsi="Calibri" w:cs="Calibri"/>
        </w:rPr>
        <w:t xml:space="preserve">Potrebno je </w:t>
      </w:r>
      <w:r w:rsidR="00D82597" w:rsidRPr="00472C4D">
        <w:rPr>
          <w:rFonts w:ascii="Calibri" w:hAnsi="Calibri" w:cs="Calibri"/>
        </w:rPr>
        <w:t>ciljno usmeriti</w:t>
      </w:r>
      <w:r w:rsidR="00185F76" w:rsidRPr="00472C4D">
        <w:rPr>
          <w:rFonts w:ascii="Calibri" w:hAnsi="Calibri" w:cs="Calibri"/>
        </w:rPr>
        <w:t xml:space="preserve"> informiranje</w:t>
      </w:r>
      <w:r w:rsidR="00D82597" w:rsidRPr="00472C4D">
        <w:rPr>
          <w:rFonts w:ascii="Calibri" w:hAnsi="Calibri" w:cs="Calibri"/>
        </w:rPr>
        <w:t xml:space="preserve">, </w:t>
      </w:r>
      <w:r w:rsidR="007E2487">
        <w:rPr>
          <w:rFonts w:ascii="Calibri" w:hAnsi="Calibri" w:cs="Calibri"/>
        </w:rPr>
        <w:t xml:space="preserve">okoljske vsebine širše umestiti na vse ravni izobraževanja, </w:t>
      </w:r>
      <w:r w:rsidR="003A511E" w:rsidRPr="00472C4D">
        <w:rPr>
          <w:rFonts w:ascii="Calibri" w:hAnsi="Calibri" w:cs="Calibri"/>
        </w:rPr>
        <w:t xml:space="preserve">sistematično </w:t>
      </w:r>
      <w:r w:rsidR="00D82597" w:rsidRPr="00472C4D">
        <w:rPr>
          <w:rFonts w:ascii="Calibri" w:hAnsi="Calibri" w:cs="Calibri"/>
        </w:rPr>
        <w:t>spremljati izvajanja najbolj relevantnih usposabljanj, vzpostaviti enoten sistem evalvacije, med seboj povezati deležnike, ki lahko smiselno sodelujejo v projektih</w:t>
      </w:r>
      <w:r w:rsidR="00875754">
        <w:rPr>
          <w:rFonts w:ascii="Calibri" w:hAnsi="Calibri" w:cs="Calibri"/>
        </w:rPr>
        <w:t>,</w:t>
      </w:r>
      <w:r w:rsidR="00D82597" w:rsidRPr="00472C4D">
        <w:rPr>
          <w:rFonts w:ascii="Calibri" w:hAnsi="Calibri" w:cs="Calibri"/>
        </w:rPr>
        <w:t xml:space="preserve"> ter ohraniti kontinuiteto </w:t>
      </w:r>
      <w:r w:rsidR="00185F76" w:rsidRPr="00472C4D">
        <w:rPr>
          <w:rFonts w:ascii="Calibri" w:hAnsi="Calibri" w:cs="Calibri"/>
        </w:rPr>
        <w:t>učinkovitih ozaveščevalnih akcij</w:t>
      </w:r>
      <w:r w:rsidR="00D82597" w:rsidRPr="00472C4D">
        <w:rPr>
          <w:rFonts w:ascii="Calibri" w:hAnsi="Calibri" w:cs="Calibri"/>
        </w:rPr>
        <w:t xml:space="preserve">. </w:t>
      </w:r>
      <w:r w:rsidR="00185F76" w:rsidRPr="00472C4D">
        <w:rPr>
          <w:rFonts w:ascii="Calibri" w:hAnsi="Calibri" w:cs="Calibri"/>
        </w:rPr>
        <w:t>Okrepiti je potre</w:t>
      </w:r>
      <w:r w:rsidR="00690ACF" w:rsidRPr="00472C4D">
        <w:rPr>
          <w:rFonts w:ascii="Calibri" w:hAnsi="Calibri" w:cs="Calibri"/>
        </w:rPr>
        <w:t>bn</w:t>
      </w:r>
      <w:r w:rsidR="00185F76" w:rsidRPr="00472C4D">
        <w:rPr>
          <w:rFonts w:ascii="Calibri" w:hAnsi="Calibri" w:cs="Calibri"/>
        </w:rPr>
        <w:t>o spodbujanje prehoda v nizkoogljično gospodarstvo, s poudarkom na razvoju delovnih mest, ki zmanjšujejo škodljive vplive na okolje</w:t>
      </w:r>
      <w:r w:rsidR="00690ACF" w:rsidRPr="00472C4D">
        <w:rPr>
          <w:rFonts w:ascii="Calibri" w:hAnsi="Calibri" w:cs="Calibri"/>
        </w:rPr>
        <w:t xml:space="preserve">. </w:t>
      </w:r>
    </w:p>
    <w:p w14:paraId="0EAE20AC" w14:textId="4928104B" w:rsidR="0083247A" w:rsidRDefault="0083247A" w:rsidP="00C52E4C">
      <w:pPr>
        <w:spacing w:after="0" w:line="240" w:lineRule="auto"/>
        <w:jc w:val="both"/>
        <w:rPr>
          <w:rFonts w:ascii="Calibri" w:hAnsi="Calibri" w:cs="Calibri"/>
        </w:rPr>
      </w:pPr>
    </w:p>
    <w:p w14:paraId="0B8A27A9" w14:textId="77777777" w:rsidR="00792672" w:rsidRDefault="00792672" w:rsidP="00C52E4C">
      <w:pPr>
        <w:spacing w:after="0" w:line="240" w:lineRule="auto"/>
        <w:jc w:val="both"/>
        <w:rPr>
          <w:rFonts w:ascii="Calibri" w:hAnsi="Calibri" w:cs="Calibri"/>
        </w:rPr>
      </w:pPr>
    </w:p>
    <w:p w14:paraId="5B0D939E" w14:textId="77777777" w:rsidR="002E7878" w:rsidRDefault="002E7878" w:rsidP="00C52E4C">
      <w:pPr>
        <w:spacing w:after="0" w:line="240" w:lineRule="auto"/>
        <w:jc w:val="both"/>
        <w:rPr>
          <w:rFonts w:ascii="Calibri" w:hAnsi="Calibri" w:cs="Calibri"/>
        </w:rPr>
      </w:pPr>
    </w:p>
    <w:p w14:paraId="0840364D" w14:textId="1C21D64B" w:rsidR="008757C7" w:rsidRPr="00472C4D" w:rsidRDefault="003825D3" w:rsidP="008757C7">
      <w:pPr>
        <w:spacing w:after="0" w:line="240" w:lineRule="auto"/>
        <w:jc w:val="both"/>
        <w:rPr>
          <w:rFonts w:ascii="Calibri" w:hAnsi="Calibri" w:cs="Calibri"/>
          <w:b/>
          <w:bCs/>
          <w:sz w:val="26"/>
          <w:szCs w:val="26"/>
        </w:rPr>
      </w:pPr>
      <w:r>
        <w:rPr>
          <w:rFonts w:ascii="Calibri" w:hAnsi="Calibri" w:cs="Calibri"/>
          <w:b/>
          <w:bCs/>
          <w:sz w:val="26"/>
          <w:szCs w:val="26"/>
        </w:rPr>
        <w:t>5</w:t>
      </w:r>
      <w:r w:rsidR="008757C7" w:rsidRPr="00472C4D">
        <w:rPr>
          <w:rFonts w:ascii="Calibri" w:hAnsi="Calibri" w:cs="Calibri"/>
          <w:b/>
          <w:bCs/>
          <w:sz w:val="26"/>
          <w:szCs w:val="26"/>
        </w:rPr>
        <w:t xml:space="preserve"> </w:t>
      </w:r>
      <w:r w:rsidR="005A29AA" w:rsidRPr="00472C4D">
        <w:rPr>
          <w:rFonts w:ascii="Calibri" w:hAnsi="Calibri" w:cs="Calibri"/>
          <w:b/>
          <w:bCs/>
          <w:sz w:val="26"/>
          <w:szCs w:val="26"/>
        </w:rPr>
        <w:t>F</w:t>
      </w:r>
      <w:r w:rsidR="008757C7" w:rsidRPr="00472C4D">
        <w:rPr>
          <w:rFonts w:ascii="Calibri" w:hAnsi="Calibri" w:cs="Calibri"/>
          <w:b/>
          <w:bCs/>
          <w:sz w:val="26"/>
          <w:szCs w:val="26"/>
        </w:rPr>
        <w:t>inanciranje izvajanja ukrepov</w:t>
      </w:r>
    </w:p>
    <w:p w14:paraId="4B57F433" w14:textId="7B16B9F2" w:rsidR="008757C7" w:rsidRPr="00472C4D" w:rsidRDefault="008757C7" w:rsidP="00C52E4C">
      <w:pPr>
        <w:spacing w:after="0" w:line="240" w:lineRule="auto"/>
        <w:jc w:val="both"/>
        <w:rPr>
          <w:rFonts w:ascii="Calibri" w:hAnsi="Calibri" w:cs="Calibri"/>
        </w:rPr>
      </w:pPr>
    </w:p>
    <w:p w14:paraId="6D447DC6" w14:textId="0852DDFC" w:rsidR="00B25A15" w:rsidRDefault="003F1168" w:rsidP="00C52E4C">
      <w:pPr>
        <w:spacing w:after="0" w:line="240" w:lineRule="auto"/>
        <w:jc w:val="both"/>
        <w:rPr>
          <w:rFonts w:cstheme="minorHAnsi"/>
          <w:color w:val="000000"/>
        </w:rPr>
      </w:pPr>
      <w:r>
        <w:rPr>
          <w:rFonts w:ascii="Calibri" w:hAnsi="Calibri" w:cs="Calibri"/>
        </w:rPr>
        <w:t xml:space="preserve">Viri za spodbujanje ukrepov </w:t>
      </w:r>
      <w:r w:rsidRPr="003F1168">
        <w:rPr>
          <w:rFonts w:cstheme="minorHAnsi"/>
          <w:color w:val="000000"/>
        </w:rPr>
        <w:t>za zmanjševanje emisij TGP v ne-ETS sektorjih</w:t>
      </w:r>
      <w:r w:rsidR="004A2F32">
        <w:rPr>
          <w:rFonts w:cstheme="minorHAnsi"/>
          <w:color w:val="000000"/>
        </w:rPr>
        <w:t xml:space="preserve"> vključujejo</w:t>
      </w:r>
      <w:r w:rsidR="00B25A15">
        <w:rPr>
          <w:rFonts w:cstheme="minorHAnsi"/>
          <w:color w:val="000000"/>
        </w:rPr>
        <w:t>:</w:t>
      </w:r>
    </w:p>
    <w:p w14:paraId="5AAF741E" w14:textId="77777777" w:rsidR="00B25A15" w:rsidRPr="00B25A15" w:rsidRDefault="003F1168" w:rsidP="00B25A15">
      <w:pPr>
        <w:pStyle w:val="Odstavekseznama"/>
        <w:numPr>
          <w:ilvl w:val="0"/>
          <w:numId w:val="36"/>
        </w:numPr>
        <w:spacing w:after="0" w:line="240" w:lineRule="auto"/>
        <w:jc w:val="both"/>
        <w:rPr>
          <w:rFonts w:ascii="Calibri" w:hAnsi="Calibri" w:cs="Calibri"/>
        </w:rPr>
      </w:pPr>
      <w:r w:rsidRPr="00B25A15">
        <w:rPr>
          <w:rFonts w:cstheme="minorHAnsi"/>
          <w:color w:val="000000"/>
        </w:rPr>
        <w:t xml:space="preserve">sredstva Sklada za podnebne spremembe RS, </w:t>
      </w:r>
    </w:p>
    <w:p w14:paraId="4B007AF0" w14:textId="77777777" w:rsidR="00B25A15" w:rsidRPr="00B25A15" w:rsidRDefault="003F1168" w:rsidP="00B25A15">
      <w:pPr>
        <w:pStyle w:val="Odstavekseznama"/>
        <w:numPr>
          <w:ilvl w:val="0"/>
          <w:numId w:val="36"/>
        </w:numPr>
        <w:spacing w:after="0" w:line="240" w:lineRule="auto"/>
        <w:jc w:val="both"/>
        <w:rPr>
          <w:rFonts w:ascii="Calibri" w:hAnsi="Calibri" w:cs="Calibri"/>
        </w:rPr>
      </w:pPr>
      <w:r w:rsidRPr="00B25A15">
        <w:rPr>
          <w:rFonts w:cstheme="minorHAnsi"/>
          <w:color w:val="000000"/>
        </w:rPr>
        <w:t xml:space="preserve">sredstva strukturnih in investicijskih skladov EU za izvajanje evropske kohezijske politike v finančni perspektivi 2014–2020, </w:t>
      </w:r>
    </w:p>
    <w:p w14:paraId="06E5D28D" w14:textId="77777777" w:rsidR="00B25A15" w:rsidRPr="00B25A15" w:rsidRDefault="003F1168" w:rsidP="00B25A15">
      <w:pPr>
        <w:pStyle w:val="Odstavekseznama"/>
        <w:numPr>
          <w:ilvl w:val="0"/>
          <w:numId w:val="36"/>
        </w:numPr>
        <w:spacing w:after="0" w:line="240" w:lineRule="auto"/>
        <w:jc w:val="both"/>
        <w:rPr>
          <w:rFonts w:ascii="Calibri" w:hAnsi="Calibri" w:cs="Calibri"/>
        </w:rPr>
      </w:pPr>
      <w:r w:rsidRPr="00B25A15">
        <w:rPr>
          <w:rFonts w:cstheme="minorHAnsi"/>
          <w:color w:val="000000"/>
        </w:rPr>
        <w:t>proračunska sredstva RS za zagotavljanje slovenske udeležbe pri izvajanju evropske kohezijske politike</w:t>
      </w:r>
      <w:r w:rsidR="00B25A15">
        <w:rPr>
          <w:rFonts w:cstheme="minorHAnsi"/>
          <w:color w:val="000000"/>
        </w:rPr>
        <w:t>,</w:t>
      </w:r>
    </w:p>
    <w:p w14:paraId="2B1A1DC3" w14:textId="77777777" w:rsidR="00AD69F5" w:rsidRPr="00AD69F5" w:rsidRDefault="003F1168" w:rsidP="0064361E">
      <w:pPr>
        <w:pStyle w:val="Odstavekseznama"/>
        <w:numPr>
          <w:ilvl w:val="0"/>
          <w:numId w:val="36"/>
        </w:numPr>
        <w:spacing w:after="0" w:line="240" w:lineRule="auto"/>
        <w:jc w:val="both"/>
      </w:pPr>
      <w:r w:rsidRPr="00AD69F5">
        <w:rPr>
          <w:rFonts w:cstheme="minorHAnsi"/>
          <w:color w:val="000000"/>
        </w:rPr>
        <w:t xml:space="preserve">prispevek za energetsko učinkovitost, ki ga plačujejo odjemalci energije na podlagi </w:t>
      </w:r>
      <w:r w:rsidRPr="00AD69F5">
        <w:rPr>
          <w:rFonts w:cstheme="minorHAnsi"/>
          <w:i/>
          <w:iCs/>
          <w:color w:val="000000"/>
        </w:rPr>
        <w:t xml:space="preserve">Energetskega zakona (EZ-1) </w:t>
      </w:r>
      <w:r w:rsidRPr="00AD69F5">
        <w:rPr>
          <w:rFonts w:cstheme="minorHAnsi"/>
          <w:color w:val="000000"/>
        </w:rPr>
        <w:t>in zagotavlja sredstva za izvajanje programa za izboljšanje energetske učinkovitosti Eko Sklada.</w:t>
      </w:r>
      <w:r w:rsidRPr="00AD69F5">
        <w:rPr>
          <w:rFonts w:ascii="Arial" w:hAnsi="Arial" w:cs="Arial"/>
          <w:color w:val="000000"/>
        </w:rPr>
        <w:t xml:space="preserve"> </w:t>
      </w:r>
    </w:p>
    <w:p w14:paraId="77DD4CB6" w14:textId="77777777" w:rsidR="00AD69F5" w:rsidRPr="00AD69F5" w:rsidRDefault="00AD69F5" w:rsidP="00AD69F5">
      <w:pPr>
        <w:pStyle w:val="Odstavekseznama"/>
        <w:spacing w:after="0" w:line="240" w:lineRule="auto"/>
        <w:ind w:left="360"/>
        <w:jc w:val="both"/>
      </w:pPr>
    </w:p>
    <w:p w14:paraId="63E05F7B" w14:textId="3079386A" w:rsidR="00AD69F5" w:rsidRDefault="00AD69F5" w:rsidP="00AD69F5">
      <w:pPr>
        <w:spacing w:after="0" w:line="240" w:lineRule="auto"/>
        <w:jc w:val="both"/>
      </w:pPr>
      <w:r>
        <w:t>Spodbujeni ukrepi zajemajo številne ukrepe v stavbah (gradnja nizko energetskih stavb, energetske prenove stavb, zamenjava kurilnih naprav, nakup sprejemnikov sončne energije itd.), prometu (nakup novih električnih vozil, polnilnih postaj itd.) in gospodarstvu (URE v procesih, energetsko učinkovita razsvetljava, energetski pregledi itd.).</w:t>
      </w:r>
    </w:p>
    <w:p w14:paraId="77548E80" w14:textId="01EBC4C8" w:rsidR="003F1168" w:rsidRDefault="003F1168" w:rsidP="00C52E4C">
      <w:pPr>
        <w:spacing w:after="0" w:line="240" w:lineRule="auto"/>
        <w:jc w:val="both"/>
        <w:rPr>
          <w:rFonts w:ascii="Calibri" w:hAnsi="Calibri" w:cs="Calibri"/>
        </w:rPr>
      </w:pPr>
    </w:p>
    <w:p w14:paraId="477E9363" w14:textId="36BC61F7" w:rsidR="00F8385F" w:rsidRPr="00E40F4C" w:rsidRDefault="00E36F5B" w:rsidP="00F8385F">
      <w:pPr>
        <w:spacing w:after="0" w:line="240" w:lineRule="auto"/>
        <w:jc w:val="both"/>
        <w:rPr>
          <w:rFonts w:ascii="Calibri" w:hAnsi="Calibri" w:cs="Calibri"/>
        </w:rPr>
      </w:pPr>
      <w:r w:rsidRPr="00472C4D">
        <w:rPr>
          <w:rFonts w:ascii="Calibri" w:hAnsi="Calibri" w:cs="Calibri"/>
        </w:rPr>
        <w:t xml:space="preserve">Višina nepovratnih </w:t>
      </w:r>
      <w:r>
        <w:rPr>
          <w:rFonts w:ascii="Calibri" w:hAnsi="Calibri" w:cs="Calibri"/>
        </w:rPr>
        <w:t>finančnih spodbud</w:t>
      </w:r>
      <w:r w:rsidRPr="00472C4D">
        <w:rPr>
          <w:rFonts w:ascii="Calibri" w:hAnsi="Calibri" w:cs="Calibri"/>
        </w:rPr>
        <w:t xml:space="preserve"> za </w:t>
      </w:r>
      <w:r>
        <w:rPr>
          <w:rFonts w:ascii="Calibri" w:hAnsi="Calibri" w:cs="Calibri"/>
        </w:rPr>
        <w:t>u</w:t>
      </w:r>
      <w:r w:rsidRPr="00472C4D">
        <w:rPr>
          <w:rFonts w:ascii="Calibri" w:hAnsi="Calibri" w:cs="Calibri"/>
        </w:rPr>
        <w:t>krep</w:t>
      </w:r>
      <w:r>
        <w:rPr>
          <w:rFonts w:ascii="Calibri" w:hAnsi="Calibri" w:cs="Calibri"/>
        </w:rPr>
        <w:t xml:space="preserve">e </w:t>
      </w:r>
      <w:r w:rsidRPr="00472C4D">
        <w:rPr>
          <w:rFonts w:ascii="Calibri" w:hAnsi="Calibri" w:cs="Calibri"/>
        </w:rPr>
        <w:t xml:space="preserve">zmanjševanja emisij TGP </w:t>
      </w:r>
      <w:r>
        <w:rPr>
          <w:rFonts w:ascii="Calibri" w:hAnsi="Calibri" w:cs="Calibri"/>
        </w:rPr>
        <w:t>na področju stavb, prometa in drugih sektorjev</w:t>
      </w:r>
      <w:r w:rsidRPr="00472C4D">
        <w:rPr>
          <w:rFonts w:ascii="Calibri" w:hAnsi="Calibri" w:cs="Calibri"/>
        </w:rPr>
        <w:t xml:space="preserve"> </w:t>
      </w:r>
      <w:r w:rsidR="00180702">
        <w:rPr>
          <w:rFonts w:ascii="Calibri" w:hAnsi="Calibri" w:cs="Calibri"/>
        </w:rPr>
        <w:t xml:space="preserve">od leta 2017 narašča. </w:t>
      </w:r>
      <w:r w:rsidR="00F8385F" w:rsidRPr="00472C4D">
        <w:rPr>
          <w:rFonts w:ascii="Calibri" w:hAnsi="Calibri" w:cs="Calibri"/>
        </w:rPr>
        <w:t>V letu 201</w:t>
      </w:r>
      <w:r w:rsidR="00F8385F">
        <w:rPr>
          <w:rFonts w:ascii="Calibri" w:hAnsi="Calibri" w:cs="Calibri"/>
        </w:rPr>
        <w:t>7</w:t>
      </w:r>
      <w:r w:rsidR="00F8385F" w:rsidRPr="00472C4D">
        <w:rPr>
          <w:rFonts w:ascii="Calibri" w:hAnsi="Calibri" w:cs="Calibri"/>
        </w:rPr>
        <w:t xml:space="preserve"> je znašala 2</w:t>
      </w:r>
      <w:r w:rsidR="00F8385F">
        <w:rPr>
          <w:rFonts w:ascii="Calibri" w:hAnsi="Calibri" w:cs="Calibri"/>
        </w:rPr>
        <w:t>2</w:t>
      </w:r>
      <w:r w:rsidR="00F8385F" w:rsidRPr="00472C4D">
        <w:rPr>
          <w:rFonts w:ascii="Calibri" w:hAnsi="Calibri" w:cs="Calibri"/>
        </w:rPr>
        <w:t>,</w:t>
      </w:r>
      <w:r w:rsidR="00F8385F">
        <w:rPr>
          <w:rFonts w:ascii="Calibri" w:hAnsi="Calibri" w:cs="Calibri"/>
        </w:rPr>
        <w:t>01</w:t>
      </w:r>
      <w:r w:rsidR="00F8385F" w:rsidRPr="00472C4D">
        <w:rPr>
          <w:rFonts w:ascii="Calibri" w:hAnsi="Calibri" w:cs="Calibri"/>
        </w:rPr>
        <w:t xml:space="preserve"> milijona evrov, leta 201</w:t>
      </w:r>
      <w:r w:rsidR="00F8385F">
        <w:rPr>
          <w:rFonts w:ascii="Calibri" w:hAnsi="Calibri" w:cs="Calibri"/>
        </w:rPr>
        <w:t>8</w:t>
      </w:r>
      <w:r w:rsidR="00F8385F" w:rsidRPr="00472C4D">
        <w:rPr>
          <w:rFonts w:ascii="Calibri" w:hAnsi="Calibri" w:cs="Calibri"/>
        </w:rPr>
        <w:t xml:space="preserve"> </w:t>
      </w:r>
      <w:r w:rsidR="00F8385F">
        <w:rPr>
          <w:rFonts w:ascii="Calibri" w:hAnsi="Calibri" w:cs="Calibri"/>
        </w:rPr>
        <w:t>se je povišala na 53,51</w:t>
      </w:r>
      <w:r w:rsidR="00F8385F" w:rsidRPr="00472C4D">
        <w:rPr>
          <w:rFonts w:ascii="Calibri" w:hAnsi="Calibri" w:cs="Calibri"/>
        </w:rPr>
        <w:t xml:space="preserve"> milijona evrov in leta 201</w:t>
      </w:r>
      <w:r w:rsidR="00F8385F">
        <w:rPr>
          <w:rFonts w:ascii="Calibri" w:hAnsi="Calibri" w:cs="Calibri"/>
        </w:rPr>
        <w:t>9</w:t>
      </w:r>
      <w:r w:rsidR="00F8385F" w:rsidRPr="00472C4D">
        <w:rPr>
          <w:rFonts w:ascii="Calibri" w:hAnsi="Calibri" w:cs="Calibri"/>
        </w:rPr>
        <w:t xml:space="preserve"> </w:t>
      </w:r>
      <w:r w:rsidR="00F8385F">
        <w:rPr>
          <w:rFonts w:ascii="Calibri" w:hAnsi="Calibri" w:cs="Calibri"/>
        </w:rPr>
        <w:t>na 71,05</w:t>
      </w:r>
      <w:r w:rsidR="00F8385F" w:rsidRPr="00472C4D">
        <w:rPr>
          <w:rFonts w:ascii="Calibri" w:hAnsi="Calibri" w:cs="Calibri"/>
        </w:rPr>
        <w:t xml:space="preserve"> milijona evrov. </w:t>
      </w:r>
      <w:r w:rsidR="009E0908">
        <w:rPr>
          <w:rFonts w:ascii="Calibri" w:hAnsi="Calibri" w:cs="Calibri"/>
        </w:rPr>
        <w:t xml:space="preserve">S povečevanjem </w:t>
      </w:r>
      <w:r w:rsidR="00D95988">
        <w:rPr>
          <w:rFonts w:ascii="Calibri" w:hAnsi="Calibri" w:cs="Calibri"/>
        </w:rPr>
        <w:t>spodbud</w:t>
      </w:r>
      <w:r w:rsidR="009E0908">
        <w:rPr>
          <w:rFonts w:ascii="Calibri" w:hAnsi="Calibri" w:cs="Calibri"/>
        </w:rPr>
        <w:t xml:space="preserve"> so se izboljševali tudi učinki spodbud</w:t>
      </w:r>
      <w:r w:rsidR="00E40F4C">
        <w:rPr>
          <w:rFonts w:ascii="Calibri" w:hAnsi="Calibri" w:cs="Calibri"/>
        </w:rPr>
        <w:t xml:space="preserve"> - l</w:t>
      </w:r>
      <w:r w:rsidR="009E0908">
        <w:rPr>
          <w:rFonts w:ascii="Calibri" w:hAnsi="Calibri" w:cs="Calibri"/>
        </w:rPr>
        <w:t>eta 2017 so se emisije zmanjšale za 21,08 kt CO</w:t>
      </w:r>
      <w:r w:rsidR="009E0908">
        <w:rPr>
          <w:rFonts w:ascii="Calibri" w:hAnsi="Calibri" w:cs="Calibri"/>
          <w:vertAlign w:val="subscript"/>
        </w:rPr>
        <w:t>2</w:t>
      </w:r>
      <w:r w:rsidR="009E0908">
        <w:rPr>
          <w:rFonts w:ascii="Calibri" w:hAnsi="Calibri" w:cs="Calibri"/>
        </w:rPr>
        <w:t>, leta 2018 za 34,67 kt CO</w:t>
      </w:r>
      <w:r w:rsidR="009E0908">
        <w:rPr>
          <w:rFonts w:ascii="Calibri" w:hAnsi="Calibri" w:cs="Calibri"/>
          <w:vertAlign w:val="subscript"/>
        </w:rPr>
        <w:t>2</w:t>
      </w:r>
      <w:r w:rsidR="009E0908">
        <w:rPr>
          <w:rFonts w:ascii="Calibri" w:hAnsi="Calibri" w:cs="Calibri"/>
        </w:rPr>
        <w:t xml:space="preserve"> in leta 2019 za 57,41 kt CO</w:t>
      </w:r>
      <w:r w:rsidR="009E0908">
        <w:rPr>
          <w:rFonts w:ascii="Calibri" w:hAnsi="Calibri" w:cs="Calibri"/>
          <w:vertAlign w:val="subscript"/>
        </w:rPr>
        <w:t>2</w:t>
      </w:r>
      <w:r w:rsidR="00FB12FF">
        <w:rPr>
          <w:rFonts w:ascii="Calibri" w:hAnsi="Calibri" w:cs="Calibri"/>
        </w:rPr>
        <w:t>.</w:t>
      </w:r>
    </w:p>
    <w:p w14:paraId="4CE8DEEF" w14:textId="40191A29" w:rsidR="003F1168" w:rsidRDefault="003F1168" w:rsidP="00C52E4C">
      <w:pPr>
        <w:spacing w:after="0" w:line="240" w:lineRule="auto"/>
        <w:jc w:val="both"/>
        <w:rPr>
          <w:rFonts w:ascii="Calibri" w:hAnsi="Calibri" w:cs="Calibri"/>
        </w:rPr>
      </w:pPr>
    </w:p>
    <w:p w14:paraId="72B6C3CA" w14:textId="4CE78B98" w:rsidR="004F4BFB" w:rsidRPr="00472C4D" w:rsidRDefault="004F4BFB" w:rsidP="004F4BFB">
      <w:pPr>
        <w:spacing w:after="0" w:line="240" w:lineRule="auto"/>
        <w:jc w:val="both"/>
        <w:rPr>
          <w:rFonts w:ascii="Calibri" w:hAnsi="Calibri" w:cs="Calibri"/>
        </w:rPr>
      </w:pPr>
      <w:r w:rsidRPr="00472C4D">
        <w:rPr>
          <w:rFonts w:ascii="Calibri" w:hAnsi="Calibri" w:cs="Calibri"/>
        </w:rPr>
        <w:t xml:space="preserve">V letu 2018 </w:t>
      </w:r>
      <w:r>
        <w:rPr>
          <w:rFonts w:ascii="Calibri" w:hAnsi="Calibri" w:cs="Calibri"/>
        </w:rPr>
        <w:t xml:space="preserve">so </w:t>
      </w:r>
      <w:r w:rsidRPr="00472C4D">
        <w:rPr>
          <w:rFonts w:ascii="Calibri" w:hAnsi="Calibri" w:cs="Calibri"/>
        </w:rPr>
        <w:t xml:space="preserve">finančna sredstva iz prispevka za </w:t>
      </w:r>
      <w:r>
        <w:rPr>
          <w:rFonts w:ascii="Calibri" w:hAnsi="Calibri" w:cs="Calibri"/>
        </w:rPr>
        <w:t>energetsko učinkovitost</w:t>
      </w:r>
      <w:r w:rsidRPr="00472C4D">
        <w:rPr>
          <w:rFonts w:ascii="Calibri" w:hAnsi="Calibri" w:cs="Calibri"/>
        </w:rPr>
        <w:t xml:space="preserve"> </w:t>
      </w:r>
      <w:r>
        <w:rPr>
          <w:rFonts w:ascii="Calibri" w:hAnsi="Calibri" w:cs="Calibri"/>
        </w:rPr>
        <w:t xml:space="preserve">predstavljala </w:t>
      </w:r>
      <w:r w:rsidRPr="00472C4D">
        <w:rPr>
          <w:rFonts w:ascii="Calibri" w:hAnsi="Calibri" w:cs="Calibri"/>
        </w:rPr>
        <w:t>61</w:t>
      </w:r>
      <w:r>
        <w:rPr>
          <w:rFonts w:ascii="Calibri" w:hAnsi="Calibri" w:cs="Calibri"/>
        </w:rPr>
        <w:t xml:space="preserve"> </w:t>
      </w:r>
      <w:r w:rsidRPr="00472C4D">
        <w:rPr>
          <w:rFonts w:ascii="Calibri" w:hAnsi="Calibri" w:cs="Calibri"/>
        </w:rPr>
        <w:t>%, Sklada za podnebne spremembe 22</w:t>
      </w:r>
      <w:r>
        <w:rPr>
          <w:rFonts w:ascii="Calibri" w:hAnsi="Calibri" w:cs="Calibri"/>
        </w:rPr>
        <w:t xml:space="preserve"> </w:t>
      </w:r>
      <w:r w:rsidRPr="00472C4D">
        <w:rPr>
          <w:rFonts w:ascii="Calibri" w:hAnsi="Calibri" w:cs="Calibri"/>
        </w:rPr>
        <w:t>%</w:t>
      </w:r>
      <w:r>
        <w:rPr>
          <w:rFonts w:ascii="Calibri" w:hAnsi="Calibri" w:cs="Calibri"/>
        </w:rPr>
        <w:t xml:space="preserve"> in</w:t>
      </w:r>
      <w:r w:rsidRPr="00472C4D">
        <w:rPr>
          <w:rFonts w:ascii="Calibri" w:hAnsi="Calibri" w:cs="Calibri"/>
        </w:rPr>
        <w:t xml:space="preserve"> Kohezijskega sklada 13</w:t>
      </w:r>
      <w:r>
        <w:rPr>
          <w:rFonts w:ascii="Calibri" w:hAnsi="Calibri" w:cs="Calibri"/>
        </w:rPr>
        <w:t xml:space="preserve"> </w:t>
      </w:r>
      <w:r w:rsidRPr="00472C4D">
        <w:rPr>
          <w:rFonts w:ascii="Calibri" w:hAnsi="Calibri" w:cs="Calibri"/>
        </w:rPr>
        <w:t>%.</w:t>
      </w:r>
      <w:r>
        <w:rPr>
          <w:rFonts w:ascii="Calibri" w:hAnsi="Calibri" w:cs="Calibri"/>
        </w:rPr>
        <w:t xml:space="preserve"> V letu 2019 </w:t>
      </w:r>
      <w:r w:rsidR="00161F23">
        <w:rPr>
          <w:rFonts w:ascii="Calibri" w:hAnsi="Calibri" w:cs="Calibri"/>
        </w:rPr>
        <w:t xml:space="preserve">so </w:t>
      </w:r>
      <w:r>
        <w:rPr>
          <w:rFonts w:ascii="Calibri" w:hAnsi="Calibri" w:cs="Calibri"/>
        </w:rPr>
        <w:t>največ izplačanih spodbud predstavl</w:t>
      </w:r>
      <w:r w:rsidR="00161F23">
        <w:rPr>
          <w:rFonts w:ascii="Calibri" w:hAnsi="Calibri" w:cs="Calibri"/>
        </w:rPr>
        <w:t>jala</w:t>
      </w:r>
      <w:r>
        <w:rPr>
          <w:rFonts w:ascii="Calibri" w:hAnsi="Calibri" w:cs="Calibri"/>
        </w:rPr>
        <w:t xml:space="preserve"> sredstva </w:t>
      </w:r>
      <w:r w:rsidRPr="00472C4D">
        <w:rPr>
          <w:rFonts w:ascii="Calibri" w:hAnsi="Calibri" w:cs="Calibri"/>
        </w:rPr>
        <w:t xml:space="preserve">prispevka za </w:t>
      </w:r>
      <w:r>
        <w:rPr>
          <w:rFonts w:ascii="Calibri" w:hAnsi="Calibri" w:cs="Calibri"/>
        </w:rPr>
        <w:t>energetsko učinkovitost, in sicer 52 %, sledi</w:t>
      </w:r>
      <w:r w:rsidR="00161F23">
        <w:rPr>
          <w:rFonts w:ascii="Calibri" w:hAnsi="Calibri" w:cs="Calibri"/>
        </w:rPr>
        <w:t>la so</w:t>
      </w:r>
      <w:r>
        <w:rPr>
          <w:rFonts w:ascii="Calibri" w:hAnsi="Calibri" w:cs="Calibri"/>
        </w:rPr>
        <w:t xml:space="preserve"> sredstva </w:t>
      </w:r>
      <w:r w:rsidRPr="00472C4D">
        <w:rPr>
          <w:rFonts w:ascii="Calibri" w:hAnsi="Calibri" w:cs="Calibri"/>
        </w:rPr>
        <w:t>Sklada za podnebne spremembe</w:t>
      </w:r>
      <w:r w:rsidR="007C7CEF">
        <w:rPr>
          <w:rFonts w:ascii="Calibri" w:hAnsi="Calibri" w:cs="Calibri"/>
        </w:rPr>
        <w:t xml:space="preserve"> s</w:t>
      </w:r>
      <w:r>
        <w:rPr>
          <w:rFonts w:ascii="Calibri" w:hAnsi="Calibri" w:cs="Calibri"/>
        </w:rPr>
        <w:t xml:space="preserve"> 32 % ter sredstva </w:t>
      </w:r>
      <w:r w:rsidRPr="00472C4D">
        <w:rPr>
          <w:rFonts w:ascii="Calibri" w:hAnsi="Calibri" w:cs="Calibri"/>
        </w:rPr>
        <w:t>Kohezijskega sklada</w:t>
      </w:r>
      <w:r w:rsidR="007C7CEF">
        <w:rPr>
          <w:rFonts w:ascii="Calibri" w:hAnsi="Calibri" w:cs="Calibri"/>
        </w:rPr>
        <w:t xml:space="preserve"> s</w:t>
      </w:r>
      <w:r>
        <w:rPr>
          <w:rFonts w:ascii="Calibri" w:hAnsi="Calibri" w:cs="Calibri"/>
        </w:rPr>
        <w:t xml:space="preserve"> 16 %.</w:t>
      </w:r>
    </w:p>
    <w:p w14:paraId="3F5DAF75" w14:textId="77777777" w:rsidR="000C68AC" w:rsidRDefault="000C68AC" w:rsidP="00C52E4C">
      <w:pPr>
        <w:spacing w:after="0" w:line="240" w:lineRule="auto"/>
        <w:jc w:val="both"/>
      </w:pPr>
    </w:p>
    <w:p w14:paraId="38E28E01" w14:textId="5121819C" w:rsidR="00AD69F5" w:rsidRDefault="000C68AC" w:rsidP="00C52E4C">
      <w:pPr>
        <w:spacing w:after="0" w:line="240" w:lineRule="auto"/>
        <w:jc w:val="both"/>
      </w:pPr>
      <w:r>
        <w:t>N</w:t>
      </w:r>
      <w:r w:rsidR="004F4BFB" w:rsidRPr="000C68AC">
        <w:t>epovratna sredstva za izvajanje naložb</w:t>
      </w:r>
      <w:r>
        <w:t xml:space="preserve"> morajo biti </w:t>
      </w:r>
      <w:r w:rsidR="004F4BFB" w:rsidRPr="000C68AC">
        <w:t>stalno na razpolago</w:t>
      </w:r>
      <w:r>
        <w:t>, saj se s tem lahko izvajajo</w:t>
      </w:r>
      <w:r w:rsidR="004F4BFB" w:rsidRPr="000C68AC">
        <w:t xml:space="preserve"> naložb</w:t>
      </w:r>
      <w:r>
        <w:t xml:space="preserve"> enakomerno, kar pa prispeva k </w:t>
      </w:r>
      <w:r w:rsidRPr="000C68AC">
        <w:t>ustvarjanj</w:t>
      </w:r>
      <w:r>
        <w:t>u</w:t>
      </w:r>
      <w:r w:rsidRPr="000C68AC">
        <w:t xml:space="preserve"> delovnih mest, stabilnih prilivov v proračun ter k rasti gospodarstva</w:t>
      </w:r>
      <w:r>
        <w:t>.</w:t>
      </w:r>
    </w:p>
    <w:p w14:paraId="0D760C33" w14:textId="77777777" w:rsidR="000C68AC" w:rsidRPr="000C68AC" w:rsidRDefault="000C68AC" w:rsidP="00C52E4C">
      <w:pPr>
        <w:spacing w:after="0" w:line="240" w:lineRule="auto"/>
        <w:jc w:val="both"/>
        <w:rPr>
          <w:rFonts w:ascii="Calibri" w:hAnsi="Calibri" w:cs="Calibri"/>
        </w:rPr>
      </w:pPr>
    </w:p>
    <w:p w14:paraId="251D1A53" w14:textId="4B36A3F5" w:rsidR="003F1168" w:rsidRDefault="004A2F32" w:rsidP="004A2F32">
      <w:pPr>
        <w:spacing w:after="0" w:line="240" w:lineRule="auto"/>
        <w:jc w:val="center"/>
        <w:rPr>
          <w:rFonts w:ascii="Calibri" w:hAnsi="Calibri" w:cs="Calibri"/>
        </w:rPr>
      </w:pPr>
      <w:r>
        <w:rPr>
          <w:rFonts w:ascii="Calibri" w:hAnsi="Calibri" w:cs="Calibri"/>
          <w:noProof/>
          <w:lang w:eastAsia="sl-SI"/>
        </w:rPr>
        <w:lastRenderedPageBreak/>
        <w:drawing>
          <wp:inline distT="0" distB="0" distL="0" distR="0" wp14:anchorId="700A8683" wp14:editId="0F67FD6D">
            <wp:extent cx="4150581" cy="3005562"/>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a:blip r:embed="rId13">
                      <a:extLst>
                        <a:ext uri="{28A0092B-C50C-407E-A947-70E740481C1C}">
                          <a14:useLocalDpi xmlns:a14="http://schemas.microsoft.com/office/drawing/2010/main" val="0"/>
                        </a:ext>
                      </a:extLst>
                    </a:blip>
                    <a:stretch>
                      <a:fillRect/>
                    </a:stretch>
                  </pic:blipFill>
                  <pic:spPr>
                    <a:xfrm>
                      <a:off x="0" y="0"/>
                      <a:ext cx="4166079" cy="3016784"/>
                    </a:xfrm>
                    <a:prstGeom prst="rect">
                      <a:avLst/>
                    </a:prstGeom>
                  </pic:spPr>
                </pic:pic>
              </a:graphicData>
            </a:graphic>
          </wp:inline>
        </w:drawing>
      </w:r>
    </w:p>
    <w:p w14:paraId="0A3CB830" w14:textId="77777777" w:rsidR="004A2F32" w:rsidRDefault="004A2F32" w:rsidP="004A2F32">
      <w:pPr>
        <w:spacing w:after="0" w:line="240" w:lineRule="auto"/>
        <w:jc w:val="center"/>
        <w:rPr>
          <w:rFonts w:ascii="Calibri" w:hAnsi="Calibri" w:cs="Calibri"/>
        </w:rPr>
      </w:pPr>
    </w:p>
    <w:p w14:paraId="4D76375C" w14:textId="549B7EEB" w:rsidR="004A2F32" w:rsidRDefault="004A2F32" w:rsidP="004A2F32">
      <w:pPr>
        <w:spacing w:after="0" w:line="240" w:lineRule="auto"/>
        <w:jc w:val="center"/>
        <w:rPr>
          <w:b/>
          <w:bCs/>
          <w:sz w:val="20"/>
          <w:szCs w:val="20"/>
        </w:rPr>
      </w:pPr>
      <w:r w:rsidRPr="009852EC">
        <w:rPr>
          <w:b/>
          <w:bCs/>
          <w:sz w:val="20"/>
          <w:szCs w:val="20"/>
        </w:rPr>
        <w:t xml:space="preserve">Slika </w:t>
      </w:r>
      <w:r w:rsidR="001F1763">
        <w:rPr>
          <w:b/>
          <w:bCs/>
          <w:sz w:val="20"/>
          <w:szCs w:val="20"/>
        </w:rPr>
        <w:t>4</w:t>
      </w:r>
      <w:r w:rsidRPr="009852EC">
        <w:rPr>
          <w:b/>
          <w:bCs/>
          <w:sz w:val="20"/>
          <w:szCs w:val="20"/>
        </w:rPr>
        <w:t>:</w:t>
      </w:r>
      <w:r w:rsidRPr="007A6591">
        <w:rPr>
          <w:b/>
          <w:bCs/>
          <w:sz w:val="20"/>
          <w:szCs w:val="20"/>
        </w:rPr>
        <w:t xml:space="preserve"> Izplačane nepovratne spodbude za ukrepe zmanjševanja emisij TGP po sektorjih (Vir: IJS-CEU)</w:t>
      </w:r>
    </w:p>
    <w:p w14:paraId="086E75BC" w14:textId="77777777" w:rsidR="009A5405" w:rsidRDefault="009A5405" w:rsidP="004A2F32">
      <w:pPr>
        <w:spacing w:after="0" w:line="240" w:lineRule="auto"/>
        <w:jc w:val="center"/>
        <w:rPr>
          <w:b/>
          <w:bCs/>
          <w:sz w:val="20"/>
          <w:szCs w:val="20"/>
        </w:rPr>
      </w:pPr>
    </w:p>
    <w:p w14:paraId="10A76113" w14:textId="77777777" w:rsidR="009A5405" w:rsidRDefault="009A5405" w:rsidP="004A2F32">
      <w:pPr>
        <w:spacing w:after="0" w:line="240" w:lineRule="auto"/>
        <w:jc w:val="center"/>
        <w:rPr>
          <w:b/>
          <w:bCs/>
          <w:sz w:val="20"/>
          <w:szCs w:val="20"/>
        </w:rPr>
      </w:pPr>
    </w:p>
    <w:p w14:paraId="0043DD17" w14:textId="77777777" w:rsidR="009A5405" w:rsidRDefault="009A5405" w:rsidP="004A2F32">
      <w:pPr>
        <w:spacing w:after="0" w:line="240" w:lineRule="auto"/>
        <w:jc w:val="center"/>
        <w:rPr>
          <w:b/>
          <w:bCs/>
          <w:sz w:val="20"/>
          <w:szCs w:val="20"/>
        </w:rPr>
      </w:pPr>
    </w:p>
    <w:p w14:paraId="46855DE6" w14:textId="77777777" w:rsidR="009A5405" w:rsidRDefault="009A5405" w:rsidP="004A2F32">
      <w:pPr>
        <w:spacing w:after="0" w:line="240" w:lineRule="auto"/>
        <w:jc w:val="center"/>
        <w:rPr>
          <w:b/>
          <w:bCs/>
          <w:sz w:val="20"/>
          <w:szCs w:val="20"/>
        </w:rPr>
      </w:pPr>
    </w:p>
    <w:p w14:paraId="05701049" w14:textId="77777777" w:rsidR="009A5405" w:rsidRDefault="009A5405" w:rsidP="004A2F32">
      <w:pPr>
        <w:spacing w:after="0" w:line="240" w:lineRule="auto"/>
        <w:jc w:val="center"/>
        <w:rPr>
          <w:b/>
          <w:bCs/>
          <w:sz w:val="20"/>
          <w:szCs w:val="20"/>
        </w:rPr>
      </w:pPr>
    </w:p>
    <w:p w14:paraId="544D0B30" w14:textId="77777777" w:rsidR="00CF695B" w:rsidRDefault="00CF695B" w:rsidP="004A2F32">
      <w:pPr>
        <w:spacing w:after="0" w:line="240" w:lineRule="auto"/>
        <w:jc w:val="center"/>
        <w:rPr>
          <w:b/>
          <w:bCs/>
          <w:sz w:val="20"/>
          <w:szCs w:val="20"/>
        </w:rPr>
      </w:pPr>
    </w:p>
    <w:p w14:paraId="2AB3172A" w14:textId="77777777" w:rsidR="00CF695B" w:rsidRPr="007A6591" w:rsidRDefault="00CF695B" w:rsidP="004A2F32">
      <w:pPr>
        <w:spacing w:after="0" w:line="240" w:lineRule="auto"/>
        <w:jc w:val="center"/>
        <w:rPr>
          <w:rFonts w:ascii="Calibri" w:hAnsi="Calibri" w:cs="Calibri"/>
          <w:sz w:val="20"/>
          <w:szCs w:val="20"/>
        </w:rPr>
      </w:pPr>
    </w:p>
    <w:p w14:paraId="63711D3E" w14:textId="77777777" w:rsidR="00EE6705" w:rsidRDefault="00EE6705" w:rsidP="00EE6705">
      <w:pPr>
        <w:spacing w:after="0" w:line="240" w:lineRule="auto"/>
        <w:jc w:val="center"/>
        <w:rPr>
          <w:rFonts w:ascii="Calibri" w:hAnsi="Calibri" w:cs="Calibri"/>
        </w:rPr>
      </w:pPr>
      <w:r>
        <w:rPr>
          <w:rFonts w:ascii="Calibri" w:hAnsi="Calibri" w:cs="Calibri"/>
          <w:noProof/>
          <w:lang w:eastAsia="sl-SI"/>
        </w:rPr>
        <w:drawing>
          <wp:inline distT="0" distB="0" distL="0" distR="0" wp14:anchorId="6FB7E5A6" wp14:editId="079B4875">
            <wp:extent cx="4627659" cy="29198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14">
                      <a:extLst>
                        <a:ext uri="{28A0092B-C50C-407E-A947-70E740481C1C}">
                          <a14:useLocalDpi xmlns:a14="http://schemas.microsoft.com/office/drawing/2010/main" val="0"/>
                        </a:ext>
                      </a:extLst>
                    </a:blip>
                    <a:stretch>
                      <a:fillRect/>
                    </a:stretch>
                  </pic:blipFill>
                  <pic:spPr>
                    <a:xfrm>
                      <a:off x="0" y="0"/>
                      <a:ext cx="4636107" cy="2925175"/>
                    </a:xfrm>
                    <a:prstGeom prst="rect">
                      <a:avLst/>
                    </a:prstGeom>
                  </pic:spPr>
                </pic:pic>
              </a:graphicData>
            </a:graphic>
          </wp:inline>
        </w:drawing>
      </w:r>
    </w:p>
    <w:p w14:paraId="76742669" w14:textId="77777777" w:rsidR="00EE6705" w:rsidRDefault="00EE6705" w:rsidP="00C52E4C">
      <w:pPr>
        <w:spacing w:after="0" w:line="240" w:lineRule="auto"/>
        <w:jc w:val="both"/>
        <w:rPr>
          <w:rFonts w:ascii="Calibri" w:hAnsi="Calibri" w:cs="Calibri"/>
        </w:rPr>
      </w:pPr>
    </w:p>
    <w:p w14:paraId="4FE3D5D8" w14:textId="32C29A7D" w:rsidR="00EE6705" w:rsidRPr="007A6591" w:rsidRDefault="00101DF5" w:rsidP="00C52E4C">
      <w:pPr>
        <w:spacing w:after="0" w:line="240" w:lineRule="auto"/>
        <w:jc w:val="both"/>
        <w:rPr>
          <w:rFonts w:ascii="Calibri" w:hAnsi="Calibri" w:cs="Calibri"/>
          <w:sz w:val="20"/>
          <w:szCs w:val="20"/>
        </w:rPr>
      </w:pPr>
      <w:r w:rsidRPr="009852EC">
        <w:rPr>
          <w:b/>
          <w:bCs/>
          <w:sz w:val="20"/>
          <w:szCs w:val="20"/>
        </w:rPr>
        <w:t xml:space="preserve">Slika </w:t>
      </w:r>
      <w:r w:rsidR="001F1763">
        <w:rPr>
          <w:b/>
          <w:bCs/>
          <w:sz w:val="20"/>
          <w:szCs w:val="20"/>
        </w:rPr>
        <w:t>5</w:t>
      </w:r>
      <w:r w:rsidRPr="007A6591">
        <w:rPr>
          <w:b/>
          <w:bCs/>
          <w:sz w:val="20"/>
          <w:szCs w:val="20"/>
        </w:rPr>
        <w:t>: Finančna sredstva za ukrepe zmanjševanja emisij TGP v obdobju 2014</w:t>
      </w:r>
      <w:r w:rsidR="003F1168" w:rsidRPr="007A6591">
        <w:rPr>
          <w:sz w:val="20"/>
          <w:szCs w:val="20"/>
        </w:rPr>
        <w:t>-</w:t>
      </w:r>
      <w:r w:rsidRPr="007A6591">
        <w:rPr>
          <w:b/>
          <w:bCs/>
          <w:sz w:val="20"/>
          <w:szCs w:val="20"/>
        </w:rPr>
        <w:t>2019 po virih sredstev</w:t>
      </w:r>
      <w:r w:rsidR="00112FF8">
        <w:rPr>
          <w:b/>
          <w:bCs/>
          <w:sz w:val="20"/>
          <w:szCs w:val="20"/>
        </w:rPr>
        <w:t xml:space="preserve"> </w:t>
      </w:r>
      <w:r w:rsidR="00112FF8" w:rsidRPr="007A6591">
        <w:rPr>
          <w:b/>
          <w:bCs/>
          <w:sz w:val="20"/>
          <w:szCs w:val="20"/>
        </w:rPr>
        <w:t>(Vir: IJS-CEU)</w:t>
      </w:r>
      <w:r w:rsidR="007A6591" w:rsidRPr="007A6591">
        <w:rPr>
          <w:rStyle w:val="Sprotnaopomba-sklic"/>
          <w:b/>
          <w:bCs/>
          <w:sz w:val="20"/>
          <w:szCs w:val="20"/>
        </w:rPr>
        <w:footnoteReference w:id="11"/>
      </w:r>
      <w:r w:rsidR="003F1168" w:rsidRPr="007A6591">
        <w:rPr>
          <w:sz w:val="20"/>
          <w:szCs w:val="20"/>
        </w:rPr>
        <w:t xml:space="preserve">  </w:t>
      </w:r>
      <w:r w:rsidRPr="007A6591">
        <w:rPr>
          <w:b/>
          <w:bCs/>
          <w:sz w:val="20"/>
          <w:szCs w:val="20"/>
        </w:rPr>
        <w:t xml:space="preserve"> </w:t>
      </w:r>
    </w:p>
    <w:p w14:paraId="0C4C429B" w14:textId="77777777" w:rsidR="00EE6705" w:rsidRDefault="00EE6705" w:rsidP="00C52E4C">
      <w:pPr>
        <w:spacing w:after="0" w:line="240" w:lineRule="auto"/>
        <w:jc w:val="both"/>
        <w:rPr>
          <w:rFonts w:ascii="Calibri" w:hAnsi="Calibri" w:cs="Calibri"/>
        </w:rPr>
      </w:pPr>
    </w:p>
    <w:p w14:paraId="7D95ABFC" w14:textId="77777777" w:rsidR="00EE6705" w:rsidRDefault="00EE6705" w:rsidP="00C52E4C">
      <w:pPr>
        <w:spacing w:after="0" w:line="240" w:lineRule="auto"/>
        <w:jc w:val="both"/>
        <w:rPr>
          <w:rFonts w:ascii="Calibri" w:hAnsi="Calibri" w:cs="Calibri"/>
        </w:rPr>
      </w:pPr>
    </w:p>
    <w:p w14:paraId="5C4AA9D5" w14:textId="77777777" w:rsidR="00792672" w:rsidRDefault="00792672" w:rsidP="00C52E4C">
      <w:pPr>
        <w:spacing w:after="0" w:line="240" w:lineRule="auto"/>
        <w:jc w:val="both"/>
        <w:rPr>
          <w:rFonts w:ascii="Calibri" w:hAnsi="Calibri" w:cs="Calibri"/>
        </w:rPr>
      </w:pPr>
    </w:p>
    <w:p w14:paraId="3762372E" w14:textId="77777777" w:rsidR="00792672" w:rsidRDefault="00792672" w:rsidP="00C52E4C">
      <w:pPr>
        <w:spacing w:after="0" w:line="240" w:lineRule="auto"/>
        <w:jc w:val="both"/>
        <w:rPr>
          <w:rFonts w:ascii="Calibri" w:hAnsi="Calibri" w:cs="Calibri"/>
        </w:rPr>
      </w:pPr>
    </w:p>
    <w:p w14:paraId="3191510E" w14:textId="77777777" w:rsidR="00EE6705" w:rsidRDefault="00EE6705" w:rsidP="00C52E4C">
      <w:pPr>
        <w:spacing w:after="0" w:line="240" w:lineRule="auto"/>
        <w:jc w:val="both"/>
        <w:rPr>
          <w:rFonts w:ascii="Calibri" w:hAnsi="Calibri" w:cs="Calibri"/>
        </w:rPr>
      </w:pPr>
    </w:p>
    <w:p w14:paraId="46E381A3" w14:textId="77777777" w:rsidR="00EE6705" w:rsidRDefault="00EE6705" w:rsidP="00EE6705">
      <w:pPr>
        <w:spacing w:after="0" w:line="240" w:lineRule="auto"/>
        <w:jc w:val="center"/>
        <w:rPr>
          <w:rFonts w:ascii="Calibri" w:hAnsi="Calibri" w:cs="Calibri"/>
        </w:rPr>
      </w:pPr>
      <w:r>
        <w:rPr>
          <w:rFonts w:ascii="Calibri" w:hAnsi="Calibri" w:cs="Calibri"/>
          <w:noProof/>
          <w:lang w:eastAsia="sl-SI"/>
        </w:rPr>
        <w:drawing>
          <wp:inline distT="0" distB="0" distL="0" distR="0" wp14:anchorId="0DE99EF3" wp14:editId="6E45CF8D">
            <wp:extent cx="5263763" cy="269836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15">
                      <a:extLst>
                        <a:ext uri="{28A0092B-C50C-407E-A947-70E740481C1C}">
                          <a14:useLocalDpi xmlns:a14="http://schemas.microsoft.com/office/drawing/2010/main" val="0"/>
                        </a:ext>
                      </a:extLst>
                    </a:blip>
                    <a:stretch>
                      <a:fillRect/>
                    </a:stretch>
                  </pic:blipFill>
                  <pic:spPr>
                    <a:xfrm>
                      <a:off x="0" y="0"/>
                      <a:ext cx="5269311" cy="2701208"/>
                    </a:xfrm>
                    <a:prstGeom prst="rect">
                      <a:avLst/>
                    </a:prstGeom>
                  </pic:spPr>
                </pic:pic>
              </a:graphicData>
            </a:graphic>
          </wp:inline>
        </w:drawing>
      </w:r>
    </w:p>
    <w:p w14:paraId="5D9F4327" w14:textId="77777777" w:rsidR="00EE6705" w:rsidRDefault="00EE6705" w:rsidP="00C52E4C">
      <w:pPr>
        <w:spacing w:after="0" w:line="240" w:lineRule="auto"/>
        <w:jc w:val="both"/>
        <w:rPr>
          <w:rFonts w:ascii="Calibri" w:hAnsi="Calibri" w:cs="Calibri"/>
        </w:rPr>
      </w:pPr>
    </w:p>
    <w:p w14:paraId="4E7538FB" w14:textId="77777777" w:rsidR="00EE6705" w:rsidRDefault="00EE6705" w:rsidP="00C52E4C">
      <w:pPr>
        <w:spacing w:after="0" w:line="240" w:lineRule="auto"/>
        <w:jc w:val="both"/>
        <w:rPr>
          <w:rFonts w:ascii="Calibri" w:hAnsi="Calibri" w:cs="Calibri"/>
        </w:rPr>
      </w:pPr>
    </w:p>
    <w:p w14:paraId="6503BB25" w14:textId="6D0B6CF6" w:rsidR="00EE6705" w:rsidRPr="007A6591" w:rsidRDefault="00EE6705" w:rsidP="00C52E4C">
      <w:pPr>
        <w:spacing w:after="0" w:line="240" w:lineRule="auto"/>
        <w:jc w:val="both"/>
        <w:rPr>
          <w:rFonts w:ascii="Calibri" w:hAnsi="Calibri" w:cs="Calibri"/>
          <w:b/>
          <w:bCs/>
          <w:sz w:val="20"/>
          <w:szCs w:val="20"/>
        </w:rPr>
      </w:pPr>
      <w:r w:rsidRPr="009852EC">
        <w:rPr>
          <w:b/>
          <w:bCs/>
          <w:sz w:val="20"/>
          <w:szCs w:val="20"/>
        </w:rPr>
        <w:t xml:space="preserve">Slika </w:t>
      </w:r>
      <w:r w:rsidR="001F1763">
        <w:rPr>
          <w:b/>
          <w:bCs/>
          <w:sz w:val="20"/>
          <w:szCs w:val="20"/>
        </w:rPr>
        <w:t>6</w:t>
      </w:r>
      <w:r w:rsidRPr="009852EC">
        <w:rPr>
          <w:b/>
          <w:bCs/>
          <w:sz w:val="20"/>
          <w:szCs w:val="20"/>
        </w:rPr>
        <w:t>:</w:t>
      </w:r>
      <w:r w:rsidRPr="007A6591">
        <w:rPr>
          <w:b/>
          <w:bCs/>
          <w:sz w:val="20"/>
          <w:szCs w:val="20"/>
        </w:rPr>
        <w:t xml:space="preserve"> Investicije in nepovratne finančne spodbude za ukrepe zmanjševanja emisij TGP ter učinki na zmanjšanje emisij TGP v gospodinjstvih, javnem sektorju, gospodarstvu in prometu (Vir: IJS-CEU)</w:t>
      </w:r>
      <w:r w:rsidR="007A6591" w:rsidRPr="007A6591">
        <w:rPr>
          <w:rStyle w:val="Sprotnaopomba-sklic"/>
          <w:b/>
          <w:bCs/>
          <w:sz w:val="20"/>
          <w:szCs w:val="20"/>
        </w:rPr>
        <w:footnoteReference w:id="12"/>
      </w:r>
    </w:p>
    <w:p w14:paraId="44C3942C" w14:textId="77777777" w:rsidR="00EE6705" w:rsidRDefault="00EE6705" w:rsidP="00C52E4C">
      <w:pPr>
        <w:spacing w:after="0" w:line="240" w:lineRule="auto"/>
        <w:jc w:val="both"/>
        <w:rPr>
          <w:rFonts w:ascii="Calibri" w:hAnsi="Calibri" w:cs="Calibri"/>
        </w:rPr>
      </w:pPr>
    </w:p>
    <w:p w14:paraId="32E4FFEC" w14:textId="77777777" w:rsidR="002E7878" w:rsidRDefault="002E7878" w:rsidP="00EA1105">
      <w:pPr>
        <w:spacing w:after="0" w:line="240" w:lineRule="auto"/>
        <w:jc w:val="both"/>
        <w:rPr>
          <w:rFonts w:ascii="Calibri" w:hAnsi="Calibri" w:cs="Calibri"/>
          <w:b/>
          <w:bCs/>
          <w:sz w:val="26"/>
          <w:szCs w:val="26"/>
        </w:rPr>
      </w:pPr>
    </w:p>
    <w:p w14:paraId="163ACD50" w14:textId="77777777" w:rsidR="002E7878" w:rsidRDefault="002E7878" w:rsidP="00EA1105">
      <w:pPr>
        <w:spacing w:after="0" w:line="240" w:lineRule="auto"/>
        <w:jc w:val="both"/>
        <w:rPr>
          <w:rFonts w:ascii="Calibri" w:hAnsi="Calibri" w:cs="Calibri"/>
          <w:b/>
          <w:bCs/>
          <w:sz w:val="26"/>
          <w:szCs w:val="26"/>
        </w:rPr>
      </w:pPr>
    </w:p>
    <w:p w14:paraId="68E341F6" w14:textId="77777777" w:rsidR="002E7878" w:rsidRDefault="002E7878" w:rsidP="00EA1105">
      <w:pPr>
        <w:spacing w:after="0" w:line="240" w:lineRule="auto"/>
        <w:jc w:val="both"/>
        <w:rPr>
          <w:rFonts w:ascii="Calibri" w:hAnsi="Calibri" w:cs="Calibri"/>
          <w:b/>
          <w:bCs/>
          <w:sz w:val="26"/>
          <w:szCs w:val="26"/>
        </w:rPr>
      </w:pPr>
    </w:p>
    <w:p w14:paraId="71667AA4" w14:textId="77777777" w:rsidR="002E7878" w:rsidRDefault="002E7878" w:rsidP="00EA1105">
      <w:pPr>
        <w:spacing w:after="0" w:line="240" w:lineRule="auto"/>
        <w:jc w:val="both"/>
        <w:rPr>
          <w:rFonts w:ascii="Calibri" w:hAnsi="Calibri" w:cs="Calibri"/>
          <w:b/>
          <w:bCs/>
          <w:sz w:val="26"/>
          <w:szCs w:val="26"/>
        </w:rPr>
      </w:pPr>
    </w:p>
    <w:p w14:paraId="5CD151F7" w14:textId="4B6A2A2C" w:rsidR="00EA1105" w:rsidRDefault="00EA1105" w:rsidP="00EA1105">
      <w:pPr>
        <w:spacing w:after="0" w:line="240" w:lineRule="auto"/>
        <w:jc w:val="both"/>
      </w:pPr>
      <w:r>
        <w:rPr>
          <w:rFonts w:ascii="Calibri" w:hAnsi="Calibri" w:cs="Calibri"/>
          <w:b/>
          <w:bCs/>
          <w:sz w:val="26"/>
          <w:szCs w:val="26"/>
        </w:rPr>
        <w:t>6</w:t>
      </w:r>
      <w:r w:rsidRPr="00472C4D">
        <w:rPr>
          <w:rFonts w:ascii="Calibri" w:hAnsi="Calibri" w:cs="Calibri"/>
          <w:b/>
          <w:bCs/>
          <w:sz w:val="26"/>
          <w:szCs w:val="26"/>
        </w:rPr>
        <w:t xml:space="preserve"> </w:t>
      </w:r>
      <w:r>
        <w:rPr>
          <w:rFonts w:ascii="Calibri" w:hAnsi="Calibri" w:cs="Calibri"/>
          <w:b/>
          <w:bCs/>
          <w:sz w:val="26"/>
          <w:szCs w:val="26"/>
        </w:rPr>
        <w:t>Zaključek</w:t>
      </w:r>
    </w:p>
    <w:p w14:paraId="6542477F" w14:textId="77777777" w:rsidR="00EA1105" w:rsidRDefault="00EA1105" w:rsidP="00EA1105">
      <w:pPr>
        <w:spacing w:after="0" w:line="240" w:lineRule="auto"/>
        <w:jc w:val="both"/>
      </w:pPr>
    </w:p>
    <w:p w14:paraId="57FE961A" w14:textId="2E72E4A7" w:rsidR="00EA1105" w:rsidRDefault="00EA1105" w:rsidP="00EA1105">
      <w:pPr>
        <w:spacing w:after="0" w:line="240" w:lineRule="auto"/>
        <w:jc w:val="both"/>
        <w:rPr>
          <w:rFonts w:ascii="Calibri" w:hAnsi="Calibri" w:cs="Calibri"/>
        </w:rPr>
      </w:pPr>
      <w:r>
        <w:t xml:space="preserve">Z letom 2020 se obdobje izvajanja OP TGP 2020 izteka. </w:t>
      </w:r>
      <w:r w:rsidR="002B0A5A">
        <w:t>V letu 2018 so bile emisije nižje od zastavljenega letnega cilja</w:t>
      </w:r>
      <w:r w:rsidR="00F8575A">
        <w:t xml:space="preserve">, prve ocene za 2019 in COVID-19 karantena v letu 2020 pa nakazujejo, da bo Slovenija uspešno dosegla zastavljen </w:t>
      </w:r>
      <w:r w:rsidR="0039082F">
        <w:t xml:space="preserve">emisijski </w:t>
      </w:r>
      <w:r w:rsidR="00F8575A">
        <w:t xml:space="preserve">cilj v letu 2020. </w:t>
      </w:r>
      <w:r w:rsidR="0039082F">
        <w:t xml:space="preserve">Za leto 2020 Slovenija prav tako izpolnjuje svoj cilj na področju povečevanja energetske učinkovitosti, medtem ko je delež obnovljivih virov energije nižji od zastavljenega cilja. </w:t>
      </w:r>
      <w:r w:rsidR="00E01B9D">
        <w:t>Za doseganje dolgoročnih ciljev bo še naprej pomembno obvladovanje rabe končne energije zlasti v prometu, pa tudi v industriji i</w:t>
      </w:r>
      <w:r w:rsidR="001B2A89">
        <w:t xml:space="preserve">n gospodinjstvih ter okrepljeno izvajanje vseh sprejetih ukrepov za spodbujanje izrabe obnovljivih virov energije. </w:t>
      </w:r>
      <w:r>
        <w:t xml:space="preserve">Izvajanje ukrepov se bo v obdobju 2021−2030 nadaljevalo v okviru </w:t>
      </w:r>
      <w:r w:rsidRPr="00EA1105">
        <w:rPr>
          <w:i/>
        </w:rPr>
        <w:t>Celovitega nacionalnega energetskega in podnebnega načrta Republike Slovenije</w:t>
      </w:r>
      <w:r>
        <w:t xml:space="preserve"> </w:t>
      </w:r>
      <w:r w:rsidR="00AB7E8B">
        <w:rPr>
          <w:i/>
        </w:rPr>
        <w:t>(NEPN)</w:t>
      </w:r>
      <w:r w:rsidR="00AB7E8B" w:rsidRPr="00AB7E8B">
        <w:t xml:space="preserve">, ki je bil sprejet </w:t>
      </w:r>
      <w:r w:rsidR="00B564CF">
        <w:t>v februarju</w:t>
      </w:r>
      <w:r w:rsidR="00AB7E8B" w:rsidRPr="00AB7E8B">
        <w:t xml:space="preserve"> leta 2020.</w:t>
      </w:r>
      <w:r w:rsidR="000F798F" w:rsidRPr="00AB7E8B">
        <w:t xml:space="preserve"> </w:t>
      </w:r>
    </w:p>
    <w:p w14:paraId="71AB6996" w14:textId="77777777" w:rsidR="00EA1105" w:rsidRDefault="00EA1105" w:rsidP="00C52E4C">
      <w:pPr>
        <w:spacing w:after="0" w:line="240" w:lineRule="auto"/>
        <w:jc w:val="both"/>
        <w:rPr>
          <w:rFonts w:ascii="Calibri" w:hAnsi="Calibri" w:cs="Calibri"/>
        </w:rPr>
      </w:pPr>
    </w:p>
    <w:p w14:paraId="6057B919" w14:textId="579B3367" w:rsidR="00EE6705" w:rsidRDefault="00EE6705" w:rsidP="00EE3943">
      <w:pPr>
        <w:spacing w:after="0" w:line="240" w:lineRule="auto"/>
        <w:rPr>
          <w:b/>
          <w:bCs/>
          <w:sz w:val="18"/>
          <w:szCs w:val="18"/>
        </w:rPr>
      </w:pPr>
    </w:p>
    <w:sectPr w:rsidR="00EE6705" w:rsidSect="00F025C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3F7DD" w14:textId="77777777" w:rsidR="003E625D" w:rsidRDefault="003E625D" w:rsidP="00F025C0">
      <w:pPr>
        <w:spacing w:after="0" w:line="240" w:lineRule="auto"/>
      </w:pPr>
      <w:r>
        <w:separator/>
      </w:r>
    </w:p>
  </w:endnote>
  <w:endnote w:type="continuationSeparator" w:id="0">
    <w:p w14:paraId="3A671011" w14:textId="77777777" w:rsidR="003E625D" w:rsidRDefault="003E625D" w:rsidP="00F0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35241"/>
      <w:docPartObj>
        <w:docPartGallery w:val="Page Numbers (Bottom of Page)"/>
        <w:docPartUnique/>
      </w:docPartObj>
    </w:sdtPr>
    <w:sdtEndPr>
      <w:rPr>
        <w:noProof/>
      </w:rPr>
    </w:sdtEndPr>
    <w:sdtContent>
      <w:p w14:paraId="682EAFDD" w14:textId="77777777" w:rsidR="008B1B23" w:rsidRDefault="008B1B23">
        <w:pPr>
          <w:pStyle w:val="Noga"/>
          <w:jc w:val="right"/>
        </w:pPr>
        <w:r>
          <w:fldChar w:fldCharType="begin"/>
        </w:r>
        <w:r>
          <w:instrText xml:space="preserve"> PAGE   \* MERGEFORMAT </w:instrText>
        </w:r>
        <w:r>
          <w:fldChar w:fldCharType="separate"/>
        </w:r>
        <w:r w:rsidR="004E630F">
          <w:rPr>
            <w:noProof/>
          </w:rPr>
          <w:t>29</w:t>
        </w:r>
        <w:r>
          <w:rPr>
            <w:noProof/>
          </w:rPr>
          <w:fldChar w:fldCharType="end"/>
        </w:r>
      </w:p>
    </w:sdtContent>
  </w:sdt>
  <w:p w14:paraId="621D9636" w14:textId="77777777" w:rsidR="008B1B23" w:rsidRDefault="008B1B2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346F2" w14:textId="77777777" w:rsidR="003E625D" w:rsidRDefault="003E625D" w:rsidP="00F025C0">
      <w:pPr>
        <w:spacing w:after="0" w:line="240" w:lineRule="auto"/>
      </w:pPr>
      <w:r>
        <w:separator/>
      </w:r>
    </w:p>
  </w:footnote>
  <w:footnote w:type="continuationSeparator" w:id="0">
    <w:p w14:paraId="2F002B24" w14:textId="77777777" w:rsidR="003E625D" w:rsidRDefault="003E625D" w:rsidP="00F025C0">
      <w:pPr>
        <w:spacing w:after="0" w:line="240" w:lineRule="auto"/>
      </w:pPr>
      <w:r>
        <w:continuationSeparator/>
      </w:r>
    </w:p>
  </w:footnote>
  <w:footnote w:id="1">
    <w:p w14:paraId="68F0513B" w14:textId="77777777" w:rsidR="008B1B23" w:rsidRDefault="008B1B23">
      <w:pPr>
        <w:pStyle w:val="Sprotnaopomba-besedilo"/>
      </w:pPr>
      <w:r>
        <w:rPr>
          <w:rStyle w:val="Sprotnaopomba-sklic"/>
        </w:rPr>
        <w:footnoteRef/>
      </w:r>
      <w:r>
        <w:t xml:space="preserve"> </w:t>
      </w:r>
      <w:r w:rsidRPr="002C6881">
        <w:rPr>
          <w:sz w:val="16"/>
          <w:szCs w:val="16"/>
        </w:rPr>
        <w:t>Odločba 406/2009/ES Evropskega parlamenta in sveta z dne 23. aprila 2009 o prizadevanju držav članic za zmanjšanje emisij toplogrednih plinov, da do leta 2020 izpolnijo zavezo Skupnosti za zmanjšanje emisij toplogrednih plinov (UL L št. 140 z dne 5. 6. 2009, stran 136).</w:t>
      </w:r>
    </w:p>
  </w:footnote>
  <w:footnote w:id="2">
    <w:p w14:paraId="6669466F" w14:textId="77777777" w:rsidR="008B1B23" w:rsidRDefault="008B1B23">
      <w:pPr>
        <w:pStyle w:val="Sprotnaopomba-besedilo"/>
      </w:pPr>
      <w:r>
        <w:rPr>
          <w:rStyle w:val="Sprotnaopomba-sklic"/>
        </w:rPr>
        <w:footnoteRef/>
      </w:r>
      <w:r>
        <w:t xml:space="preserve"> </w:t>
      </w:r>
      <w:r>
        <w:rPr>
          <w:sz w:val="16"/>
          <w:szCs w:val="16"/>
        </w:rPr>
        <w:t xml:space="preserve">LIFE Podnebna pot 2050, Slovenska podnebna pot do sredine stoletja (LIFE </w:t>
      </w:r>
      <w:proofErr w:type="spellStart"/>
      <w:r>
        <w:rPr>
          <w:sz w:val="16"/>
          <w:szCs w:val="16"/>
        </w:rPr>
        <w:t>ClimatePath</w:t>
      </w:r>
      <w:proofErr w:type="spellEnd"/>
      <w:r>
        <w:rPr>
          <w:sz w:val="16"/>
          <w:szCs w:val="16"/>
        </w:rPr>
        <w:t xml:space="preserve"> 2050 »</w:t>
      </w:r>
      <w:proofErr w:type="spellStart"/>
      <w:r>
        <w:rPr>
          <w:sz w:val="16"/>
          <w:szCs w:val="16"/>
        </w:rPr>
        <w:t>Slovenian</w:t>
      </w:r>
      <w:proofErr w:type="spellEnd"/>
      <w:r>
        <w:rPr>
          <w:sz w:val="16"/>
          <w:szCs w:val="16"/>
        </w:rPr>
        <w:t xml:space="preserve"> </w:t>
      </w:r>
      <w:proofErr w:type="spellStart"/>
      <w:r>
        <w:rPr>
          <w:sz w:val="16"/>
          <w:szCs w:val="16"/>
        </w:rPr>
        <w:t>Path</w:t>
      </w:r>
      <w:proofErr w:type="spellEnd"/>
      <w:r>
        <w:rPr>
          <w:sz w:val="16"/>
          <w:szCs w:val="16"/>
        </w:rPr>
        <w:t xml:space="preserve"> </w:t>
      </w:r>
      <w:proofErr w:type="spellStart"/>
      <w:r>
        <w:rPr>
          <w:sz w:val="16"/>
          <w:szCs w:val="16"/>
        </w:rPr>
        <w:t>Towards</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Mid</w:t>
      </w:r>
      <w:proofErr w:type="spellEnd"/>
      <w:r>
        <w:rPr>
          <w:sz w:val="16"/>
          <w:szCs w:val="16"/>
        </w:rPr>
        <w:t>–</w:t>
      </w:r>
      <w:proofErr w:type="spellStart"/>
      <w:r>
        <w:rPr>
          <w:sz w:val="16"/>
          <w:szCs w:val="16"/>
        </w:rPr>
        <w:t>Century</w:t>
      </w:r>
      <w:proofErr w:type="spellEnd"/>
      <w:r>
        <w:rPr>
          <w:sz w:val="16"/>
          <w:szCs w:val="16"/>
        </w:rPr>
        <w:t xml:space="preserve"> </w:t>
      </w:r>
      <w:proofErr w:type="spellStart"/>
      <w:r>
        <w:rPr>
          <w:sz w:val="16"/>
          <w:szCs w:val="16"/>
        </w:rPr>
        <w:t>Climate</w:t>
      </w:r>
      <w:proofErr w:type="spellEnd"/>
      <w:r>
        <w:rPr>
          <w:sz w:val="16"/>
          <w:szCs w:val="16"/>
        </w:rPr>
        <w:t xml:space="preserve"> </w:t>
      </w:r>
      <w:proofErr w:type="spellStart"/>
      <w:r>
        <w:rPr>
          <w:sz w:val="16"/>
          <w:szCs w:val="16"/>
        </w:rPr>
        <w:t>Target</w:t>
      </w:r>
      <w:proofErr w:type="spellEnd"/>
      <w:r>
        <w:rPr>
          <w:sz w:val="16"/>
          <w:szCs w:val="16"/>
        </w:rPr>
        <w:t xml:space="preserve">«, LIFE 16 GIC/SI/000043). </w:t>
      </w:r>
      <w:r>
        <w:t xml:space="preserve"> </w:t>
      </w:r>
    </w:p>
  </w:footnote>
  <w:footnote w:id="3">
    <w:p w14:paraId="709C6AD3" w14:textId="0E9546E9" w:rsidR="008B1B23" w:rsidRPr="009E55B1" w:rsidRDefault="008B1B23">
      <w:pPr>
        <w:pStyle w:val="Sprotnaopomba-besedilo"/>
        <w:rPr>
          <w:sz w:val="16"/>
          <w:szCs w:val="16"/>
        </w:rPr>
      </w:pPr>
      <w:r w:rsidRPr="00724215">
        <w:rPr>
          <w:rStyle w:val="Sprotnaopomba-sklic"/>
        </w:rPr>
        <w:footnoteRef/>
      </w:r>
      <w:r w:rsidRPr="00724215">
        <w:t xml:space="preserve"> </w:t>
      </w:r>
      <w:r w:rsidRPr="009E55B1">
        <w:rPr>
          <w:sz w:val="16"/>
          <w:szCs w:val="16"/>
        </w:rPr>
        <w:t>ELEK, načrtovanje, projektiranje in inženiring, d. o. o., Gradbeni Inštitut ZRMK (GI ZRMK), d. o. o., Inštitut za ekonomska raziskovanja (IER), Kmetijski institut Slovenije (KIS), PNZ svetovanje projektiranje, d. o. o., Gozdarski inštitut Slovenije (GIS) in zunanj</w:t>
      </w:r>
      <w:r>
        <w:rPr>
          <w:sz w:val="16"/>
          <w:szCs w:val="16"/>
        </w:rPr>
        <w:t>i</w:t>
      </w:r>
      <w:r w:rsidRPr="009E55B1">
        <w:rPr>
          <w:sz w:val="16"/>
          <w:szCs w:val="16"/>
        </w:rPr>
        <w:t xml:space="preserve"> izvajalci</w:t>
      </w:r>
      <w:r>
        <w:rPr>
          <w:sz w:val="16"/>
          <w:szCs w:val="16"/>
        </w:rPr>
        <w:t>.</w:t>
      </w:r>
    </w:p>
  </w:footnote>
  <w:footnote w:id="4">
    <w:p w14:paraId="148879FA" w14:textId="5DBE3AD4" w:rsidR="008B1B23" w:rsidRPr="00724215" w:rsidRDefault="008B1B23" w:rsidP="00724215">
      <w:pPr>
        <w:pStyle w:val="doc-ti"/>
        <w:spacing w:before="0" w:beforeAutospacing="0" w:after="0" w:afterAutospacing="0"/>
        <w:rPr>
          <w:rFonts w:asciiTheme="minorHAnsi" w:hAnsiTheme="minorHAnsi" w:cstheme="minorHAnsi"/>
          <w:sz w:val="16"/>
          <w:szCs w:val="16"/>
        </w:rPr>
      </w:pPr>
      <w:r w:rsidRPr="00724215">
        <w:rPr>
          <w:rStyle w:val="Sprotnaopomba-sklic"/>
          <w:rFonts w:asciiTheme="minorHAnsi" w:hAnsiTheme="minorHAnsi" w:cstheme="minorHAnsi"/>
          <w:sz w:val="20"/>
          <w:szCs w:val="20"/>
        </w:rPr>
        <w:footnoteRef/>
      </w:r>
      <w:r w:rsidRPr="00724215">
        <w:rPr>
          <w:rFonts w:asciiTheme="minorHAnsi" w:hAnsiTheme="minorHAnsi" w:cstheme="minorHAnsi"/>
          <w:sz w:val="20"/>
          <w:szCs w:val="20"/>
        </w:rPr>
        <w:t xml:space="preserve"> </w:t>
      </w:r>
      <w:r w:rsidRPr="00724215">
        <w:rPr>
          <w:rFonts w:asciiTheme="minorHAnsi" w:hAnsiTheme="minorHAnsi" w:cstheme="minorHAnsi"/>
          <w:sz w:val="16"/>
          <w:szCs w:val="16"/>
        </w:rPr>
        <w:t>Uredba (EU) 2018/842 Evropskega Parlamenta in Sveta z dne 30. maja 2018 o zavezujočem letnem zmanjšanju emisij toplogrednih plinov za države članice v obdobju od 2021 do 2030 kot prispevku k podnebnim ukrepom za izpolnitev zavez iz Pariškega sporazuma ter o spremembi Uredbe (EU) št. 525/2013</w:t>
      </w:r>
      <w:r>
        <w:rPr>
          <w:rFonts w:asciiTheme="minorHAnsi" w:hAnsiTheme="minorHAnsi" w:cstheme="minorHAnsi"/>
          <w:sz w:val="16"/>
          <w:szCs w:val="16"/>
        </w:rPr>
        <w:t xml:space="preserve"> (</w:t>
      </w:r>
      <w:r w:rsidRPr="00724215">
        <w:rPr>
          <w:rStyle w:val="Poudarek"/>
          <w:rFonts w:asciiTheme="minorHAnsi" w:hAnsiTheme="minorHAnsi" w:cstheme="minorHAnsi"/>
          <w:i w:val="0"/>
          <w:iCs w:val="0"/>
          <w:sz w:val="16"/>
          <w:szCs w:val="16"/>
        </w:rPr>
        <w:t>UL L 156, 19.6.2018, str. 26</w:t>
      </w:r>
      <w:r>
        <w:rPr>
          <w:rFonts w:asciiTheme="minorHAnsi" w:hAnsiTheme="minorHAnsi" w:cstheme="minorHAnsi"/>
          <w:sz w:val="16"/>
          <w:szCs w:val="16"/>
        </w:rPr>
        <w:t>).</w:t>
      </w:r>
    </w:p>
    <w:p w14:paraId="4451C651" w14:textId="52BC17BA" w:rsidR="008B1B23" w:rsidRDefault="008B1B23">
      <w:pPr>
        <w:pStyle w:val="Sprotnaopomba-besedilo"/>
      </w:pPr>
    </w:p>
  </w:footnote>
  <w:footnote w:id="5">
    <w:p w14:paraId="2E9CAB08" w14:textId="1BEAA173" w:rsidR="008B1B23" w:rsidRPr="00394046" w:rsidRDefault="008B1B23">
      <w:pPr>
        <w:pStyle w:val="Sprotnaopomba-besedilo"/>
        <w:rPr>
          <w:sz w:val="16"/>
          <w:szCs w:val="16"/>
        </w:rPr>
      </w:pPr>
      <w:r>
        <w:rPr>
          <w:rStyle w:val="Sprotnaopomba-sklic"/>
        </w:rPr>
        <w:footnoteRef/>
      </w:r>
      <w:r>
        <w:t xml:space="preserve"> </w:t>
      </w:r>
      <w:r w:rsidRPr="00C02FCE">
        <w:rPr>
          <w:sz w:val="16"/>
          <w:szCs w:val="16"/>
        </w:rPr>
        <w:t>Nekatere emisijske vrednosti za leto 2017 v tem poročilu se razlikujejo od vrednosti Podnebnega ogledala 2019 zaradi upoštevanja izboljšane vsakoletne metodologije izračuna evidenc emisij.</w:t>
      </w:r>
    </w:p>
  </w:footnote>
  <w:footnote w:id="6">
    <w:p w14:paraId="67EBD203" w14:textId="76EE77C2" w:rsidR="008B1B23" w:rsidRPr="002564A0" w:rsidRDefault="008B1B23" w:rsidP="002564A0">
      <w:pPr>
        <w:pStyle w:val="Default"/>
        <w:rPr>
          <w:rFonts w:ascii="Calibri" w:hAnsi="Calibri" w:cs="Calibri"/>
        </w:rPr>
      </w:pPr>
      <w:r w:rsidRPr="002564A0">
        <w:rPr>
          <w:rStyle w:val="Sprotnaopomba-sklic"/>
          <w:rFonts w:asciiTheme="minorHAnsi" w:hAnsiTheme="minorHAnsi" w:cstheme="minorHAnsi"/>
          <w:sz w:val="20"/>
          <w:szCs w:val="20"/>
        </w:rPr>
        <w:footnoteRef/>
      </w:r>
      <w:r w:rsidRPr="002564A0">
        <w:rPr>
          <w:rFonts w:asciiTheme="minorHAnsi" w:hAnsiTheme="minorHAnsi" w:cstheme="minorHAnsi"/>
          <w:sz w:val="20"/>
          <w:szCs w:val="20"/>
        </w:rPr>
        <w:t xml:space="preserve"> </w:t>
      </w:r>
      <w:r w:rsidRPr="002564A0">
        <w:rPr>
          <w:rFonts w:ascii="Calibri" w:hAnsi="Calibri" w:cs="Calibri"/>
          <w:sz w:val="16"/>
          <w:szCs w:val="16"/>
          <w:lang w:val="sl-SI"/>
        </w:rPr>
        <w:t>Izvedbeni sklep Komisije št. 2013/634/EU z dne 31. oktobra 2013 o prilagoditvah dodeljenih letnih emisij za države članice za obdobje 2013 do 2020 v skladu z Odločbo št. 406/2009/ES Evropskega parlamenta in Sveta (UL L št. 292 z dne 1.11.2013, stran 19) in Sklep Komisije (EU) 2017/1471 z dne 10. avgusta 2017 o spremembi sklepa 2013/162/EU zaradi pregleda dodeljenih letnih</w:t>
      </w:r>
      <w:r w:rsidRPr="002564A0">
        <w:rPr>
          <w:rFonts w:ascii="Calibri" w:hAnsi="Calibri" w:cs="Calibri"/>
          <w:sz w:val="16"/>
          <w:szCs w:val="16"/>
        </w:rPr>
        <w:t xml:space="preserve"> </w:t>
      </w:r>
      <w:r w:rsidRPr="002564A0">
        <w:rPr>
          <w:rFonts w:ascii="Calibri" w:hAnsi="Calibri" w:cs="Calibri"/>
          <w:sz w:val="16"/>
          <w:szCs w:val="16"/>
          <w:lang w:val="sl-SI"/>
        </w:rPr>
        <w:t>emisij za države članice za obdobje od 2017 do 2020 (UL L št. 209 z dne 12. 8. 2017, stran 53).</w:t>
      </w:r>
      <w:r w:rsidRPr="002564A0">
        <w:rPr>
          <w:rFonts w:ascii="Calibri" w:hAnsi="Calibri" w:cs="Calibri"/>
          <w:b/>
          <w:bCs/>
          <w:sz w:val="19"/>
          <w:szCs w:val="19"/>
          <w:lang w:val="sl-SI"/>
        </w:rPr>
        <w:t xml:space="preserve"> </w:t>
      </w:r>
    </w:p>
  </w:footnote>
  <w:footnote w:id="7">
    <w:p w14:paraId="3E0C489E" w14:textId="77777777" w:rsidR="008B1B23" w:rsidRDefault="008B1B23" w:rsidP="00D474FA">
      <w:pPr>
        <w:pStyle w:val="Sprotnaopomba-besedilo"/>
      </w:pPr>
      <w:r>
        <w:rPr>
          <w:rStyle w:val="Sprotnaopomba-sklic"/>
        </w:rPr>
        <w:footnoteRef/>
      </w:r>
      <w:r>
        <w:t xml:space="preserve"> </w:t>
      </w:r>
      <w:r w:rsidRPr="000C23DB">
        <w:rPr>
          <w:rFonts w:ascii="Calibri" w:hAnsi="Calibri" w:cs="Calibri"/>
          <w:sz w:val="16"/>
          <w:szCs w:val="16"/>
        </w:rPr>
        <w:t xml:space="preserve">V kmetijstvu je vključena le kmetijska mehanizacija, medtem ko je raba goriv na družinskih kmetijah všteta pri rabi goriv v gospodinjstvih, </w:t>
      </w:r>
      <w:r w:rsidRPr="000C23DB">
        <w:rPr>
          <w:sz w:val="16"/>
          <w:szCs w:val="16"/>
        </w:rPr>
        <w:t>raba goriv v večjih kmetijskih podjetjih pa pri rabi goriv v storitvenih dejavnostih.</w:t>
      </w:r>
    </w:p>
  </w:footnote>
  <w:footnote w:id="8">
    <w:p w14:paraId="51238F6A" w14:textId="7E6F67BA" w:rsidR="008B1B23" w:rsidRPr="006C30B9" w:rsidRDefault="008B1B23">
      <w:pPr>
        <w:pStyle w:val="Sprotnaopomba-besedilo"/>
        <w:rPr>
          <w:sz w:val="16"/>
          <w:szCs w:val="16"/>
        </w:rPr>
      </w:pPr>
      <w:r w:rsidRPr="006C30B9">
        <w:rPr>
          <w:rStyle w:val="Sprotnaopomba-sklic"/>
          <w:sz w:val="16"/>
          <w:szCs w:val="16"/>
        </w:rPr>
        <w:footnoteRef/>
      </w:r>
      <w:r w:rsidRPr="006C30B9">
        <w:rPr>
          <w:sz w:val="16"/>
          <w:szCs w:val="16"/>
        </w:rPr>
        <w:t xml:space="preserve"> Razlika med vsoto in obema postavkama je posledica zaokroževanja.</w:t>
      </w:r>
    </w:p>
  </w:footnote>
  <w:footnote w:id="9">
    <w:p w14:paraId="13A15B94" w14:textId="77777777" w:rsidR="008B1B23" w:rsidRDefault="008B1B23" w:rsidP="00763958">
      <w:pPr>
        <w:pStyle w:val="Sprotnaopomba-besedilo"/>
      </w:pPr>
      <w:r>
        <w:rPr>
          <w:rStyle w:val="Sprotnaopomba-sklic"/>
        </w:rPr>
        <w:footnoteRef/>
      </w:r>
      <w:r>
        <w:t xml:space="preserve"> </w:t>
      </w:r>
      <w:r>
        <w:rPr>
          <w:sz w:val="16"/>
          <w:szCs w:val="16"/>
        </w:rPr>
        <w:t xml:space="preserve">Akcijski načrt za obnovljive vire energije za obdobje 2010-2020, Vlada RS 2010, julij 2010. </w:t>
      </w:r>
    </w:p>
  </w:footnote>
  <w:footnote w:id="10">
    <w:p w14:paraId="3FCDC1B2" w14:textId="4DB3AA9E" w:rsidR="008B1B23" w:rsidRPr="00147C25" w:rsidRDefault="008B1B23">
      <w:pPr>
        <w:pStyle w:val="Sprotnaopomba-besedilo"/>
        <w:rPr>
          <w:sz w:val="16"/>
          <w:szCs w:val="16"/>
        </w:rPr>
      </w:pPr>
      <w:r w:rsidRPr="00147C25">
        <w:rPr>
          <w:rStyle w:val="Sprotnaopomba-sklic"/>
          <w:sz w:val="16"/>
          <w:szCs w:val="16"/>
        </w:rPr>
        <w:footnoteRef/>
      </w:r>
      <w:r w:rsidRPr="00147C25">
        <w:rPr>
          <w:sz w:val="16"/>
          <w:szCs w:val="16"/>
        </w:rPr>
        <w:t xml:space="preserve"> N</w:t>
      </w:r>
      <w:r>
        <w:rPr>
          <w:sz w:val="16"/>
          <w:szCs w:val="16"/>
        </w:rPr>
        <w:t>ekateri projekti</w:t>
      </w:r>
      <w:r w:rsidRPr="00147C25">
        <w:rPr>
          <w:sz w:val="16"/>
          <w:szCs w:val="16"/>
        </w:rPr>
        <w:t xml:space="preserve"> so omenjen</w:t>
      </w:r>
      <w:r>
        <w:rPr>
          <w:sz w:val="16"/>
          <w:szCs w:val="16"/>
        </w:rPr>
        <w:t>i</w:t>
      </w:r>
      <w:r w:rsidRPr="00147C25">
        <w:rPr>
          <w:sz w:val="16"/>
          <w:szCs w:val="16"/>
        </w:rPr>
        <w:t xml:space="preserve"> pri ostali</w:t>
      </w:r>
      <w:r>
        <w:rPr>
          <w:sz w:val="16"/>
          <w:szCs w:val="16"/>
        </w:rPr>
        <w:t>h</w:t>
      </w:r>
      <w:r w:rsidRPr="00147C25">
        <w:rPr>
          <w:sz w:val="16"/>
          <w:szCs w:val="16"/>
        </w:rPr>
        <w:t xml:space="preserve"> </w:t>
      </w:r>
      <w:r>
        <w:rPr>
          <w:sz w:val="16"/>
          <w:szCs w:val="16"/>
        </w:rPr>
        <w:t>pod</w:t>
      </w:r>
      <w:r w:rsidRPr="00147C25">
        <w:rPr>
          <w:sz w:val="16"/>
          <w:szCs w:val="16"/>
        </w:rPr>
        <w:t>poglavjih</w:t>
      </w:r>
      <w:r>
        <w:rPr>
          <w:sz w:val="16"/>
          <w:szCs w:val="16"/>
        </w:rPr>
        <w:t xml:space="preserve"> poglavja 4</w:t>
      </w:r>
      <w:r w:rsidRPr="00147C25">
        <w:rPr>
          <w:sz w:val="16"/>
          <w:szCs w:val="16"/>
        </w:rPr>
        <w:t>.</w:t>
      </w:r>
    </w:p>
  </w:footnote>
  <w:footnote w:id="11">
    <w:p w14:paraId="2560AE0A" w14:textId="7F1D59D5" w:rsidR="008B1B23" w:rsidRDefault="008B1B23">
      <w:pPr>
        <w:pStyle w:val="Sprotnaopomba-besedilo"/>
      </w:pPr>
      <w:r>
        <w:rPr>
          <w:rStyle w:val="Sprotnaopomba-sklic"/>
        </w:rPr>
        <w:footnoteRef/>
      </w:r>
      <w:r>
        <w:t xml:space="preserve"> </w:t>
      </w:r>
      <w:r w:rsidRPr="003F1168">
        <w:rPr>
          <w:sz w:val="16"/>
          <w:szCs w:val="16"/>
        </w:rPr>
        <w:t>Za leto 2017, 2018, 2019 so vključeni samo podatki o spodbudah iz Kohezijskega sklada za sektor stavb.</w:t>
      </w:r>
    </w:p>
  </w:footnote>
  <w:footnote w:id="12">
    <w:p w14:paraId="230D1E26" w14:textId="4763CCE5" w:rsidR="008B1B23" w:rsidRDefault="008B1B23">
      <w:pPr>
        <w:pStyle w:val="Sprotnaopomba-besedilo"/>
      </w:pPr>
      <w:r>
        <w:rPr>
          <w:rStyle w:val="Sprotnaopomba-sklic"/>
        </w:rPr>
        <w:footnoteRef/>
      </w:r>
      <w:r>
        <w:t xml:space="preserve"> </w:t>
      </w:r>
      <w:r w:rsidRPr="007A6591">
        <w:rPr>
          <w:sz w:val="16"/>
          <w:szCs w:val="16"/>
        </w:rPr>
        <w:t>preliminarni podatki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B47CA"/>
    <w:multiLevelType w:val="hybridMultilevel"/>
    <w:tmpl w:val="B63CE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B04D99"/>
    <w:multiLevelType w:val="hybridMultilevel"/>
    <w:tmpl w:val="445FE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C2D243"/>
    <w:multiLevelType w:val="hybridMultilevel"/>
    <w:tmpl w:val="6BFA1C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B73B0E"/>
    <w:multiLevelType w:val="hybridMultilevel"/>
    <w:tmpl w:val="1830BC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7F7AC3"/>
    <w:multiLevelType w:val="hybridMultilevel"/>
    <w:tmpl w:val="A64C97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F10ECE"/>
    <w:multiLevelType w:val="hybridMultilevel"/>
    <w:tmpl w:val="E9E5F3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0FC86F8"/>
    <w:multiLevelType w:val="hybridMultilevel"/>
    <w:tmpl w:val="B61CD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4B39EEA"/>
    <w:multiLevelType w:val="hybridMultilevel"/>
    <w:tmpl w:val="315066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B6DC66E"/>
    <w:multiLevelType w:val="hybridMultilevel"/>
    <w:tmpl w:val="9B685D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E3F227F"/>
    <w:multiLevelType w:val="hybridMultilevel"/>
    <w:tmpl w:val="608286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7602EAD"/>
    <w:multiLevelType w:val="hybridMultilevel"/>
    <w:tmpl w:val="D7261F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8200F8"/>
    <w:multiLevelType w:val="hybridMultilevel"/>
    <w:tmpl w:val="D0D86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E472CC"/>
    <w:multiLevelType w:val="hybridMultilevel"/>
    <w:tmpl w:val="A59E06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0522803"/>
    <w:multiLevelType w:val="hybridMultilevel"/>
    <w:tmpl w:val="4F32C7F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nsid w:val="210B640D"/>
    <w:multiLevelType w:val="hybridMultilevel"/>
    <w:tmpl w:val="F23A4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1672D4F"/>
    <w:multiLevelType w:val="hybridMultilevel"/>
    <w:tmpl w:val="F6B04744"/>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276D726E"/>
    <w:multiLevelType w:val="hybridMultilevel"/>
    <w:tmpl w:val="A1047E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873782F"/>
    <w:multiLevelType w:val="hybridMultilevel"/>
    <w:tmpl w:val="F580E7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35984EA7"/>
    <w:multiLevelType w:val="hybridMultilevel"/>
    <w:tmpl w:val="AFC6C680"/>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5DD2C63"/>
    <w:multiLevelType w:val="hybridMultilevel"/>
    <w:tmpl w:val="9D569092"/>
    <w:lvl w:ilvl="0" w:tplc="7A9406AE">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nsid w:val="35DF5A1E"/>
    <w:multiLevelType w:val="hybridMultilevel"/>
    <w:tmpl w:val="5190811A"/>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7B4B49B"/>
    <w:multiLevelType w:val="hybridMultilevel"/>
    <w:tmpl w:val="AC365D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89152AE"/>
    <w:multiLevelType w:val="hybridMultilevel"/>
    <w:tmpl w:val="224036F6"/>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39C90D28"/>
    <w:multiLevelType w:val="hybridMultilevel"/>
    <w:tmpl w:val="DEA03884"/>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3A422927"/>
    <w:multiLevelType w:val="hybridMultilevel"/>
    <w:tmpl w:val="134A4878"/>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3B991B95"/>
    <w:multiLevelType w:val="hybridMultilevel"/>
    <w:tmpl w:val="06C29C06"/>
    <w:lvl w:ilvl="0" w:tplc="24842EC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3BF4DCF7"/>
    <w:multiLevelType w:val="hybridMultilevel"/>
    <w:tmpl w:val="EC525B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4163C55"/>
    <w:multiLevelType w:val="hybridMultilevel"/>
    <w:tmpl w:val="DB201CD8"/>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4E4C00D0"/>
    <w:multiLevelType w:val="hybridMultilevel"/>
    <w:tmpl w:val="1FD0BADA"/>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537272B1"/>
    <w:multiLevelType w:val="hybridMultilevel"/>
    <w:tmpl w:val="64CEC294"/>
    <w:lvl w:ilvl="0" w:tplc="FFFFFFFF">
      <w:start w:val="1"/>
      <w:numFmt w:val="bullet"/>
      <w:lvlText w:val="•"/>
      <w:lvlJc w:val="left"/>
      <w:pPr>
        <w:ind w:left="360" w:hanging="360"/>
      </w:p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nsid w:val="5D4811DA"/>
    <w:multiLevelType w:val="hybridMultilevel"/>
    <w:tmpl w:val="3F717E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7DE6E05"/>
    <w:multiLevelType w:val="hybridMultilevel"/>
    <w:tmpl w:val="0722ED2E"/>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6E7C6A56"/>
    <w:multiLevelType w:val="hybridMultilevel"/>
    <w:tmpl w:val="2E8653E0"/>
    <w:lvl w:ilvl="0" w:tplc="239A4BA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E98159B"/>
    <w:multiLevelType w:val="hybridMultilevel"/>
    <w:tmpl w:val="72942A32"/>
    <w:lvl w:ilvl="0" w:tplc="61788E96">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nsid w:val="74AD9899"/>
    <w:multiLevelType w:val="hybridMultilevel"/>
    <w:tmpl w:val="6CF85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7C10AEE"/>
    <w:multiLevelType w:val="hybridMultilevel"/>
    <w:tmpl w:val="BA084C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FF35405"/>
    <w:multiLevelType w:val="hybridMultilevel"/>
    <w:tmpl w:val="099037A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7"/>
  </w:num>
  <w:num w:numId="5">
    <w:abstractNumId w:val="32"/>
  </w:num>
  <w:num w:numId="6">
    <w:abstractNumId w:val="31"/>
  </w:num>
  <w:num w:numId="7">
    <w:abstractNumId w:val="20"/>
  </w:num>
  <w:num w:numId="8">
    <w:abstractNumId w:val="33"/>
  </w:num>
  <w:num w:numId="9">
    <w:abstractNumId w:val="22"/>
  </w:num>
  <w:num w:numId="10">
    <w:abstractNumId w:val="28"/>
  </w:num>
  <w:num w:numId="11">
    <w:abstractNumId w:val="18"/>
  </w:num>
  <w:num w:numId="12">
    <w:abstractNumId w:val="15"/>
  </w:num>
  <w:num w:numId="13">
    <w:abstractNumId w:val="24"/>
  </w:num>
  <w:num w:numId="14">
    <w:abstractNumId w:val="23"/>
  </w:num>
  <w:num w:numId="15">
    <w:abstractNumId w:val="19"/>
  </w:num>
  <w:num w:numId="16">
    <w:abstractNumId w:val="14"/>
  </w:num>
  <w:num w:numId="17">
    <w:abstractNumId w:val="35"/>
  </w:num>
  <w:num w:numId="18">
    <w:abstractNumId w:val="12"/>
  </w:num>
  <w:num w:numId="19">
    <w:abstractNumId w:val="10"/>
  </w:num>
  <w:num w:numId="20">
    <w:abstractNumId w:val="26"/>
  </w:num>
  <w:num w:numId="21">
    <w:abstractNumId w:val="1"/>
  </w:num>
  <w:num w:numId="22">
    <w:abstractNumId w:val="5"/>
  </w:num>
  <w:num w:numId="23">
    <w:abstractNumId w:val="7"/>
  </w:num>
  <w:num w:numId="24">
    <w:abstractNumId w:val="6"/>
  </w:num>
  <w:num w:numId="25">
    <w:abstractNumId w:val="21"/>
  </w:num>
  <w:num w:numId="26">
    <w:abstractNumId w:val="29"/>
  </w:num>
  <w:num w:numId="27">
    <w:abstractNumId w:val="3"/>
  </w:num>
  <w:num w:numId="28">
    <w:abstractNumId w:val="9"/>
  </w:num>
  <w:num w:numId="29">
    <w:abstractNumId w:val="34"/>
  </w:num>
  <w:num w:numId="30">
    <w:abstractNumId w:val="4"/>
  </w:num>
  <w:num w:numId="31">
    <w:abstractNumId w:val="30"/>
  </w:num>
  <w:num w:numId="32">
    <w:abstractNumId w:val="16"/>
  </w:num>
  <w:num w:numId="33">
    <w:abstractNumId w:val="8"/>
  </w:num>
  <w:num w:numId="34">
    <w:abstractNumId w:val="0"/>
  </w:num>
  <w:num w:numId="35">
    <w:abstractNumId w:val="2"/>
  </w:num>
  <w:num w:numId="36">
    <w:abstractNumId w:val="3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F5"/>
    <w:rsid w:val="000031E6"/>
    <w:rsid w:val="00003D71"/>
    <w:rsid w:val="00004F80"/>
    <w:rsid w:val="00005282"/>
    <w:rsid w:val="000103C6"/>
    <w:rsid w:val="00010D02"/>
    <w:rsid w:val="00010E3B"/>
    <w:rsid w:val="000110FC"/>
    <w:rsid w:val="000131BF"/>
    <w:rsid w:val="00014AB5"/>
    <w:rsid w:val="00015093"/>
    <w:rsid w:val="00015EA0"/>
    <w:rsid w:val="000168D5"/>
    <w:rsid w:val="00017F2F"/>
    <w:rsid w:val="00020A4C"/>
    <w:rsid w:val="000229F8"/>
    <w:rsid w:val="00023DBE"/>
    <w:rsid w:val="00024311"/>
    <w:rsid w:val="000259A3"/>
    <w:rsid w:val="00025D31"/>
    <w:rsid w:val="000304AA"/>
    <w:rsid w:val="000333FC"/>
    <w:rsid w:val="00033E15"/>
    <w:rsid w:val="0003447E"/>
    <w:rsid w:val="000355EF"/>
    <w:rsid w:val="00036B8B"/>
    <w:rsid w:val="00036F20"/>
    <w:rsid w:val="00037539"/>
    <w:rsid w:val="00037B62"/>
    <w:rsid w:val="0004353E"/>
    <w:rsid w:val="000460FA"/>
    <w:rsid w:val="00046A9C"/>
    <w:rsid w:val="00046F16"/>
    <w:rsid w:val="00047B64"/>
    <w:rsid w:val="00051E17"/>
    <w:rsid w:val="000545E9"/>
    <w:rsid w:val="00056D72"/>
    <w:rsid w:val="00064F1A"/>
    <w:rsid w:val="00065C8A"/>
    <w:rsid w:val="00067578"/>
    <w:rsid w:val="00067D21"/>
    <w:rsid w:val="000708ED"/>
    <w:rsid w:val="00074833"/>
    <w:rsid w:val="00074DF6"/>
    <w:rsid w:val="00076642"/>
    <w:rsid w:val="00081F0D"/>
    <w:rsid w:val="0008231D"/>
    <w:rsid w:val="00082A95"/>
    <w:rsid w:val="00083D2B"/>
    <w:rsid w:val="00083D3F"/>
    <w:rsid w:val="000904FE"/>
    <w:rsid w:val="000957E8"/>
    <w:rsid w:val="00096A91"/>
    <w:rsid w:val="000A0790"/>
    <w:rsid w:val="000A32C5"/>
    <w:rsid w:val="000A376C"/>
    <w:rsid w:val="000A3E49"/>
    <w:rsid w:val="000A4838"/>
    <w:rsid w:val="000A663F"/>
    <w:rsid w:val="000A71A7"/>
    <w:rsid w:val="000B0F5C"/>
    <w:rsid w:val="000B3329"/>
    <w:rsid w:val="000B454C"/>
    <w:rsid w:val="000B5729"/>
    <w:rsid w:val="000C043D"/>
    <w:rsid w:val="000C14EC"/>
    <w:rsid w:val="000C23DB"/>
    <w:rsid w:val="000C26DE"/>
    <w:rsid w:val="000C2862"/>
    <w:rsid w:val="000C424D"/>
    <w:rsid w:val="000C57B4"/>
    <w:rsid w:val="000C5B9C"/>
    <w:rsid w:val="000C68AC"/>
    <w:rsid w:val="000D3E33"/>
    <w:rsid w:val="000D5373"/>
    <w:rsid w:val="000D7DFD"/>
    <w:rsid w:val="000E20B6"/>
    <w:rsid w:val="000E6071"/>
    <w:rsid w:val="000E67C4"/>
    <w:rsid w:val="000F0D8B"/>
    <w:rsid w:val="000F2458"/>
    <w:rsid w:val="000F329B"/>
    <w:rsid w:val="000F4E11"/>
    <w:rsid w:val="000F5EAA"/>
    <w:rsid w:val="000F6BAA"/>
    <w:rsid w:val="000F7143"/>
    <w:rsid w:val="000F798F"/>
    <w:rsid w:val="000F79D2"/>
    <w:rsid w:val="00101AFB"/>
    <w:rsid w:val="00101DF5"/>
    <w:rsid w:val="00102289"/>
    <w:rsid w:val="001022FF"/>
    <w:rsid w:val="0010487B"/>
    <w:rsid w:val="00104ECF"/>
    <w:rsid w:val="00106077"/>
    <w:rsid w:val="0010715D"/>
    <w:rsid w:val="001114D3"/>
    <w:rsid w:val="00112FF8"/>
    <w:rsid w:val="00113AC8"/>
    <w:rsid w:val="001147D9"/>
    <w:rsid w:val="001157B5"/>
    <w:rsid w:val="00115856"/>
    <w:rsid w:val="00115E30"/>
    <w:rsid w:val="00120156"/>
    <w:rsid w:val="001205D4"/>
    <w:rsid w:val="00120C15"/>
    <w:rsid w:val="00120C81"/>
    <w:rsid w:val="00124FBF"/>
    <w:rsid w:val="00125AB4"/>
    <w:rsid w:val="00131873"/>
    <w:rsid w:val="00133B35"/>
    <w:rsid w:val="0013538B"/>
    <w:rsid w:val="001353B4"/>
    <w:rsid w:val="00135B78"/>
    <w:rsid w:val="00136978"/>
    <w:rsid w:val="00136BA3"/>
    <w:rsid w:val="00137787"/>
    <w:rsid w:val="0014202E"/>
    <w:rsid w:val="001429FB"/>
    <w:rsid w:val="00142B7A"/>
    <w:rsid w:val="00147C25"/>
    <w:rsid w:val="0015055A"/>
    <w:rsid w:val="0015104A"/>
    <w:rsid w:val="00155F41"/>
    <w:rsid w:val="001564E4"/>
    <w:rsid w:val="00157662"/>
    <w:rsid w:val="00160B0A"/>
    <w:rsid w:val="00161F23"/>
    <w:rsid w:val="001620CF"/>
    <w:rsid w:val="001635C0"/>
    <w:rsid w:val="001646DE"/>
    <w:rsid w:val="00164771"/>
    <w:rsid w:val="001675B3"/>
    <w:rsid w:val="001713CC"/>
    <w:rsid w:val="00171C23"/>
    <w:rsid w:val="00172EB1"/>
    <w:rsid w:val="00174413"/>
    <w:rsid w:val="0017460F"/>
    <w:rsid w:val="00176271"/>
    <w:rsid w:val="001777EC"/>
    <w:rsid w:val="00177E23"/>
    <w:rsid w:val="00180702"/>
    <w:rsid w:val="00180990"/>
    <w:rsid w:val="001810B8"/>
    <w:rsid w:val="00182C39"/>
    <w:rsid w:val="00185C81"/>
    <w:rsid w:val="00185ED4"/>
    <w:rsid w:val="00185F76"/>
    <w:rsid w:val="001872B5"/>
    <w:rsid w:val="001918FD"/>
    <w:rsid w:val="001946B0"/>
    <w:rsid w:val="00195E14"/>
    <w:rsid w:val="001965C1"/>
    <w:rsid w:val="00197552"/>
    <w:rsid w:val="001A005C"/>
    <w:rsid w:val="001A01D5"/>
    <w:rsid w:val="001A215C"/>
    <w:rsid w:val="001A358E"/>
    <w:rsid w:val="001A520B"/>
    <w:rsid w:val="001A567B"/>
    <w:rsid w:val="001B002A"/>
    <w:rsid w:val="001B1745"/>
    <w:rsid w:val="001B2A89"/>
    <w:rsid w:val="001B51BA"/>
    <w:rsid w:val="001B666E"/>
    <w:rsid w:val="001B7EFE"/>
    <w:rsid w:val="001C22FA"/>
    <w:rsid w:val="001C3FFA"/>
    <w:rsid w:val="001C44F0"/>
    <w:rsid w:val="001C539B"/>
    <w:rsid w:val="001C5E3E"/>
    <w:rsid w:val="001C69F5"/>
    <w:rsid w:val="001D03EF"/>
    <w:rsid w:val="001D267C"/>
    <w:rsid w:val="001D3F82"/>
    <w:rsid w:val="001D54BB"/>
    <w:rsid w:val="001D63B6"/>
    <w:rsid w:val="001E0DA0"/>
    <w:rsid w:val="001E1845"/>
    <w:rsid w:val="001E41D5"/>
    <w:rsid w:val="001E5CAF"/>
    <w:rsid w:val="001E7B12"/>
    <w:rsid w:val="001F1390"/>
    <w:rsid w:val="001F160B"/>
    <w:rsid w:val="001F1763"/>
    <w:rsid w:val="001F4580"/>
    <w:rsid w:val="001F53BD"/>
    <w:rsid w:val="001F6E93"/>
    <w:rsid w:val="0020382C"/>
    <w:rsid w:val="00203E9A"/>
    <w:rsid w:val="00210C0E"/>
    <w:rsid w:val="00210DCA"/>
    <w:rsid w:val="0021250E"/>
    <w:rsid w:val="00215293"/>
    <w:rsid w:val="0021757C"/>
    <w:rsid w:val="00217A02"/>
    <w:rsid w:val="00217D4F"/>
    <w:rsid w:val="00226293"/>
    <w:rsid w:val="0022656F"/>
    <w:rsid w:val="00232402"/>
    <w:rsid w:val="00234C19"/>
    <w:rsid w:val="00234F4E"/>
    <w:rsid w:val="00236700"/>
    <w:rsid w:val="00236F07"/>
    <w:rsid w:val="00240666"/>
    <w:rsid w:val="00240E0B"/>
    <w:rsid w:val="00240F0E"/>
    <w:rsid w:val="00244997"/>
    <w:rsid w:val="00246FA5"/>
    <w:rsid w:val="00250109"/>
    <w:rsid w:val="002513C1"/>
    <w:rsid w:val="00252EA5"/>
    <w:rsid w:val="0025392E"/>
    <w:rsid w:val="0025477C"/>
    <w:rsid w:val="00256255"/>
    <w:rsid w:val="002564A0"/>
    <w:rsid w:val="00260118"/>
    <w:rsid w:val="00263D6A"/>
    <w:rsid w:val="002661CE"/>
    <w:rsid w:val="002667EC"/>
    <w:rsid w:val="00270D80"/>
    <w:rsid w:val="00270F5C"/>
    <w:rsid w:val="00271F24"/>
    <w:rsid w:val="00272AF9"/>
    <w:rsid w:val="002744C4"/>
    <w:rsid w:val="0027619D"/>
    <w:rsid w:val="0027666C"/>
    <w:rsid w:val="00277286"/>
    <w:rsid w:val="00277867"/>
    <w:rsid w:val="00281C48"/>
    <w:rsid w:val="00281E7B"/>
    <w:rsid w:val="0028200A"/>
    <w:rsid w:val="00282170"/>
    <w:rsid w:val="0028278C"/>
    <w:rsid w:val="0028478E"/>
    <w:rsid w:val="002866B2"/>
    <w:rsid w:val="00286C44"/>
    <w:rsid w:val="00290669"/>
    <w:rsid w:val="0029320E"/>
    <w:rsid w:val="00293720"/>
    <w:rsid w:val="002A2430"/>
    <w:rsid w:val="002A2B91"/>
    <w:rsid w:val="002A4B32"/>
    <w:rsid w:val="002A7CED"/>
    <w:rsid w:val="002B0A5A"/>
    <w:rsid w:val="002B1AED"/>
    <w:rsid w:val="002B24BC"/>
    <w:rsid w:val="002B3194"/>
    <w:rsid w:val="002B31B7"/>
    <w:rsid w:val="002C05CA"/>
    <w:rsid w:val="002C09FE"/>
    <w:rsid w:val="002C1B98"/>
    <w:rsid w:val="002C2CD9"/>
    <w:rsid w:val="002C2F27"/>
    <w:rsid w:val="002C5ED8"/>
    <w:rsid w:val="002C633B"/>
    <w:rsid w:val="002C6881"/>
    <w:rsid w:val="002D14F3"/>
    <w:rsid w:val="002D2034"/>
    <w:rsid w:val="002D21F9"/>
    <w:rsid w:val="002D2524"/>
    <w:rsid w:val="002D328C"/>
    <w:rsid w:val="002D371D"/>
    <w:rsid w:val="002D52CA"/>
    <w:rsid w:val="002D70C9"/>
    <w:rsid w:val="002D7D28"/>
    <w:rsid w:val="002E2ECD"/>
    <w:rsid w:val="002E3997"/>
    <w:rsid w:val="002E41DB"/>
    <w:rsid w:val="002E58CC"/>
    <w:rsid w:val="002E6925"/>
    <w:rsid w:val="002E7878"/>
    <w:rsid w:val="002E7A5F"/>
    <w:rsid w:val="002F3865"/>
    <w:rsid w:val="002F40DE"/>
    <w:rsid w:val="002F5141"/>
    <w:rsid w:val="002F7423"/>
    <w:rsid w:val="00301316"/>
    <w:rsid w:val="00301A5D"/>
    <w:rsid w:val="00303311"/>
    <w:rsid w:val="00303483"/>
    <w:rsid w:val="003056DA"/>
    <w:rsid w:val="00306E0C"/>
    <w:rsid w:val="00307884"/>
    <w:rsid w:val="00311001"/>
    <w:rsid w:val="0031272D"/>
    <w:rsid w:val="00312CC5"/>
    <w:rsid w:val="00312D99"/>
    <w:rsid w:val="00315160"/>
    <w:rsid w:val="0031535A"/>
    <w:rsid w:val="00315FBC"/>
    <w:rsid w:val="00317558"/>
    <w:rsid w:val="003178E7"/>
    <w:rsid w:val="00320845"/>
    <w:rsid w:val="00320FAC"/>
    <w:rsid w:val="00325046"/>
    <w:rsid w:val="00325A2A"/>
    <w:rsid w:val="00326AD4"/>
    <w:rsid w:val="0033369D"/>
    <w:rsid w:val="00335974"/>
    <w:rsid w:val="003359CD"/>
    <w:rsid w:val="00337062"/>
    <w:rsid w:val="00340185"/>
    <w:rsid w:val="00341780"/>
    <w:rsid w:val="00341D1C"/>
    <w:rsid w:val="00345253"/>
    <w:rsid w:val="003476CF"/>
    <w:rsid w:val="0035122C"/>
    <w:rsid w:val="00354D80"/>
    <w:rsid w:val="003550C9"/>
    <w:rsid w:val="003600A8"/>
    <w:rsid w:val="00360158"/>
    <w:rsid w:val="00360811"/>
    <w:rsid w:val="00361620"/>
    <w:rsid w:val="0036217C"/>
    <w:rsid w:val="00363E21"/>
    <w:rsid w:val="00367E22"/>
    <w:rsid w:val="00371042"/>
    <w:rsid w:val="003716A8"/>
    <w:rsid w:val="00371BB8"/>
    <w:rsid w:val="00372A0A"/>
    <w:rsid w:val="003753AE"/>
    <w:rsid w:val="003778DB"/>
    <w:rsid w:val="003825D3"/>
    <w:rsid w:val="003836CF"/>
    <w:rsid w:val="00384ED8"/>
    <w:rsid w:val="0039038C"/>
    <w:rsid w:val="0039082F"/>
    <w:rsid w:val="00391B01"/>
    <w:rsid w:val="00394046"/>
    <w:rsid w:val="00394B58"/>
    <w:rsid w:val="00394D02"/>
    <w:rsid w:val="00395068"/>
    <w:rsid w:val="00395F85"/>
    <w:rsid w:val="00396C39"/>
    <w:rsid w:val="003A14B5"/>
    <w:rsid w:val="003A3BC5"/>
    <w:rsid w:val="003A511E"/>
    <w:rsid w:val="003A624B"/>
    <w:rsid w:val="003A7057"/>
    <w:rsid w:val="003A74E4"/>
    <w:rsid w:val="003B10CC"/>
    <w:rsid w:val="003B233A"/>
    <w:rsid w:val="003B254D"/>
    <w:rsid w:val="003B29E2"/>
    <w:rsid w:val="003C17CF"/>
    <w:rsid w:val="003C2CBA"/>
    <w:rsid w:val="003D0907"/>
    <w:rsid w:val="003D2543"/>
    <w:rsid w:val="003D362A"/>
    <w:rsid w:val="003D37D6"/>
    <w:rsid w:val="003D478B"/>
    <w:rsid w:val="003E2EFF"/>
    <w:rsid w:val="003E625D"/>
    <w:rsid w:val="003E6DDA"/>
    <w:rsid w:val="003F1168"/>
    <w:rsid w:val="003F2560"/>
    <w:rsid w:val="003F265E"/>
    <w:rsid w:val="003F2DB7"/>
    <w:rsid w:val="003F5592"/>
    <w:rsid w:val="003F5CB9"/>
    <w:rsid w:val="003F6697"/>
    <w:rsid w:val="003F69BC"/>
    <w:rsid w:val="00401F29"/>
    <w:rsid w:val="00402C5B"/>
    <w:rsid w:val="004035E8"/>
    <w:rsid w:val="00403EB8"/>
    <w:rsid w:val="00403F6A"/>
    <w:rsid w:val="00404AB0"/>
    <w:rsid w:val="0040626E"/>
    <w:rsid w:val="004064B1"/>
    <w:rsid w:val="00411309"/>
    <w:rsid w:val="0041385B"/>
    <w:rsid w:val="00414B52"/>
    <w:rsid w:val="00422854"/>
    <w:rsid w:val="00422D91"/>
    <w:rsid w:val="00424B7B"/>
    <w:rsid w:val="00427B38"/>
    <w:rsid w:val="00430F0C"/>
    <w:rsid w:val="0043111B"/>
    <w:rsid w:val="00431E32"/>
    <w:rsid w:val="0043224D"/>
    <w:rsid w:val="00432484"/>
    <w:rsid w:val="004357A8"/>
    <w:rsid w:val="00435993"/>
    <w:rsid w:val="004364A8"/>
    <w:rsid w:val="00437726"/>
    <w:rsid w:val="00440BE1"/>
    <w:rsid w:val="00441130"/>
    <w:rsid w:val="004444AA"/>
    <w:rsid w:val="00445458"/>
    <w:rsid w:val="004511F6"/>
    <w:rsid w:val="00451670"/>
    <w:rsid w:val="0045170E"/>
    <w:rsid w:val="004517FD"/>
    <w:rsid w:val="00451A88"/>
    <w:rsid w:val="004520BE"/>
    <w:rsid w:val="00453916"/>
    <w:rsid w:val="004623BF"/>
    <w:rsid w:val="00463334"/>
    <w:rsid w:val="00463951"/>
    <w:rsid w:val="0046509D"/>
    <w:rsid w:val="00465A40"/>
    <w:rsid w:val="00466160"/>
    <w:rsid w:val="0046665E"/>
    <w:rsid w:val="004675F0"/>
    <w:rsid w:val="004700C6"/>
    <w:rsid w:val="004722AB"/>
    <w:rsid w:val="00472C4D"/>
    <w:rsid w:val="00474031"/>
    <w:rsid w:val="0047751E"/>
    <w:rsid w:val="00482CB5"/>
    <w:rsid w:val="00483CA4"/>
    <w:rsid w:val="00486BCF"/>
    <w:rsid w:val="00487B40"/>
    <w:rsid w:val="00490A8D"/>
    <w:rsid w:val="004912DD"/>
    <w:rsid w:val="004921AD"/>
    <w:rsid w:val="004931F9"/>
    <w:rsid w:val="00493A12"/>
    <w:rsid w:val="004945AF"/>
    <w:rsid w:val="004A1B53"/>
    <w:rsid w:val="004A2F32"/>
    <w:rsid w:val="004A5011"/>
    <w:rsid w:val="004A5517"/>
    <w:rsid w:val="004A691F"/>
    <w:rsid w:val="004A6EBB"/>
    <w:rsid w:val="004A760E"/>
    <w:rsid w:val="004B4775"/>
    <w:rsid w:val="004B6EC0"/>
    <w:rsid w:val="004C156A"/>
    <w:rsid w:val="004C3009"/>
    <w:rsid w:val="004C52FA"/>
    <w:rsid w:val="004C718B"/>
    <w:rsid w:val="004D06F9"/>
    <w:rsid w:val="004D1583"/>
    <w:rsid w:val="004D4FFD"/>
    <w:rsid w:val="004D56E9"/>
    <w:rsid w:val="004D5D26"/>
    <w:rsid w:val="004D61F1"/>
    <w:rsid w:val="004E18BB"/>
    <w:rsid w:val="004E20BE"/>
    <w:rsid w:val="004E25D4"/>
    <w:rsid w:val="004E3813"/>
    <w:rsid w:val="004E3D8E"/>
    <w:rsid w:val="004E3E1E"/>
    <w:rsid w:val="004E630F"/>
    <w:rsid w:val="004F1EB3"/>
    <w:rsid w:val="004F2CEC"/>
    <w:rsid w:val="004F34AD"/>
    <w:rsid w:val="004F3E92"/>
    <w:rsid w:val="004F3F8C"/>
    <w:rsid w:val="004F4154"/>
    <w:rsid w:val="004F4BFB"/>
    <w:rsid w:val="004F6FD6"/>
    <w:rsid w:val="004F73F1"/>
    <w:rsid w:val="004F7805"/>
    <w:rsid w:val="005024D9"/>
    <w:rsid w:val="005038D6"/>
    <w:rsid w:val="00507ADC"/>
    <w:rsid w:val="00510057"/>
    <w:rsid w:val="0051151F"/>
    <w:rsid w:val="00513721"/>
    <w:rsid w:val="0051603D"/>
    <w:rsid w:val="00520D10"/>
    <w:rsid w:val="00521EB1"/>
    <w:rsid w:val="00521FEC"/>
    <w:rsid w:val="00522A6C"/>
    <w:rsid w:val="00523634"/>
    <w:rsid w:val="00525588"/>
    <w:rsid w:val="00525F14"/>
    <w:rsid w:val="005267CC"/>
    <w:rsid w:val="00527BB0"/>
    <w:rsid w:val="00530F5C"/>
    <w:rsid w:val="0053182B"/>
    <w:rsid w:val="00531BF8"/>
    <w:rsid w:val="005322FC"/>
    <w:rsid w:val="00533EA4"/>
    <w:rsid w:val="00534D2D"/>
    <w:rsid w:val="00534DBD"/>
    <w:rsid w:val="00535E00"/>
    <w:rsid w:val="0053723E"/>
    <w:rsid w:val="005423C2"/>
    <w:rsid w:val="00542926"/>
    <w:rsid w:val="00542EA7"/>
    <w:rsid w:val="005431A8"/>
    <w:rsid w:val="00544164"/>
    <w:rsid w:val="00545B56"/>
    <w:rsid w:val="005503ED"/>
    <w:rsid w:val="005514FF"/>
    <w:rsid w:val="00561EA0"/>
    <w:rsid w:val="005653DD"/>
    <w:rsid w:val="00566AAB"/>
    <w:rsid w:val="00570050"/>
    <w:rsid w:val="00571679"/>
    <w:rsid w:val="005732F2"/>
    <w:rsid w:val="0057522A"/>
    <w:rsid w:val="00580E2D"/>
    <w:rsid w:val="0058158B"/>
    <w:rsid w:val="005828B2"/>
    <w:rsid w:val="00584586"/>
    <w:rsid w:val="0058495D"/>
    <w:rsid w:val="00585657"/>
    <w:rsid w:val="00587F42"/>
    <w:rsid w:val="00591519"/>
    <w:rsid w:val="00593353"/>
    <w:rsid w:val="0059373C"/>
    <w:rsid w:val="00593B47"/>
    <w:rsid w:val="005A0150"/>
    <w:rsid w:val="005A091D"/>
    <w:rsid w:val="005A1C50"/>
    <w:rsid w:val="005A29AA"/>
    <w:rsid w:val="005A52E6"/>
    <w:rsid w:val="005A655B"/>
    <w:rsid w:val="005B1AC7"/>
    <w:rsid w:val="005B229F"/>
    <w:rsid w:val="005B5A61"/>
    <w:rsid w:val="005B755C"/>
    <w:rsid w:val="005C0CAC"/>
    <w:rsid w:val="005C2B4E"/>
    <w:rsid w:val="005C5D29"/>
    <w:rsid w:val="005C6BFC"/>
    <w:rsid w:val="005D24D2"/>
    <w:rsid w:val="005D297E"/>
    <w:rsid w:val="005D343F"/>
    <w:rsid w:val="005D3D65"/>
    <w:rsid w:val="005D4067"/>
    <w:rsid w:val="005D7FE8"/>
    <w:rsid w:val="005E2CED"/>
    <w:rsid w:val="005E52F5"/>
    <w:rsid w:val="005E7878"/>
    <w:rsid w:val="005F0335"/>
    <w:rsid w:val="005F109F"/>
    <w:rsid w:val="005F247D"/>
    <w:rsid w:val="005F3DFD"/>
    <w:rsid w:val="005F628D"/>
    <w:rsid w:val="005F7CF0"/>
    <w:rsid w:val="00610AF3"/>
    <w:rsid w:val="00615DC3"/>
    <w:rsid w:val="00620BDA"/>
    <w:rsid w:val="00621635"/>
    <w:rsid w:val="006239B9"/>
    <w:rsid w:val="00623BB4"/>
    <w:rsid w:val="0062565A"/>
    <w:rsid w:val="006262D4"/>
    <w:rsid w:val="006267CC"/>
    <w:rsid w:val="00626CF8"/>
    <w:rsid w:val="006300F8"/>
    <w:rsid w:val="0063416C"/>
    <w:rsid w:val="006341BA"/>
    <w:rsid w:val="006346C0"/>
    <w:rsid w:val="0063498D"/>
    <w:rsid w:val="00635EA4"/>
    <w:rsid w:val="00636AAF"/>
    <w:rsid w:val="00637057"/>
    <w:rsid w:val="00637D46"/>
    <w:rsid w:val="006406C6"/>
    <w:rsid w:val="00641EF9"/>
    <w:rsid w:val="00642299"/>
    <w:rsid w:val="0064361E"/>
    <w:rsid w:val="00646B41"/>
    <w:rsid w:val="006506FE"/>
    <w:rsid w:val="006526DC"/>
    <w:rsid w:val="00652A62"/>
    <w:rsid w:val="00654A61"/>
    <w:rsid w:val="0065646D"/>
    <w:rsid w:val="00657256"/>
    <w:rsid w:val="006616CB"/>
    <w:rsid w:val="00664267"/>
    <w:rsid w:val="00664EDF"/>
    <w:rsid w:val="00665A3B"/>
    <w:rsid w:val="006701CC"/>
    <w:rsid w:val="00672750"/>
    <w:rsid w:val="0067378B"/>
    <w:rsid w:val="0067452D"/>
    <w:rsid w:val="00674EBF"/>
    <w:rsid w:val="00675304"/>
    <w:rsid w:val="00675FED"/>
    <w:rsid w:val="00677137"/>
    <w:rsid w:val="00677C15"/>
    <w:rsid w:val="00677E96"/>
    <w:rsid w:val="00681CD5"/>
    <w:rsid w:val="0068391D"/>
    <w:rsid w:val="0068596F"/>
    <w:rsid w:val="00685DA0"/>
    <w:rsid w:val="0068716F"/>
    <w:rsid w:val="00687980"/>
    <w:rsid w:val="006879BC"/>
    <w:rsid w:val="00690833"/>
    <w:rsid w:val="00690ACF"/>
    <w:rsid w:val="00691C14"/>
    <w:rsid w:val="00692C73"/>
    <w:rsid w:val="006940EB"/>
    <w:rsid w:val="006952BB"/>
    <w:rsid w:val="00696750"/>
    <w:rsid w:val="00696BCA"/>
    <w:rsid w:val="00697FED"/>
    <w:rsid w:val="006A5185"/>
    <w:rsid w:val="006A70E3"/>
    <w:rsid w:val="006A7197"/>
    <w:rsid w:val="006A759C"/>
    <w:rsid w:val="006B0A65"/>
    <w:rsid w:val="006B0FF0"/>
    <w:rsid w:val="006B214B"/>
    <w:rsid w:val="006B3648"/>
    <w:rsid w:val="006B3B2C"/>
    <w:rsid w:val="006B7F61"/>
    <w:rsid w:val="006C0CFE"/>
    <w:rsid w:val="006C1244"/>
    <w:rsid w:val="006C16B0"/>
    <w:rsid w:val="006C30B9"/>
    <w:rsid w:val="006C58F6"/>
    <w:rsid w:val="006D267F"/>
    <w:rsid w:val="006D4BF7"/>
    <w:rsid w:val="006D70F2"/>
    <w:rsid w:val="006D7435"/>
    <w:rsid w:val="006D7A3B"/>
    <w:rsid w:val="006E1EC4"/>
    <w:rsid w:val="006E290B"/>
    <w:rsid w:val="006E3367"/>
    <w:rsid w:val="006E5A66"/>
    <w:rsid w:val="006E5B66"/>
    <w:rsid w:val="006F39BA"/>
    <w:rsid w:val="006F5E1E"/>
    <w:rsid w:val="00700284"/>
    <w:rsid w:val="0070227F"/>
    <w:rsid w:val="0070315A"/>
    <w:rsid w:val="00703BF8"/>
    <w:rsid w:val="00707D86"/>
    <w:rsid w:val="0071203A"/>
    <w:rsid w:val="007127C5"/>
    <w:rsid w:val="00712CE7"/>
    <w:rsid w:val="00714842"/>
    <w:rsid w:val="007174F1"/>
    <w:rsid w:val="00720197"/>
    <w:rsid w:val="0072064A"/>
    <w:rsid w:val="007224BF"/>
    <w:rsid w:val="00722D34"/>
    <w:rsid w:val="00724215"/>
    <w:rsid w:val="00725FE5"/>
    <w:rsid w:val="00727BE5"/>
    <w:rsid w:val="00731A73"/>
    <w:rsid w:val="00737351"/>
    <w:rsid w:val="007409E9"/>
    <w:rsid w:val="00743171"/>
    <w:rsid w:val="00743620"/>
    <w:rsid w:val="00743790"/>
    <w:rsid w:val="00743CCB"/>
    <w:rsid w:val="00744A93"/>
    <w:rsid w:val="00744E10"/>
    <w:rsid w:val="0074644E"/>
    <w:rsid w:val="00747EE8"/>
    <w:rsid w:val="007538FC"/>
    <w:rsid w:val="00754542"/>
    <w:rsid w:val="00754A8E"/>
    <w:rsid w:val="007555F2"/>
    <w:rsid w:val="00756408"/>
    <w:rsid w:val="0076187A"/>
    <w:rsid w:val="00763958"/>
    <w:rsid w:val="00763DCD"/>
    <w:rsid w:val="00771BFD"/>
    <w:rsid w:val="00772C97"/>
    <w:rsid w:val="007740D2"/>
    <w:rsid w:val="0077490E"/>
    <w:rsid w:val="007763D3"/>
    <w:rsid w:val="00780846"/>
    <w:rsid w:val="007828DC"/>
    <w:rsid w:val="0078315B"/>
    <w:rsid w:val="007832E0"/>
    <w:rsid w:val="0078350D"/>
    <w:rsid w:val="007841E0"/>
    <w:rsid w:val="0078516E"/>
    <w:rsid w:val="007860DE"/>
    <w:rsid w:val="0078792D"/>
    <w:rsid w:val="00787EE3"/>
    <w:rsid w:val="00790141"/>
    <w:rsid w:val="00792672"/>
    <w:rsid w:val="00792EEC"/>
    <w:rsid w:val="007941C2"/>
    <w:rsid w:val="007943AE"/>
    <w:rsid w:val="007945E5"/>
    <w:rsid w:val="00795A46"/>
    <w:rsid w:val="00796918"/>
    <w:rsid w:val="007A05BF"/>
    <w:rsid w:val="007A0C71"/>
    <w:rsid w:val="007A2778"/>
    <w:rsid w:val="007A347E"/>
    <w:rsid w:val="007A514A"/>
    <w:rsid w:val="007A6591"/>
    <w:rsid w:val="007A6975"/>
    <w:rsid w:val="007A6E7F"/>
    <w:rsid w:val="007A6EE5"/>
    <w:rsid w:val="007A7D6D"/>
    <w:rsid w:val="007B2655"/>
    <w:rsid w:val="007B3ED0"/>
    <w:rsid w:val="007B6F32"/>
    <w:rsid w:val="007C0242"/>
    <w:rsid w:val="007C0ACA"/>
    <w:rsid w:val="007C3D1C"/>
    <w:rsid w:val="007C7428"/>
    <w:rsid w:val="007C7CEF"/>
    <w:rsid w:val="007D0CCD"/>
    <w:rsid w:val="007D20B4"/>
    <w:rsid w:val="007D24C9"/>
    <w:rsid w:val="007D26E1"/>
    <w:rsid w:val="007D41CF"/>
    <w:rsid w:val="007D4411"/>
    <w:rsid w:val="007D4425"/>
    <w:rsid w:val="007D658E"/>
    <w:rsid w:val="007D66AE"/>
    <w:rsid w:val="007D6FFB"/>
    <w:rsid w:val="007D7D72"/>
    <w:rsid w:val="007E06E2"/>
    <w:rsid w:val="007E2487"/>
    <w:rsid w:val="007E429C"/>
    <w:rsid w:val="007E434D"/>
    <w:rsid w:val="007E4F7F"/>
    <w:rsid w:val="007E511C"/>
    <w:rsid w:val="007E713E"/>
    <w:rsid w:val="007F173E"/>
    <w:rsid w:val="007F3A17"/>
    <w:rsid w:val="007F5C8B"/>
    <w:rsid w:val="007F6032"/>
    <w:rsid w:val="007F62C5"/>
    <w:rsid w:val="007F7698"/>
    <w:rsid w:val="008005C4"/>
    <w:rsid w:val="00800CCB"/>
    <w:rsid w:val="008021FF"/>
    <w:rsid w:val="00805312"/>
    <w:rsid w:val="0081031C"/>
    <w:rsid w:val="0081143E"/>
    <w:rsid w:val="00812A89"/>
    <w:rsid w:val="00817A98"/>
    <w:rsid w:val="0082116B"/>
    <w:rsid w:val="00824B0B"/>
    <w:rsid w:val="00825F20"/>
    <w:rsid w:val="008265CF"/>
    <w:rsid w:val="008267E5"/>
    <w:rsid w:val="00827CBA"/>
    <w:rsid w:val="00830672"/>
    <w:rsid w:val="00830848"/>
    <w:rsid w:val="008320F3"/>
    <w:rsid w:val="0083247A"/>
    <w:rsid w:val="00832AAA"/>
    <w:rsid w:val="0083305D"/>
    <w:rsid w:val="00834FD3"/>
    <w:rsid w:val="00836D59"/>
    <w:rsid w:val="0083780B"/>
    <w:rsid w:val="0084071A"/>
    <w:rsid w:val="00841959"/>
    <w:rsid w:val="00842419"/>
    <w:rsid w:val="008434AC"/>
    <w:rsid w:val="00852BBC"/>
    <w:rsid w:val="00855770"/>
    <w:rsid w:val="00862E2B"/>
    <w:rsid w:val="008678F5"/>
    <w:rsid w:val="00874585"/>
    <w:rsid w:val="00875754"/>
    <w:rsid w:val="008757C7"/>
    <w:rsid w:val="008760B7"/>
    <w:rsid w:val="008760BC"/>
    <w:rsid w:val="00877DC4"/>
    <w:rsid w:val="00880B53"/>
    <w:rsid w:val="008817E8"/>
    <w:rsid w:val="00881D97"/>
    <w:rsid w:val="00883126"/>
    <w:rsid w:val="0088386C"/>
    <w:rsid w:val="008911D1"/>
    <w:rsid w:val="008915C8"/>
    <w:rsid w:val="00892107"/>
    <w:rsid w:val="00893456"/>
    <w:rsid w:val="00893B72"/>
    <w:rsid w:val="008946F4"/>
    <w:rsid w:val="00894DAD"/>
    <w:rsid w:val="00896932"/>
    <w:rsid w:val="00896DBF"/>
    <w:rsid w:val="008B1B23"/>
    <w:rsid w:val="008B2239"/>
    <w:rsid w:val="008B25FA"/>
    <w:rsid w:val="008B2FFC"/>
    <w:rsid w:val="008B355C"/>
    <w:rsid w:val="008B4E54"/>
    <w:rsid w:val="008B7F55"/>
    <w:rsid w:val="008C014E"/>
    <w:rsid w:val="008C0219"/>
    <w:rsid w:val="008C0479"/>
    <w:rsid w:val="008C2B1A"/>
    <w:rsid w:val="008C4A15"/>
    <w:rsid w:val="008C6612"/>
    <w:rsid w:val="008D0C92"/>
    <w:rsid w:val="008D1B14"/>
    <w:rsid w:val="008D2E39"/>
    <w:rsid w:val="008D395F"/>
    <w:rsid w:val="008D5A65"/>
    <w:rsid w:val="008D5AFF"/>
    <w:rsid w:val="008E25BE"/>
    <w:rsid w:val="008E3D09"/>
    <w:rsid w:val="008E40F0"/>
    <w:rsid w:val="008E4195"/>
    <w:rsid w:val="008E65AC"/>
    <w:rsid w:val="008F228D"/>
    <w:rsid w:val="008F388C"/>
    <w:rsid w:val="008F3DC0"/>
    <w:rsid w:val="008F4D15"/>
    <w:rsid w:val="009008EE"/>
    <w:rsid w:val="00900A66"/>
    <w:rsid w:val="009014AB"/>
    <w:rsid w:val="00904909"/>
    <w:rsid w:val="00904F84"/>
    <w:rsid w:val="00904F85"/>
    <w:rsid w:val="00905CF8"/>
    <w:rsid w:val="009130FF"/>
    <w:rsid w:val="0091358E"/>
    <w:rsid w:val="00920523"/>
    <w:rsid w:val="0092272B"/>
    <w:rsid w:val="009239DD"/>
    <w:rsid w:val="00923A12"/>
    <w:rsid w:val="00925448"/>
    <w:rsid w:val="0092630A"/>
    <w:rsid w:val="009264C9"/>
    <w:rsid w:val="00931A2E"/>
    <w:rsid w:val="00932508"/>
    <w:rsid w:val="0093758D"/>
    <w:rsid w:val="00937A86"/>
    <w:rsid w:val="0094074F"/>
    <w:rsid w:val="00940864"/>
    <w:rsid w:val="00941133"/>
    <w:rsid w:val="00942438"/>
    <w:rsid w:val="00944F14"/>
    <w:rsid w:val="009452EC"/>
    <w:rsid w:val="00946C92"/>
    <w:rsid w:val="00952EE0"/>
    <w:rsid w:val="009540FA"/>
    <w:rsid w:val="009548D3"/>
    <w:rsid w:val="0095725B"/>
    <w:rsid w:val="0095743E"/>
    <w:rsid w:val="009575F8"/>
    <w:rsid w:val="009600DF"/>
    <w:rsid w:val="00960E6B"/>
    <w:rsid w:val="009629CD"/>
    <w:rsid w:val="00964BF3"/>
    <w:rsid w:val="00965465"/>
    <w:rsid w:val="009661A0"/>
    <w:rsid w:val="00973262"/>
    <w:rsid w:val="009750D7"/>
    <w:rsid w:val="0097638D"/>
    <w:rsid w:val="009770AB"/>
    <w:rsid w:val="00977A1D"/>
    <w:rsid w:val="00980DF1"/>
    <w:rsid w:val="00981798"/>
    <w:rsid w:val="00981DF5"/>
    <w:rsid w:val="00982CEA"/>
    <w:rsid w:val="009852EC"/>
    <w:rsid w:val="009868F4"/>
    <w:rsid w:val="00987F7F"/>
    <w:rsid w:val="00990C14"/>
    <w:rsid w:val="00991364"/>
    <w:rsid w:val="00991810"/>
    <w:rsid w:val="00992B51"/>
    <w:rsid w:val="00993474"/>
    <w:rsid w:val="009A32B9"/>
    <w:rsid w:val="009A5405"/>
    <w:rsid w:val="009A58B1"/>
    <w:rsid w:val="009A5BE1"/>
    <w:rsid w:val="009A6772"/>
    <w:rsid w:val="009A7115"/>
    <w:rsid w:val="009B0090"/>
    <w:rsid w:val="009B3BCF"/>
    <w:rsid w:val="009B6ADA"/>
    <w:rsid w:val="009B7407"/>
    <w:rsid w:val="009B7EBB"/>
    <w:rsid w:val="009C2408"/>
    <w:rsid w:val="009C3F0F"/>
    <w:rsid w:val="009C56DB"/>
    <w:rsid w:val="009D28B0"/>
    <w:rsid w:val="009D2CA4"/>
    <w:rsid w:val="009D52C9"/>
    <w:rsid w:val="009D6F52"/>
    <w:rsid w:val="009E0908"/>
    <w:rsid w:val="009E0A5C"/>
    <w:rsid w:val="009E3675"/>
    <w:rsid w:val="009E3907"/>
    <w:rsid w:val="009E3C1C"/>
    <w:rsid w:val="009E48DD"/>
    <w:rsid w:val="009E4F92"/>
    <w:rsid w:val="009E55B1"/>
    <w:rsid w:val="009E7208"/>
    <w:rsid w:val="009F01A7"/>
    <w:rsid w:val="009F0865"/>
    <w:rsid w:val="009F0EA9"/>
    <w:rsid w:val="009F1066"/>
    <w:rsid w:val="009F2EBF"/>
    <w:rsid w:val="009F2EDD"/>
    <w:rsid w:val="009F3981"/>
    <w:rsid w:val="009F6658"/>
    <w:rsid w:val="00A005B4"/>
    <w:rsid w:val="00A0066A"/>
    <w:rsid w:val="00A01C47"/>
    <w:rsid w:val="00A0289D"/>
    <w:rsid w:val="00A03A2C"/>
    <w:rsid w:val="00A049F3"/>
    <w:rsid w:val="00A06D96"/>
    <w:rsid w:val="00A06EF5"/>
    <w:rsid w:val="00A0746C"/>
    <w:rsid w:val="00A07805"/>
    <w:rsid w:val="00A14C29"/>
    <w:rsid w:val="00A150D7"/>
    <w:rsid w:val="00A15C1A"/>
    <w:rsid w:val="00A1654D"/>
    <w:rsid w:val="00A2162A"/>
    <w:rsid w:val="00A23FED"/>
    <w:rsid w:val="00A24969"/>
    <w:rsid w:val="00A2725D"/>
    <w:rsid w:val="00A32510"/>
    <w:rsid w:val="00A356ED"/>
    <w:rsid w:val="00A367ED"/>
    <w:rsid w:val="00A40489"/>
    <w:rsid w:val="00A45758"/>
    <w:rsid w:val="00A46E40"/>
    <w:rsid w:val="00A510E5"/>
    <w:rsid w:val="00A51971"/>
    <w:rsid w:val="00A51A5A"/>
    <w:rsid w:val="00A54869"/>
    <w:rsid w:val="00A54A40"/>
    <w:rsid w:val="00A555D6"/>
    <w:rsid w:val="00A558EE"/>
    <w:rsid w:val="00A57176"/>
    <w:rsid w:val="00A57AA2"/>
    <w:rsid w:val="00A57DB7"/>
    <w:rsid w:val="00A607F1"/>
    <w:rsid w:val="00A62790"/>
    <w:rsid w:val="00A6346E"/>
    <w:rsid w:val="00A63B4B"/>
    <w:rsid w:val="00A66468"/>
    <w:rsid w:val="00A669D0"/>
    <w:rsid w:val="00A6708D"/>
    <w:rsid w:val="00A67DCA"/>
    <w:rsid w:val="00A703F6"/>
    <w:rsid w:val="00A70C20"/>
    <w:rsid w:val="00A70E45"/>
    <w:rsid w:val="00A72F76"/>
    <w:rsid w:val="00A73218"/>
    <w:rsid w:val="00A743D5"/>
    <w:rsid w:val="00A81D58"/>
    <w:rsid w:val="00A81F30"/>
    <w:rsid w:val="00A82FBB"/>
    <w:rsid w:val="00A83C23"/>
    <w:rsid w:val="00A8710B"/>
    <w:rsid w:val="00A8742A"/>
    <w:rsid w:val="00A87813"/>
    <w:rsid w:val="00A905B4"/>
    <w:rsid w:val="00A93830"/>
    <w:rsid w:val="00A93C75"/>
    <w:rsid w:val="00A944B1"/>
    <w:rsid w:val="00AA0A75"/>
    <w:rsid w:val="00AA1D5E"/>
    <w:rsid w:val="00AA2FF8"/>
    <w:rsid w:val="00AA4E11"/>
    <w:rsid w:val="00AA625F"/>
    <w:rsid w:val="00AA67A9"/>
    <w:rsid w:val="00AB0A6E"/>
    <w:rsid w:val="00AB2413"/>
    <w:rsid w:val="00AB3477"/>
    <w:rsid w:val="00AB50F8"/>
    <w:rsid w:val="00AB5F81"/>
    <w:rsid w:val="00AB7E8B"/>
    <w:rsid w:val="00AC4FA7"/>
    <w:rsid w:val="00AC5D7C"/>
    <w:rsid w:val="00AC62BA"/>
    <w:rsid w:val="00AC6602"/>
    <w:rsid w:val="00AC6743"/>
    <w:rsid w:val="00AD0BBC"/>
    <w:rsid w:val="00AD1C25"/>
    <w:rsid w:val="00AD40D1"/>
    <w:rsid w:val="00AD69F5"/>
    <w:rsid w:val="00AD746A"/>
    <w:rsid w:val="00AD79E9"/>
    <w:rsid w:val="00AD7E5F"/>
    <w:rsid w:val="00AD7EC2"/>
    <w:rsid w:val="00AE07DF"/>
    <w:rsid w:val="00AE15ED"/>
    <w:rsid w:val="00AE1984"/>
    <w:rsid w:val="00AE2C29"/>
    <w:rsid w:val="00AE4DBF"/>
    <w:rsid w:val="00AF1FCA"/>
    <w:rsid w:val="00AF23F1"/>
    <w:rsid w:val="00AF24A8"/>
    <w:rsid w:val="00AF25A2"/>
    <w:rsid w:val="00AF411F"/>
    <w:rsid w:val="00AF43BB"/>
    <w:rsid w:val="00AF4AA5"/>
    <w:rsid w:val="00AF710F"/>
    <w:rsid w:val="00AF76B4"/>
    <w:rsid w:val="00B01BE2"/>
    <w:rsid w:val="00B01DB5"/>
    <w:rsid w:val="00B111DF"/>
    <w:rsid w:val="00B11DDC"/>
    <w:rsid w:val="00B12486"/>
    <w:rsid w:val="00B14D8E"/>
    <w:rsid w:val="00B175B9"/>
    <w:rsid w:val="00B2449F"/>
    <w:rsid w:val="00B24D94"/>
    <w:rsid w:val="00B25A15"/>
    <w:rsid w:val="00B25E4F"/>
    <w:rsid w:val="00B262F0"/>
    <w:rsid w:val="00B273B2"/>
    <w:rsid w:val="00B27D6C"/>
    <w:rsid w:val="00B30AFB"/>
    <w:rsid w:val="00B35437"/>
    <w:rsid w:val="00B40078"/>
    <w:rsid w:val="00B42601"/>
    <w:rsid w:val="00B44300"/>
    <w:rsid w:val="00B45D8A"/>
    <w:rsid w:val="00B47E99"/>
    <w:rsid w:val="00B50317"/>
    <w:rsid w:val="00B511B3"/>
    <w:rsid w:val="00B519B7"/>
    <w:rsid w:val="00B521CD"/>
    <w:rsid w:val="00B53217"/>
    <w:rsid w:val="00B54A73"/>
    <w:rsid w:val="00B564CF"/>
    <w:rsid w:val="00B56A9E"/>
    <w:rsid w:val="00B602BB"/>
    <w:rsid w:val="00B648E1"/>
    <w:rsid w:val="00B65D7A"/>
    <w:rsid w:val="00B65EED"/>
    <w:rsid w:val="00B6774C"/>
    <w:rsid w:val="00B70D13"/>
    <w:rsid w:val="00B71711"/>
    <w:rsid w:val="00B71847"/>
    <w:rsid w:val="00B73099"/>
    <w:rsid w:val="00B752CA"/>
    <w:rsid w:val="00B75393"/>
    <w:rsid w:val="00B8051E"/>
    <w:rsid w:val="00B82261"/>
    <w:rsid w:val="00B82A5D"/>
    <w:rsid w:val="00B85263"/>
    <w:rsid w:val="00B86D87"/>
    <w:rsid w:val="00B931F2"/>
    <w:rsid w:val="00B94F1C"/>
    <w:rsid w:val="00B95EFD"/>
    <w:rsid w:val="00B9610B"/>
    <w:rsid w:val="00B96278"/>
    <w:rsid w:val="00B96723"/>
    <w:rsid w:val="00B97323"/>
    <w:rsid w:val="00B97C55"/>
    <w:rsid w:val="00BA0F41"/>
    <w:rsid w:val="00BA1D93"/>
    <w:rsid w:val="00BA307C"/>
    <w:rsid w:val="00BB323A"/>
    <w:rsid w:val="00BB34B4"/>
    <w:rsid w:val="00BB61D3"/>
    <w:rsid w:val="00BB6C8B"/>
    <w:rsid w:val="00BC236A"/>
    <w:rsid w:val="00BC49C6"/>
    <w:rsid w:val="00BC4D03"/>
    <w:rsid w:val="00BC650D"/>
    <w:rsid w:val="00BC7581"/>
    <w:rsid w:val="00BD1730"/>
    <w:rsid w:val="00BD46CA"/>
    <w:rsid w:val="00BD7295"/>
    <w:rsid w:val="00BD7690"/>
    <w:rsid w:val="00BD7C3C"/>
    <w:rsid w:val="00BE139F"/>
    <w:rsid w:val="00BE3437"/>
    <w:rsid w:val="00BE437C"/>
    <w:rsid w:val="00BE5965"/>
    <w:rsid w:val="00BF123F"/>
    <w:rsid w:val="00BF46E6"/>
    <w:rsid w:val="00BF4A6E"/>
    <w:rsid w:val="00BF5661"/>
    <w:rsid w:val="00BF6681"/>
    <w:rsid w:val="00BF69EA"/>
    <w:rsid w:val="00C02A78"/>
    <w:rsid w:val="00C02FCE"/>
    <w:rsid w:val="00C033B5"/>
    <w:rsid w:val="00C04412"/>
    <w:rsid w:val="00C05979"/>
    <w:rsid w:val="00C1023B"/>
    <w:rsid w:val="00C120CF"/>
    <w:rsid w:val="00C1463C"/>
    <w:rsid w:val="00C15D30"/>
    <w:rsid w:val="00C215F0"/>
    <w:rsid w:val="00C21929"/>
    <w:rsid w:val="00C245D5"/>
    <w:rsid w:val="00C25E50"/>
    <w:rsid w:val="00C27008"/>
    <w:rsid w:val="00C27973"/>
    <w:rsid w:val="00C31051"/>
    <w:rsid w:val="00C31735"/>
    <w:rsid w:val="00C31D16"/>
    <w:rsid w:val="00C31E10"/>
    <w:rsid w:val="00C3398F"/>
    <w:rsid w:val="00C33A8C"/>
    <w:rsid w:val="00C36C31"/>
    <w:rsid w:val="00C37160"/>
    <w:rsid w:val="00C41539"/>
    <w:rsid w:val="00C45105"/>
    <w:rsid w:val="00C46084"/>
    <w:rsid w:val="00C46EC7"/>
    <w:rsid w:val="00C475AA"/>
    <w:rsid w:val="00C52DDA"/>
    <w:rsid w:val="00C52E4C"/>
    <w:rsid w:val="00C534FC"/>
    <w:rsid w:val="00C56FA0"/>
    <w:rsid w:val="00C60665"/>
    <w:rsid w:val="00C60F14"/>
    <w:rsid w:val="00C6370B"/>
    <w:rsid w:val="00C64596"/>
    <w:rsid w:val="00C66E53"/>
    <w:rsid w:val="00C70161"/>
    <w:rsid w:val="00C701DC"/>
    <w:rsid w:val="00C73104"/>
    <w:rsid w:val="00C735F5"/>
    <w:rsid w:val="00C7363F"/>
    <w:rsid w:val="00C762BF"/>
    <w:rsid w:val="00C765C0"/>
    <w:rsid w:val="00C80D13"/>
    <w:rsid w:val="00C82A07"/>
    <w:rsid w:val="00C84BE0"/>
    <w:rsid w:val="00C85BFF"/>
    <w:rsid w:val="00C86E7B"/>
    <w:rsid w:val="00C877E6"/>
    <w:rsid w:val="00C8781E"/>
    <w:rsid w:val="00C87F1A"/>
    <w:rsid w:val="00C9415F"/>
    <w:rsid w:val="00C94960"/>
    <w:rsid w:val="00C95AAF"/>
    <w:rsid w:val="00C95DFA"/>
    <w:rsid w:val="00CA29C3"/>
    <w:rsid w:val="00CA52FA"/>
    <w:rsid w:val="00CB0887"/>
    <w:rsid w:val="00CB0A2E"/>
    <w:rsid w:val="00CB502F"/>
    <w:rsid w:val="00CB5A2B"/>
    <w:rsid w:val="00CC1DEB"/>
    <w:rsid w:val="00CC2ACF"/>
    <w:rsid w:val="00CC4A67"/>
    <w:rsid w:val="00CD034F"/>
    <w:rsid w:val="00CD0831"/>
    <w:rsid w:val="00CD2C2A"/>
    <w:rsid w:val="00CD6609"/>
    <w:rsid w:val="00CD6F61"/>
    <w:rsid w:val="00CD7FBD"/>
    <w:rsid w:val="00CE3CBC"/>
    <w:rsid w:val="00CE3D29"/>
    <w:rsid w:val="00CE4B3E"/>
    <w:rsid w:val="00CE5084"/>
    <w:rsid w:val="00CE6A49"/>
    <w:rsid w:val="00CF03A7"/>
    <w:rsid w:val="00CF32FA"/>
    <w:rsid w:val="00CF51A1"/>
    <w:rsid w:val="00CF695B"/>
    <w:rsid w:val="00D01A0D"/>
    <w:rsid w:val="00D03462"/>
    <w:rsid w:val="00D04579"/>
    <w:rsid w:val="00D111BD"/>
    <w:rsid w:val="00D1195C"/>
    <w:rsid w:val="00D121DF"/>
    <w:rsid w:val="00D173C7"/>
    <w:rsid w:val="00D175BE"/>
    <w:rsid w:val="00D1789B"/>
    <w:rsid w:val="00D17BED"/>
    <w:rsid w:val="00D20140"/>
    <w:rsid w:val="00D20161"/>
    <w:rsid w:val="00D24C70"/>
    <w:rsid w:val="00D25456"/>
    <w:rsid w:val="00D25551"/>
    <w:rsid w:val="00D30B5D"/>
    <w:rsid w:val="00D36CEC"/>
    <w:rsid w:val="00D41CD9"/>
    <w:rsid w:val="00D44D27"/>
    <w:rsid w:val="00D45698"/>
    <w:rsid w:val="00D459AF"/>
    <w:rsid w:val="00D45B34"/>
    <w:rsid w:val="00D46A33"/>
    <w:rsid w:val="00D474FA"/>
    <w:rsid w:val="00D47D9E"/>
    <w:rsid w:val="00D503E5"/>
    <w:rsid w:val="00D53C0F"/>
    <w:rsid w:val="00D54D5F"/>
    <w:rsid w:val="00D5528C"/>
    <w:rsid w:val="00D558E2"/>
    <w:rsid w:val="00D60B8A"/>
    <w:rsid w:val="00D666A9"/>
    <w:rsid w:val="00D666FF"/>
    <w:rsid w:val="00D679FC"/>
    <w:rsid w:val="00D72D11"/>
    <w:rsid w:val="00D74688"/>
    <w:rsid w:val="00D755DE"/>
    <w:rsid w:val="00D7688F"/>
    <w:rsid w:val="00D82597"/>
    <w:rsid w:val="00D830A9"/>
    <w:rsid w:val="00D84372"/>
    <w:rsid w:val="00D86BC3"/>
    <w:rsid w:val="00D909DD"/>
    <w:rsid w:val="00D91540"/>
    <w:rsid w:val="00D94D23"/>
    <w:rsid w:val="00D95988"/>
    <w:rsid w:val="00D96D4E"/>
    <w:rsid w:val="00D971DE"/>
    <w:rsid w:val="00DA2553"/>
    <w:rsid w:val="00DA32ED"/>
    <w:rsid w:val="00DA461A"/>
    <w:rsid w:val="00DA6250"/>
    <w:rsid w:val="00DA6573"/>
    <w:rsid w:val="00DA78CA"/>
    <w:rsid w:val="00DA7FA3"/>
    <w:rsid w:val="00DB1182"/>
    <w:rsid w:val="00DB5578"/>
    <w:rsid w:val="00DB73B7"/>
    <w:rsid w:val="00DC072F"/>
    <w:rsid w:val="00DC0AF1"/>
    <w:rsid w:val="00DC1775"/>
    <w:rsid w:val="00DC22E4"/>
    <w:rsid w:val="00DC55E6"/>
    <w:rsid w:val="00DC6267"/>
    <w:rsid w:val="00DD13F0"/>
    <w:rsid w:val="00DD16C8"/>
    <w:rsid w:val="00DE062B"/>
    <w:rsid w:val="00DE0E95"/>
    <w:rsid w:val="00DE36CF"/>
    <w:rsid w:val="00DE3BFA"/>
    <w:rsid w:val="00DE4188"/>
    <w:rsid w:val="00DE7B80"/>
    <w:rsid w:val="00DF0BE2"/>
    <w:rsid w:val="00DF22A4"/>
    <w:rsid w:val="00DF241C"/>
    <w:rsid w:val="00DF2F16"/>
    <w:rsid w:val="00DF33E9"/>
    <w:rsid w:val="00DF39B9"/>
    <w:rsid w:val="00DF4FB7"/>
    <w:rsid w:val="00E018F6"/>
    <w:rsid w:val="00E01B9D"/>
    <w:rsid w:val="00E06070"/>
    <w:rsid w:val="00E07E69"/>
    <w:rsid w:val="00E122CB"/>
    <w:rsid w:val="00E153D6"/>
    <w:rsid w:val="00E155D7"/>
    <w:rsid w:val="00E211D7"/>
    <w:rsid w:val="00E248A2"/>
    <w:rsid w:val="00E24913"/>
    <w:rsid w:val="00E251FB"/>
    <w:rsid w:val="00E261D4"/>
    <w:rsid w:val="00E26488"/>
    <w:rsid w:val="00E321C4"/>
    <w:rsid w:val="00E347C8"/>
    <w:rsid w:val="00E34A1C"/>
    <w:rsid w:val="00E36F5B"/>
    <w:rsid w:val="00E37CA4"/>
    <w:rsid w:val="00E40F4C"/>
    <w:rsid w:val="00E41D9C"/>
    <w:rsid w:val="00E44B3E"/>
    <w:rsid w:val="00E44B69"/>
    <w:rsid w:val="00E46983"/>
    <w:rsid w:val="00E46E7E"/>
    <w:rsid w:val="00E512CE"/>
    <w:rsid w:val="00E5194F"/>
    <w:rsid w:val="00E52B83"/>
    <w:rsid w:val="00E544A4"/>
    <w:rsid w:val="00E554C1"/>
    <w:rsid w:val="00E56B8C"/>
    <w:rsid w:val="00E56D00"/>
    <w:rsid w:val="00E56FF6"/>
    <w:rsid w:val="00E575D7"/>
    <w:rsid w:val="00E601C5"/>
    <w:rsid w:val="00E60E40"/>
    <w:rsid w:val="00E61558"/>
    <w:rsid w:val="00E61CE0"/>
    <w:rsid w:val="00E61D60"/>
    <w:rsid w:val="00E62626"/>
    <w:rsid w:val="00E62B06"/>
    <w:rsid w:val="00E62DB5"/>
    <w:rsid w:val="00E64AB8"/>
    <w:rsid w:val="00E65288"/>
    <w:rsid w:val="00E66216"/>
    <w:rsid w:val="00E666F1"/>
    <w:rsid w:val="00E71D29"/>
    <w:rsid w:val="00E72609"/>
    <w:rsid w:val="00E72C56"/>
    <w:rsid w:val="00E72E46"/>
    <w:rsid w:val="00E7520C"/>
    <w:rsid w:val="00E75CEE"/>
    <w:rsid w:val="00E81C95"/>
    <w:rsid w:val="00E82961"/>
    <w:rsid w:val="00E82C70"/>
    <w:rsid w:val="00E856EF"/>
    <w:rsid w:val="00E908AD"/>
    <w:rsid w:val="00E93AC9"/>
    <w:rsid w:val="00E93F90"/>
    <w:rsid w:val="00E943A6"/>
    <w:rsid w:val="00E967E5"/>
    <w:rsid w:val="00EA0AED"/>
    <w:rsid w:val="00EA1105"/>
    <w:rsid w:val="00EA2F6A"/>
    <w:rsid w:val="00EA39A0"/>
    <w:rsid w:val="00EA5336"/>
    <w:rsid w:val="00EA5CB0"/>
    <w:rsid w:val="00EB1F46"/>
    <w:rsid w:val="00EB1F74"/>
    <w:rsid w:val="00EB625A"/>
    <w:rsid w:val="00EB6267"/>
    <w:rsid w:val="00EB63B2"/>
    <w:rsid w:val="00EB747C"/>
    <w:rsid w:val="00EC01E4"/>
    <w:rsid w:val="00EC10BC"/>
    <w:rsid w:val="00EC10F7"/>
    <w:rsid w:val="00EC230C"/>
    <w:rsid w:val="00EC24E2"/>
    <w:rsid w:val="00EC4DC4"/>
    <w:rsid w:val="00EC6200"/>
    <w:rsid w:val="00ED1B87"/>
    <w:rsid w:val="00ED250A"/>
    <w:rsid w:val="00ED344B"/>
    <w:rsid w:val="00ED3622"/>
    <w:rsid w:val="00ED6E1F"/>
    <w:rsid w:val="00EE2B7D"/>
    <w:rsid w:val="00EE3943"/>
    <w:rsid w:val="00EE6705"/>
    <w:rsid w:val="00EE6EF4"/>
    <w:rsid w:val="00EE70D5"/>
    <w:rsid w:val="00EF31AF"/>
    <w:rsid w:val="00EF4290"/>
    <w:rsid w:val="00EF7137"/>
    <w:rsid w:val="00EF799A"/>
    <w:rsid w:val="00F0029C"/>
    <w:rsid w:val="00F005FC"/>
    <w:rsid w:val="00F010D6"/>
    <w:rsid w:val="00F01B6A"/>
    <w:rsid w:val="00F025C0"/>
    <w:rsid w:val="00F0269D"/>
    <w:rsid w:val="00F04DB3"/>
    <w:rsid w:val="00F07020"/>
    <w:rsid w:val="00F071E3"/>
    <w:rsid w:val="00F10534"/>
    <w:rsid w:val="00F112FD"/>
    <w:rsid w:val="00F11AF6"/>
    <w:rsid w:val="00F1292A"/>
    <w:rsid w:val="00F129CB"/>
    <w:rsid w:val="00F1728F"/>
    <w:rsid w:val="00F17349"/>
    <w:rsid w:val="00F20909"/>
    <w:rsid w:val="00F21B44"/>
    <w:rsid w:val="00F22469"/>
    <w:rsid w:val="00F23179"/>
    <w:rsid w:val="00F2462F"/>
    <w:rsid w:val="00F246A4"/>
    <w:rsid w:val="00F24B67"/>
    <w:rsid w:val="00F255EA"/>
    <w:rsid w:val="00F258EE"/>
    <w:rsid w:val="00F26823"/>
    <w:rsid w:val="00F32290"/>
    <w:rsid w:val="00F326B2"/>
    <w:rsid w:val="00F32A57"/>
    <w:rsid w:val="00F32AF0"/>
    <w:rsid w:val="00F40656"/>
    <w:rsid w:val="00F410F4"/>
    <w:rsid w:val="00F4221C"/>
    <w:rsid w:val="00F423CD"/>
    <w:rsid w:val="00F4513B"/>
    <w:rsid w:val="00F47C06"/>
    <w:rsid w:val="00F51E9E"/>
    <w:rsid w:val="00F525E9"/>
    <w:rsid w:val="00F5261A"/>
    <w:rsid w:val="00F54711"/>
    <w:rsid w:val="00F57578"/>
    <w:rsid w:val="00F5759E"/>
    <w:rsid w:val="00F6372F"/>
    <w:rsid w:val="00F661B4"/>
    <w:rsid w:val="00F67032"/>
    <w:rsid w:val="00F70FBA"/>
    <w:rsid w:val="00F75E82"/>
    <w:rsid w:val="00F80097"/>
    <w:rsid w:val="00F81A3E"/>
    <w:rsid w:val="00F83839"/>
    <w:rsid w:val="00F8385F"/>
    <w:rsid w:val="00F844A5"/>
    <w:rsid w:val="00F85599"/>
    <w:rsid w:val="00F8575A"/>
    <w:rsid w:val="00F874CF"/>
    <w:rsid w:val="00F90F53"/>
    <w:rsid w:val="00F92682"/>
    <w:rsid w:val="00F93B5D"/>
    <w:rsid w:val="00F94AE3"/>
    <w:rsid w:val="00FA2588"/>
    <w:rsid w:val="00FA25E6"/>
    <w:rsid w:val="00FA2A91"/>
    <w:rsid w:val="00FA34E4"/>
    <w:rsid w:val="00FA3758"/>
    <w:rsid w:val="00FA495C"/>
    <w:rsid w:val="00FA4B38"/>
    <w:rsid w:val="00FA622E"/>
    <w:rsid w:val="00FA69B0"/>
    <w:rsid w:val="00FB12FF"/>
    <w:rsid w:val="00FB144A"/>
    <w:rsid w:val="00FB2C58"/>
    <w:rsid w:val="00FB53EA"/>
    <w:rsid w:val="00FB7E5F"/>
    <w:rsid w:val="00FC1EA1"/>
    <w:rsid w:val="00FC4CB5"/>
    <w:rsid w:val="00FC4F8D"/>
    <w:rsid w:val="00FC6423"/>
    <w:rsid w:val="00FC67EB"/>
    <w:rsid w:val="00FD0193"/>
    <w:rsid w:val="00FD05A0"/>
    <w:rsid w:val="00FD134F"/>
    <w:rsid w:val="00FD24C8"/>
    <w:rsid w:val="00FD4C76"/>
    <w:rsid w:val="00FD53DF"/>
    <w:rsid w:val="00FD6501"/>
    <w:rsid w:val="00FD6ED5"/>
    <w:rsid w:val="00FE09A3"/>
    <w:rsid w:val="00FE33C8"/>
    <w:rsid w:val="00FE519E"/>
    <w:rsid w:val="00FF0AAA"/>
    <w:rsid w:val="00FF47FC"/>
    <w:rsid w:val="00FF7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25C0"/>
    <w:pPr>
      <w:tabs>
        <w:tab w:val="center" w:pos="4513"/>
        <w:tab w:val="right" w:pos="9026"/>
      </w:tabs>
      <w:spacing w:after="0" w:line="240" w:lineRule="auto"/>
    </w:pPr>
  </w:style>
  <w:style w:type="character" w:customStyle="1" w:styleId="GlavaZnak">
    <w:name w:val="Glava Znak"/>
    <w:basedOn w:val="Privzetapisavaodstavka"/>
    <w:link w:val="Glava"/>
    <w:uiPriority w:val="99"/>
    <w:rsid w:val="00F025C0"/>
    <w:rPr>
      <w:lang w:val="sl-SI"/>
    </w:rPr>
  </w:style>
  <w:style w:type="paragraph" w:styleId="Noga">
    <w:name w:val="footer"/>
    <w:basedOn w:val="Navaden"/>
    <w:link w:val="NogaZnak"/>
    <w:uiPriority w:val="99"/>
    <w:unhideWhenUsed/>
    <w:rsid w:val="00F025C0"/>
    <w:pPr>
      <w:tabs>
        <w:tab w:val="center" w:pos="4513"/>
        <w:tab w:val="right" w:pos="9026"/>
      </w:tabs>
      <w:spacing w:after="0" w:line="240" w:lineRule="auto"/>
    </w:pPr>
  </w:style>
  <w:style w:type="character" w:customStyle="1" w:styleId="NogaZnak">
    <w:name w:val="Noga Znak"/>
    <w:basedOn w:val="Privzetapisavaodstavka"/>
    <w:link w:val="Noga"/>
    <w:uiPriority w:val="99"/>
    <w:rsid w:val="00F025C0"/>
    <w:rPr>
      <w:lang w:val="sl-SI"/>
    </w:rPr>
  </w:style>
  <w:style w:type="paragraph" w:styleId="Sprotnaopomba-besedilo">
    <w:name w:val="footnote text"/>
    <w:basedOn w:val="Navaden"/>
    <w:link w:val="Sprotnaopomba-besediloZnak"/>
    <w:uiPriority w:val="99"/>
    <w:semiHidden/>
    <w:unhideWhenUsed/>
    <w:rsid w:val="002C688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C6881"/>
    <w:rPr>
      <w:sz w:val="20"/>
      <w:szCs w:val="20"/>
      <w:lang w:val="sl-SI"/>
    </w:rPr>
  </w:style>
  <w:style w:type="character" w:styleId="Sprotnaopomba-sklic">
    <w:name w:val="footnote reference"/>
    <w:basedOn w:val="Privzetapisavaodstavka"/>
    <w:uiPriority w:val="99"/>
    <w:semiHidden/>
    <w:unhideWhenUsed/>
    <w:rsid w:val="002C6881"/>
    <w:rPr>
      <w:vertAlign w:val="superscript"/>
    </w:rPr>
  </w:style>
  <w:style w:type="paragraph" w:customStyle="1" w:styleId="Default">
    <w:name w:val="Default"/>
    <w:rsid w:val="009E0A5C"/>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EB1F4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1F46"/>
    <w:rPr>
      <w:rFonts w:ascii="Segoe UI" w:hAnsi="Segoe UI" w:cs="Segoe UI"/>
      <w:sz w:val="18"/>
      <w:szCs w:val="18"/>
      <w:lang w:val="sl-SI"/>
    </w:rPr>
  </w:style>
  <w:style w:type="table" w:styleId="Tabelamrea">
    <w:name w:val="Table Grid"/>
    <w:basedOn w:val="Navadnatabela"/>
    <w:uiPriority w:val="39"/>
    <w:rsid w:val="0086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872B5"/>
    <w:pPr>
      <w:ind w:left="720"/>
      <w:contextualSpacing/>
    </w:pPr>
  </w:style>
  <w:style w:type="character" w:styleId="Pripombasklic">
    <w:name w:val="annotation reference"/>
    <w:basedOn w:val="Privzetapisavaodstavka"/>
    <w:uiPriority w:val="99"/>
    <w:semiHidden/>
    <w:unhideWhenUsed/>
    <w:rsid w:val="00697FED"/>
    <w:rPr>
      <w:sz w:val="16"/>
      <w:szCs w:val="16"/>
    </w:rPr>
  </w:style>
  <w:style w:type="paragraph" w:styleId="Pripombabesedilo">
    <w:name w:val="annotation text"/>
    <w:basedOn w:val="Navaden"/>
    <w:link w:val="PripombabesediloZnak"/>
    <w:uiPriority w:val="99"/>
    <w:semiHidden/>
    <w:unhideWhenUsed/>
    <w:rsid w:val="00697F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97FED"/>
    <w:rPr>
      <w:sz w:val="20"/>
      <w:szCs w:val="20"/>
      <w:lang w:val="sl-SI"/>
    </w:rPr>
  </w:style>
  <w:style w:type="paragraph" w:styleId="Zadevapripombe">
    <w:name w:val="annotation subject"/>
    <w:basedOn w:val="Pripombabesedilo"/>
    <w:next w:val="Pripombabesedilo"/>
    <w:link w:val="ZadevapripombeZnak"/>
    <w:uiPriority w:val="99"/>
    <w:semiHidden/>
    <w:unhideWhenUsed/>
    <w:rsid w:val="00697FED"/>
    <w:rPr>
      <w:b/>
      <w:bCs/>
    </w:rPr>
  </w:style>
  <w:style w:type="character" w:customStyle="1" w:styleId="ZadevapripombeZnak">
    <w:name w:val="Zadeva pripombe Znak"/>
    <w:basedOn w:val="PripombabesediloZnak"/>
    <w:link w:val="Zadevapripombe"/>
    <w:uiPriority w:val="99"/>
    <w:semiHidden/>
    <w:rsid w:val="00697FED"/>
    <w:rPr>
      <w:b/>
      <w:bCs/>
      <w:sz w:val="20"/>
      <w:szCs w:val="20"/>
      <w:lang w:val="sl-SI"/>
    </w:rPr>
  </w:style>
  <w:style w:type="paragraph" w:customStyle="1" w:styleId="doc-ti">
    <w:name w:val="doc-ti"/>
    <w:basedOn w:val="Navaden"/>
    <w:rsid w:val="002564A0"/>
    <w:pPr>
      <w:spacing w:before="100" w:beforeAutospacing="1" w:after="100" w:afterAutospacing="1" w:line="240" w:lineRule="auto"/>
    </w:pPr>
    <w:rPr>
      <w:rFonts w:ascii="Times New Roman" w:eastAsia="Times New Roman" w:hAnsi="Times New Roman" w:cs="Times New Roman"/>
      <w:sz w:val="24"/>
      <w:szCs w:val="24"/>
    </w:rPr>
  </w:style>
  <w:style w:type="character" w:styleId="Intenzivenpoudarek">
    <w:name w:val="Intense Emphasis"/>
    <w:basedOn w:val="Privzetapisavaodstavka"/>
    <w:uiPriority w:val="21"/>
    <w:qFormat/>
    <w:rsid w:val="002E58CC"/>
    <w:rPr>
      <w:i/>
      <w:iCs/>
      <w:color w:val="4472C4" w:themeColor="accent1"/>
    </w:rPr>
  </w:style>
  <w:style w:type="paragraph" w:styleId="Navadensplet">
    <w:name w:val="Normal (Web)"/>
    <w:basedOn w:val="Navaden"/>
    <w:uiPriority w:val="99"/>
    <w:semiHidden/>
    <w:unhideWhenUsed/>
    <w:rsid w:val="002E58CC"/>
    <w:pPr>
      <w:spacing w:before="100" w:beforeAutospacing="1" w:after="120"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242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25C0"/>
    <w:pPr>
      <w:tabs>
        <w:tab w:val="center" w:pos="4513"/>
        <w:tab w:val="right" w:pos="9026"/>
      </w:tabs>
      <w:spacing w:after="0" w:line="240" w:lineRule="auto"/>
    </w:pPr>
  </w:style>
  <w:style w:type="character" w:customStyle="1" w:styleId="GlavaZnak">
    <w:name w:val="Glava Znak"/>
    <w:basedOn w:val="Privzetapisavaodstavka"/>
    <w:link w:val="Glava"/>
    <w:uiPriority w:val="99"/>
    <w:rsid w:val="00F025C0"/>
    <w:rPr>
      <w:lang w:val="sl-SI"/>
    </w:rPr>
  </w:style>
  <w:style w:type="paragraph" w:styleId="Noga">
    <w:name w:val="footer"/>
    <w:basedOn w:val="Navaden"/>
    <w:link w:val="NogaZnak"/>
    <w:uiPriority w:val="99"/>
    <w:unhideWhenUsed/>
    <w:rsid w:val="00F025C0"/>
    <w:pPr>
      <w:tabs>
        <w:tab w:val="center" w:pos="4513"/>
        <w:tab w:val="right" w:pos="9026"/>
      </w:tabs>
      <w:spacing w:after="0" w:line="240" w:lineRule="auto"/>
    </w:pPr>
  </w:style>
  <w:style w:type="character" w:customStyle="1" w:styleId="NogaZnak">
    <w:name w:val="Noga Znak"/>
    <w:basedOn w:val="Privzetapisavaodstavka"/>
    <w:link w:val="Noga"/>
    <w:uiPriority w:val="99"/>
    <w:rsid w:val="00F025C0"/>
    <w:rPr>
      <w:lang w:val="sl-SI"/>
    </w:rPr>
  </w:style>
  <w:style w:type="paragraph" w:styleId="Sprotnaopomba-besedilo">
    <w:name w:val="footnote text"/>
    <w:basedOn w:val="Navaden"/>
    <w:link w:val="Sprotnaopomba-besediloZnak"/>
    <w:uiPriority w:val="99"/>
    <w:semiHidden/>
    <w:unhideWhenUsed/>
    <w:rsid w:val="002C688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C6881"/>
    <w:rPr>
      <w:sz w:val="20"/>
      <w:szCs w:val="20"/>
      <w:lang w:val="sl-SI"/>
    </w:rPr>
  </w:style>
  <w:style w:type="character" w:styleId="Sprotnaopomba-sklic">
    <w:name w:val="footnote reference"/>
    <w:basedOn w:val="Privzetapisavaodstavka"/>
    <w:uiPriority w:val="99"/>
    <w:semiHidden/>
    <w:unhideWhenUsed/>
    <w:rsid w:val="002C6881"/>
    <w:rPr>
      <w:vertAlign w:val="superscript"/>
    </w:rPr>
  </w:style>
  <w:style w:type="paragraph" w:customStyle="1" w:styleId="Default">
    <w:name w:val="Default"/>
    <w:rsid w:val="009E0A5C"/>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EB1F4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1F46"/>
    <w:rPr>
      <w:rFonts w:ascii="Segoe UI" w:hAnsi="Segoe UI" w:cs="Segoe UI"/>
      <w:sz w:val="18"/>
      <w:szCs w:val="18"/>
      <w:lang w:val="sl-SI"/>
    </w:rPr>
  </w:style>
  <w:style w:type="table" w:styleId="Tabelamrea">
    <w:name w:val="Table Grid"/>
    <w:basedOn w:val="Navadnatabela"/>
    <w:uiPriority w:val="39"/>
    <w:rsid w:val="0086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872B5"/>
    <w:pPr>
      <w:ind w:left="720"/>
      <w:contextualSpacing/>
    </w:pPr>
  </w:style>
  <w:style w:type="character" w:styleId="Pripombasklic">
    <w:name w:val="annotation reference"/>
    <w:basedOn w:val="Privzetapisavaodstavka"/>
    <w:uiPriority w:val="99"/>
    <w:semiHidden/>
    <w:unhideWhenUsed/>
    <w:rsid w:val="00697FED"/>
    <w:rPr>
      <w:sz w:val="16"/>
      <w:szCs w:val="16"/>
    </w:rPr>
  </w:style>
  <w:style w:type="paragraph" w:styleId="Pripombabesedilo">
    <w:name w:val="annotation text"/>
    <w:basedOn w:val="Navaden"/>
    <w:link w:val="PripombabesediloZnak"/>
    <w:uiPriority w:val="99"/>
    <w:semiHidden/>
    <w:unhideWhenUsed/>
    <w:rsid w:val="00697F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97FED"/>
    <w:rPr>
      <w:sz w:val="20"/>
      <w:szCs w:val="20"/>
      <w:lang w:val="sl-SI"/>
    </w:rPr>
  </w:style>
  <w:style w:type="paragraph" w:styleId="Zadevapripombe">
    <w:name w:val="annotation subject"/>
    <w:basedOn w:val="Pripombabesedilo"/>
    <w:next w:val="Pripombabesedilo"/>
    <w:link w:val="ZadevapripombeZnak"/>
    <w:uiPriority w:val="99"/>
    <w:semiHidden/>
    <w:unhideWhenUsed/>
    <w:rsid w:val="00697FED"/>
    <w:rPr>
      <w:b/>
      <w:bCs/>
    </w:rPr>
  </w:style>
  <w:style w:type="character" w:customStyle="1" w:styleId="ZadevapripombeZnak">
    <w:name w:val="Zadeva pripombe Znak"/>
    <w:basedOn w:val="PripombabesediloZnak"/>
    <w:link w:val="Zadevapripombe"/>
    <w:uiPriority w:val="99"/>
    <w:semiHidden/>
    <w:rsid w:val="00697FED"/>
    <w:rPr>
      <w:b/>
      <w:bCs/>
      <w:sz w:val="20"/>
      <w:szCs w:val="20"/>
      <w:lang w:val="sl-SI"/>
    </w:rPr>
  </w:style>
  <w:style w:type="paragraph" w:customStyle="1" w:styleId="doc-ti">
    <w:name w:val="doc-ti"/>
    <w:basedOn w:val="Navaden"/>
    <w:rsid w:val="002564A0"/>
    <w:pPr>
      <w:spacing w:before="100" w:beforeAutospacing="1" w:after="100" w:afterAutospacing="1" w:line="240" w:lineRule="auto"/>
    </w:pPr>
    <w:rPr>
      <w:rFonts w:ascii="Times New Roman" w:eastAsia="Times New Roman" w:hAnsi="Times New Roman" w:cs="Times New Roman"/>
      <w:sz w:val="24"/>
      <w:szCs w:val="24"/>
    </w:rPr>
  </w:style>
  <w:style w:type="character" w:styleId="Intenzivenpoudarek">
    <w:name w:val="Intense Emphasis"/>
    <w:basedOn w:val="Privzetapisavaodstavka"/>
    <w:uiPriority w:val="21"/>
    <w:qFormat/>
    <w:rsid w:val="002E58CC"/>
    <w:rPr>
      <w:i/>
      <w:iCs/>
      <w:color w:val="4472C4" w:themeColor="accent1"/>
    </w:rPr>
  </w:style>
  <w:style w:type="paragraph" w:styleId="Navadensplet">
    <w:name w:val="Normal (Web)"/>
    <w:basedOn w:val="Navaden"/>
    <w:uiPriority w:val="99"/>
    <w:semiHidden/>
    <w:unhideWhenUsed/>
    <w:rsid w:val="002E58CC"/>
    <w:pPr>
      <w:spacing w:before="100" w:beforeAutospacing="1" w:after="120"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24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4323">
      <w:bodyDiv w:val="1"/>
      <w:marLeft w:val="0"/>
      <w:marRight w:val="0"/>
      <w:marTop w:val="0"/>
      <w:marBottom w:val="0"/>
      <w:divBdr>
        <w:top w:val="none" w:sz="0" w:space="0" w:color="auto"/>
        <w:left w:val="none" w:sz="0" w:space="0" w:color="auto"/>
        <w:bottom w:val="none" w:sz="0" w:space="0" w:color="auto"/>
        <w:right w:val="none" w:sz="0" w:space="0" w:color="auto"/>
      </w:divBdr>
    </w:div>
    <w:div w:id="891770834">
      <w:bodyDiv w:val="1"/>
      <w:marLeft w:val="0"/>
      <w:marRight w:val="0"/>
      <w:marTop w:val="0"/>
      <w:marBottom w:val="0"/>
      <w:divBdr>
        <w:top w:val="none" w:sz="0" w:space="0" w:color="auto"/>
        <w:left w:val="none" w:sz="0" w:space="0" w:color="auto"/>
        <w:bottom w:val="none" w:sz="0" w:space="0" w:color="auto"/>
        <w:right w:val="none" w:sz="0" w:space="0" w:color="auto"/>
      </w:divBdr>
    </w:div>
    <w:div w:id="1395004381">
      <w:bodyDiv w:val="1"/>
      <w:marLeft w:val="0"/>
      <w:marRight w:val="0"/>
      <w:marTop w:val="0"/>
      <w:marBottom w:val="0"/>
      <w:divBdr>
        <w:top w:val="none" w:sz="0" w:space="0" w:color="auto"/>
        <w:left w:val="none" w:sz="0" w:space="0" w:color="auto"/>
        <w:bottom w:val="none" w:sz="0" w:space="0" w:color="auto"/>
        <w:right w:val="none" w:sz="0" w:space="0" w:color="auto"/>
      </w:divBdr>
      <w:divsChild>
        <w:div w:id="1414820407">
          <w:marLeft w:val="0"/>
          <w:marRight w:val="0"/>
          <w:marTop w:val="0"/>
          <w:marBottom w:val="0"/>
          <w:divBdr>
            <w:top w:val="none" w:sz="0" w:space="0" w:color="auto"/>
            <w:left w:val="none" w:sz="0" w:space="0" w:color="auto"/>
            <w:bottom w:val="none" w:sz="0" w:space="0" w:color="auto"/>
            <w:right w:val="none" w:sz="0" w:space="0" w:color="auto"/>
          </w:divBdr>
          <w:divsChild>
            <w:div w:id="453407583">
              <w:marLeft w:val="0"/>
              <w:marRight w:val="0"/>
              <w:marTop w:val="0"/>
              <w:marBottom w:val="0"/>
              <w:divBdr>
                <w:top w:val="none" w:sz="0" w:space="0" w:color="auto"/>
                <w:left w:val="none" w:sz="0" w:space="0" w:color="auto"/>
                <w:bottom w:val="none" w:sz="0" w:space="0" w:color="auto"/>
                <w:right w:val="none" w:sz="0" w:space="0" w:color="auto"/>
              </w:divBdr>
            </w:div>
            <w:div w:id="1038119721">
              <w:marLeft w:val="0"/>
              <w:marRight w:val="0"/>
              <w:marTop w:val="0"/>
              <w:marBottom w:val="0"/>
              <w:divBdr>
                <w:top w:val="none" w:sz="0" w:space="0" w:color="auto"/>
                <w:left w:val="none" w:sz="0" w:space="0" w:color="auto"/>
                <w:bottom w:val="none" w:sz="0" w:space="0" w:color="auto"/>
                <w:right w:val="none" w:sz="0" w:space="0" w:color="auto"/>
              </w:divBdr>
            </w:div>
            <w:div w:id="4041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3D97-1950-4191-A3E4-CD7859E2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35</Pages>
  <Words>15649</Words>
  <Characters>89204</Characters>
  <Application>Microsoft Office Word</Application>
  <DocSecurity>0</DocSecurity>
  <Lines>743</Lines>
  <Paragraphs>209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104644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 Pitako</cp:lastModifiedBy>
  <cp:revision>16</cp:revision>
  <cp:lastPrinted>2020-07-06T11:04:00Z</cp:lastPrinted>
  <dcterms:created xsi:type="dcterms:W3CDTF">2020-08-11T12:17:00Z</dcterms:created>
  <dcterms:modified xsi:type="dcterms:W3CDTF">2020-08-28T09:46:00Z</dcterms:modified>
</cp:coreProperties>
</file>