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12" w:rsidRDefault="00913D2E" w:rsidP="00037412">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292/20.&#10;Subject Codes: COHAFA 21 RELEX 368 DEVGEN 54 FIN 314 CADREFIN 98 CODEC 436 ACP 39 PROCIV 33.&#10;Heading: SPREMNI DOPIS.&#10;Originator: za generalno sekretarko Evropske komisije: direktor Jordi AYET PUIGARNAU.&#10;Recipient: generalni sekretar Sveta Evropske unije Jeppe TRANHOLM-MIKKELSEN.&#10;Subject: Predlog UREDBE EVROPSKEGA PARLAMENTA IN SVETA o spremembi Uredbe (ES) št. 1257/96 z dne 20. junija 1996 o humanitarni pomoči.&#10;Commission Document Number: COM(2020) 461 final.&#10;Preceeding Document Number: Not Set.&#10;Location: Bruselj.&#10;Date: 29. maj 2020.&#10;Interinstitutional Files: 2020/0110 (COD).&#10;Institutional Framework: Svet Evropske unije.&#10;Language: SL.&#10;Distribution Code: PUBLIC.&#10;GUID: 4959327531912737428_0" style="width:568.8pt;height:423.9pt">
            <v:imagedata r:id="rId11" o:title=""/>
          </v:shape>
        </w:pict>
      </w:r>
      <w:bookmarkEnd w:id="0"/>
    </w:p>
    <w:p w:rsidR="00037412" w:rsidRDefault="00037412" w:rsidP="00037412">
      <w:pPr>
        <w:pStyle w:val="EntText"/>
        <w:spacing w:before="480"/>
      </w:pPr>
      <w:r w:rsidRPr="00037412">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037412">
        <w:instrText>COM(2020) 461 final</w:instrText>
      </w:r>
      <w:r>
        <w:instrText xml:space="preserve">" </w:instrText>
      </w:r>
      <w:r>
        <w:fldChar w:fldCharType="separate"/>
      </w:r>
      <w:r w:rsidRPr="00037412">
        <w:t>COM(2020) 461 final</w:t>
      </w:r>
      <w:r>
        <w:fldChar w:fldCharType="end"/>
      </w:r>
      <w:r w:rsidRPr="00037412">
        <w:t>.</w:t>
      </w:r>
    </w:p>
    <w:p w:rsidR="00037412" w:rsidRDefault="00037412" w:rsidP="00037412">
      <w:pPr>
        <w:pStyle w:val="Lignefinal"/>
      </w:pPr>
    </w:p>
    <w:p w:rsidR="00037412" w:rsidRDefault="00037412" w:rsidP="00037412">
      <w:pPr>
        <w:pStyle w:val="pj"/>
        <w:spacing w:before="120"/>
      </w:pPr>
      <w:r w:rsidRPr="00037412">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037412">
        <w:instrText>COM(2020) 461 final</w:instrText>
      </w:r>
      <w:r>
        <w:instrText xml:space="preserve">" </w:instrText>
      </w:r>
      <w:r>
        <w:fldChar w:fldCharType="separate"/>
      </w:r>
      <w:r w:rsidRPr="00037412">
        <w:t>COM(2020) 461 final</w:t>
      </w:r>
      <w:r>
        <w:fldChar w:fldCharType="end"/>
      </w:r>
    </w:p>
    <w:p w:rsidR="00037412" w:rsidRDefault="00037412" w:rsidP="00037412">
      <w:pPr>
        <w:rPr>
          <w:noProof/>
        </w:rPr>
        <w:sectPr w:rsidR="00037412" w:rsidSect="00037412">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rsidR="00CA2D7D" w:rsidRDefault="00913D2E">
      <w:pPr>
        <w:pStyle w:val="Pagedecouverture"/>
        <w:rPr>
          <w:noProof/>
        </w:rPr>
      </w:pPr>
      <w:r>
        <w:rPr>
          <w:noProof/>
        </w:rPr>
        <w:lastRenderedPageBreak/>
        <w:pict>
          <v:shape id="_x0000_i1026" type="#_x0000_t75" alt="8A525082-A1E8-4A63-9E17-5796EEE8DB65" style="width:450.9pt;height:337.5pt">
            <v:imagedata r:id="rId18" o:title=""/>
          </v:shape>
        </w:pict>
      </w:r>
    </w:p>
    <w:p w:rsidR="00CA2D7D" w:rsidRDefault="00CA2D7D">
      <w:pPr>
        <w:rPr>
          <w:noProof/>
        </w:rPr>
        <w:sectPr w:rsidR="00CA2D7D">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rsidR="00CA2D7D" w:rsidRDefault="00037412">
      <w:pPr>
        <w:pStyle w:val="Exposdesmotifstitre"/>
        <w:rPr>
          <w:noProof/>
        </w:rPr>
      </w:pPr>
      <w:r>
        <w:rPr>
          <w:noProof/>
        </w:rPr>
        <w:lastRenderedPageBreak/>
        <w:t>OBRAZLOŽITVENI MEMORANDUM</w:t>
      </w:r>
    </w:p>
    <w:p w:rsidR="00CA2D7D" w:rsidRDefault="00037412">
      <w:pPr>
        <w:pStyle w:val="ManualHeading1"/>
        <w:rPr>
          <w:noProof/>
        </w:rPr>
      </w:pPr>
      <w:r>
        <w:rPr>
          <w:noProof/>
        </w:rPr>
        <w:t>1.</w:t>
      </w:r>
      <w:r>
        <w:rPr>
          <w:noProof/>
        </w:rPr>
        <w:tab/>
        <w:t>OZADJE PREDLOGA</w:t>
      </w:r>
    </w:p>
    <w:p w:rsidR="00CA2D7D" w:rsidRDefault="00037412">
      <w:pPr>
        <w:pBdr>
          <w:top w:val="nil"/>
          <w:left w:val="nil"/>
          <w:bottom w:val="nil"/>
          <w:right w:val="nil"/>
          <w:between w:val="nil"/>
          <w:bar w:val="nil"/>
        </w:pBdr>
        <w:spacing w:before="0" w:after="240"/>
        <w:rPr>
          <w:rFonts w:eastAsia="Arial Unicode MS"/>
          <w:noProof/>
        </w:rPr>
      </w:pPr>
      <w:r>
        <w:rPr>
          <w:noProof/>
        </w:rPr>
        <w:t>Svetovna zdravstvena organizacija (WHO) je 11. marca 2020 izbruh COVID-19 razglasila za pandemijo. Od takrat države po svetu sprejemajo izredne ukrepe kot odziv na izbruh in za njegovo zajezitev.</w:t>
      </w:r>
    </w:p>
    <w:p w:rsidR="00CA2D7D" w:rsidRDefault="00037412">
      <w:pPr>
        <w:pBdr>
          <w:top w:val="nil"/>
          <w:left w:val="nil"/>
          <w:bottom w:val="nil"/>
          <w:right w:val="nil"/>
          <w:between w:val="nil"/>
          <w:bar w:val="nil"/>
        </w:pBdr>
        <w:spacing w:before="0" w:after="240"/>
        <w:rPr>
          <w:rFonts w:eastAsia="Arial Unicode MS"/>
          <w:noProof/>
        </w:rPr>
      </w:pPr>
      <w:r>
        <w:rPr>
          <w:noProof/>
        </w:rPr>
        <w:t xml:space="preserve">Kriza zaradi pandemije COVID-19 močno vpliva na družbe po svetu in je najprej prizadela zdravstvene sisteme, nato pa privedla do hudih družbenih in gospodarskih posledic svetovnih razsežnosti. To predstavlja velik izziv za tretje države, ki imajo šibke institucije in/ali se soočajo s konflikti ali drugimi krizami, kot so naravne nesreče. Posebej so tveganju lahko izpostavljene ranljive skupine, vključno z begunci in razseljenimi osebami. Odzivna strategija Unije bi morala biti celovita, skladna in povezana, obravnavati javno zdravje in socialno-ekonomske izzive ter se odzvati na takojšnje humanitarne potrebe, ki jih je povzročila ali poslabšala pandemija. </w:t>
      </w:r>
    </w:p>
    <w:p w:rsidR="00CA2D7D" w:rsidRDefault="00037412">
      <w:pPr>
        <w:pBdr>
          <w:top w:val="nil"/>
          <w:left w:val="nil"/>
          <w:bottom w:val="nil"/>
          <w:right w:val="nil"/>
          <w:between w:val="nil"/>
          <w:bar w:val="nil"/>
        </w:pBdr>
        <w:spacing w:before="0" w:after="240"/>
        <w:rPr>
          <w:rFonts w:eastAsia="Arial Unicode MS"/>
          <w:noProof/>
        </w:rPr>
      </w:pPr>
      <w:r>
        <w:rPr>
          <w:noProof/>
        </w:rPr>
        <w:t xml:space="preserve">Ta izredna situacija zahteva usklajen in enoten pristop na ravni Unije. Zato so potrebne znatne količine javnih in zasebnih naložb, da bi našli rešitve za izzive zaradi izbruha COVID-19. </w:t>
      </w:r>
    </w:p>
    <w:p w:rsidR="00CA2D7D" w:rsidRDefault="00037412">
      <w:pPr>
        <w:pBdr>
          <w:top w:val="nil"/>
          <w:left w:val="nil"/>
          <w:bottom w:val="nil"/>
          <w:right w:val="nil"/>
          <w:between w:val="nil"/>
          <w:bar w:val="nil"/>
        </w:pBdr>
        <w:spacing w:before="0" w:after="240"/>
        <w:rPr>
          <w:rFonts w:eastAsia="Arial Unicode MS"/>
          <w:noProof/>
        </w:rPr>
      </w:pPr>
      <w:r>
        <w:rPr>
          <w:noProof/>
        </w:rPr>
        <w:t xml:space="preserve">Komisija zato predlaga ambiciozen sveženj, ki vključuje predlog za vzpostavitev evropskega instrumenta za okrevanje. Poleg podpore za gospodarstva tako znotraj EU kot tudi v tretjih državah bi moral instrument okrepiti tudi humanitarno pomoč EU in podpreti krepitev zmogljivosti, da bi se v prihodnje izboljšala preprečevanje kriz in pripravljenost nanje. </w:t>
      </w:r>
    </w:p>
    <w:p w:rsidR="00CA2D7D" w:rsidRDefault="00037412">
      <w:pPr>
        <w:pBdr>
          <w:top w:val="nil"/>
          <w:left w:val="nil"/>
          <w:bottom w:val="nil"/>
          <w:right w:val="nil"/>
          <w:between w:val="nil"/>
          <w:bar w:val="nil"/>
        </w:pBdr>
        <w:spacing w:before="0" w:after="240"/>
        <w:rPr>
          <w:rFonts w:eastAsia="Arial Unicode MS"/>
          <w:noProof/>
        </w:rPr>
      </w:pPr>
      <w:r>
        <w:rPr>
          <w:noProof/>
        </w:rPr>
        <w:t xml:space="preserve">Predlaga se, da se navedeni ukrepi izvajajo v okviru posebnih instrumentov in programov Unije v skladu z ustreznimi akti Unije, ki določajo pravila za te instrumente in programe. </w:t>
      </w:r>
    </w:p>
    <w:p w:rsidR="00CA2D7D" w:rsidRDefault="00037412">
      <w:pPr>
        <w:autoSpaceDE w:val="0"/>
        <w:autoSpaceDN w:val="0"/>
        <w:adjustRightInd w:val="0"/>
        <w:spacing w:before="0" w:after="0"/>
        <w:rPr>
          <w:rFonts w:eastAsia="Arial Unicode MS"/>
          <w:bCs/>
          <w:noProof/>
        </w:rPr>
      </w:pPr>
      <w:r>
        <w:rPr>
          <w:noProof/>
        </w:rPr>
        <w:t>Zato je treba omogočiti izvajanje navedenih ukrepov prek izvedbenih mehanizmov v skladu z Uredbo Sveta (ES) št. 1275/96 z dne 20. junija 1996 o humanitarni pomoči.</w:t>
      </w:r>
    </w:p>
    <w:p w:rsidR="00CA2D7D" w:rsidRDefault="00CA2D7D">
      <w:pPr>
        <w:autoSpaceDE w:val="0"/>
        <w:autoSpaceDN w:val="0"/>
        <w:adjustRightInd w:val="0"/>
        <w:spacing w:before="0" w:after="0"/>
        <w:jc w:val="left"/>
        <w:rPr>
          <w:rFonts w:eastAsia="Arial Unicode MS"/>
          <w:bCs/>
          <w:noProof/>
        </w:rPr>
      </w:pPr>
    </w:p>
    <w:p w:rsidR="00CA2D7D" w:rsidRDefault="00037412">
      <w:pPr>
        <w:pStyle w:val="ManualHeading1"/>
        <w:rPr>
          <w:noProof/>
        </w:rPr>
      </w:pPr>
      <w:r>
        <w:rPr>
          <w:noProof/>
        </w:rPr>
        <w:t>2.</w:t>
      </w:r>
      <w:r>
        <w:rPr>
          <w:noProof/>
        </w:rPr>
        <w:tab/>
        <w:t>PRAVNA PODLAGA, SUBSIDIARNOST IN SORAZMERNOST</w:t>
      </w:r>
    </w:p>
    <w:p w:rsidR="00CA2D7D" w:rsidRDefault="00037412">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rsidR="00CA2D7D" w:rsidRDefault="00037412">
      <w:pPr>
        <w:autoSpaceDE w:val="0"/>
        <w:autoSpaceDN w:val="0"/>
        <w:adjustRightInd w:val="0"/>
        <w:spacing w:before="0" w:after="0"/>
        <w:rPr>
          <w:rFonts w:eastAsia="Arial Unicode MS"/>
          <w:noProof/>
        </w:rPr>
      </w:pPr>
      <w:r>
        <w:rPr>
          <w:noProof/>
        </w:rPr>
        <w:t xml:space="preserve">Ukrepanje EU upravičuje člen 214(3) Pogodbe o delovanju Evropske unije. </w:t>
      </w:r>
    </w:p>
    <w:p w:rsidR="00CA2D7D" w:rsidRDefault="00CA2D7D">
      <w:pPr>
        <w:autoSpaceDE w:val="0"/>
        <w:autoSpaceDN w:val="0"/>
        <w:adjustRightInd w:val="0"/>
        <w:spacing w:before="0" w:after="0"/>
        <w:jc w:val="left"/>
        <w:rPr>
          <w:rFonts w:eastAsia="Arial Unicode MS"/>
          <w:noProof/>
        </w:rPr>
      </w:pPr>
    </w:p>
    <w:p w:rsidR="00CA2D7D" w:rsidRDefault="00037412">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Subsidiarnost in sorazmernost </w:t>
      </w:r>
    </w:p>
    <w:p w:rsidR="00CA2D7D" w:rsidRDefault="00037412">
      <w:pPr>
        <w:pBdr>
          <w:top w:val="nil"/>
          <w:left w:val="nil"/>
          <w:bottom w:val="nil"/>
          <w:right w:val="nil"/>
          <w:between w:val="nil"/>
          <w:bar w:val="nil"/>
        </w:pBdr>
        <w:spacing w:before="0" w:after="240"/>
        <w:rPr>
          <w:rFonts w:eastAsia="Arial Unicode MS"/>
          <w:noProof/>
        </w:rPr>
      </w:pPr>
      <w:r>
        <w:rPr>
          <w:noProof/>
        </w:rPr>
        <w:t>Obrazložitveni memorandum predloga uredbe o vzpostavitvi evropskega instrumenta za okrevanje podrobno opredeljuje načela subsidiarnosti in sorazmernosti.</w:t>
      </w:r>
    </w:p>
    <w:p w:rsidR="00CA2D7D" w:rsidRDefault="00037412">
      <w:pPr>
        <w:pStyle w:val="ManualHeading2"/>
        <w:rPr>
          <w:rFonts w:eastAsia="Arial Unicode MS"/>
          <w:noProof/>
          <w:u w:color="000000"/>
          <w:bdr w:val="nil"/>
        </w:rPr>
      </w:pPr>
      <w:r>
        <w:rPr>
          <w:noProof/>
          <w:u w:color="000000"/>
          <w:bdr w:val="nil"/>
        </w:rPr>
        <w:t>•</w:t>
      </w:r>
      <w:r>
        <w:rPr>
          <w:noProof/>
        </w:rPr>
        <w:tab/>
      </w:r>
      <w:r>
        <w:rPr>
          <w:noProof/>
          <w:u w:color="000000"/>
          <w:bdr w:val="nil"/>
        </w:rPr>
        <w:t>Izbira instrumenta</w:t>
      </w:r>
    </w:p>
    <w:p w:rsidR="00CA2D7D" w:rsidRDefault="00037412">
      <w:pPr>
        <w:autoSpaceDE w:val="0"/>
        <w:autoSpaceDN w:val="0"/>
        <w:adjustRightInd w:val="0"/>
        <w:spacing w:before="0" w:after="0"/>
        <w:rPr>
          <w:rFonts w:eastAsia="Arial Unicode MS"/>
          <w:bCs/>
          <w:noProof/>
        </w:rPr>
      </w:pPr>
      <w:r>
        <w:rPr>
          <w:noProof/>
        </w:rPr>
        <w:t>Ta uredba spreminja Uredbo Sveta (ES) št. 1257/95 z dne 20. junija 1996 o humanitarni pomoči.</w:t>
      </w:r>
    </w:p>
    <w:p w:rsidR="00CA2D7D" w:rsidRDefault="00CA2D7D">
      <w:pPr>
        <w:pBdr>
          <w:top w:val="nil"/>
          <w:left w:val="nil"/>
          <w:bottom w:val="nil"/>
          <w:right w:val="nil"/>
          <w:between w:val="nil"/>
          <w:bar w:val="nil"/>
        </w:pBdr>
        <w:spacing w:before="0" w:after="240"/>
        <w:rPr>
          <w:rFonts w:eastAsia="Arial Unicode MS"/>
          <w:noProof/>
        </w:rPr>
      </w:pPr>
    </w:p>
    <w:p w:rsidR="00CA2D7D" w:rsidRDefault="00037412">
      <w:pPr>
        <w:pStyle w:val="ManualHeading1"/>
        <w:rPr>
          <w:noProof/>
        </w:rPr>
      </w:pPr>
      <w:r>
        <w:rPr>
          <w:noProof/>
        </w:rPr>
        <w:lastRenderedPageBreak/>
        <w:t>3.</w:t>
      </w:r>
      <w:r>
        <w:rPr>
          <w:noProof/>
        </w:rPr>
        <w:tab/>
        <w:t>REZULTATI NAKNADNIH VREDNOTENJ, POSVETOVANJ Z ZAINTERESIRANIMI STRANMI IN OCEN UČINKA</w:t>
      </w:r>
    </w:p>
    <w:p w:rsidR="00CA2D7D" w:rsidRDefault="00037412">
      <w:pPr>
        <w:pStyle w:val="ManualHeading2"/>
        <w:rPr>
          <w:rFonts w:eastAsia="Arial Unicode MS"/>
          <w:noProof/>
          <w:u w:color="000000"/>
          <w:bdr w:val="nil"/>
        </w:rPr>
      </w:pPr>
      <w:r>
        <w:rPr>
          <w:noProof/>
          <w:u w:color="000000"/>
          <w:bdr w:val="nil"/>
        </w:rPr>
        <w:t>•</w:t>
      </w:r>
      <w:r>
        <w:rPr>
          <w:noProof/>
        </w:rPr>
        <w:tab/>
      </w:r>
      <w:r>
        <w:rPr>
          <w:noProof/>
          <w:u w:color="000000"/>
          <w:bdr w:val="nil"/>
        </w:rPr>
        <w:t>Posvetovanja z zainteresiranimi stranmi</w:t>
      </w:r>
    </w:p>
    <w:p w:rsidR="00CA2D7D" w:rsidRDefault="00037412">
      <w:pPr>
        <w:pStyle w:val="ManualHeading2"/>
        <w:tabs>
          <w:tab w:val="clear" w:pos="850"/>
          <w:tab w:val="left" w:pos="0"/>
        </w:tabs>
        <w:ind w:left="0" w:firstLine="0"/>
        <w:rPr>
          <w:rFonts w:eastAsia="Arial Unicode MS"/>
          <w:b w:val="0"/>
          <w:noProof/>
          <w:u w:color="000000"/>
          <w:bdr w:val="nil"/>
        </w:rPr>
      </w:pPr>
      <w:r>
        <w:rPr>
          <w:b w:val="0"/>
          <w:noProof/>
        </w:rPr>
        <w:t xml:space="preserve"> Dodatne informacije so v Prilogi 8 delovnega dokumenta služb Komisije SWD (2018) 337 final</w:t>
      </w:r>
      <w:r>
        <w:rPr>
          <w:rStyle w:val="FootnoteReference"/>
          <w:b w:val="0"/>
          <w:noProof/>
          <w:lang w:eastAsia="en-GB"/>
        </w:rPr>
        <w:footnoteReference w:id="2"/>
      </w:r>
      <w:r>
        <w:rPr>
          <w:b w:val="0"/>
          <w:noProof/>
        </w:rPr>
        <w:t>. Na spletu</w:t>
      </w:r>
      <w:r>
        <w:rPr>
          <w:rStyle w:val="FootnoteReference"/>
          <w:rFonts w:eastAsia="Arial Unicode MS"/>
          <w:b w:val="0"/>
          <w:noProof/>
          <w:u w:color="000000"/>
          <w:bdr w:val="nil"/>
          <w:lang w:eastAsia="en-GB"/>
        </w:rPr>
        <w:footnoteReference w:id="3"/>
      </w:r>
      <w:r>
        <w:rPr>
          <w:b w:val="0"/>
          <w:noProof/>
        </w:rPr>
        <w:t xml:space="preserve"> so na voljo tudi dodatne informacije o posvetovanjih z zainteresiranimi stranmi o humanitarni pomoči.</w:t>
      </w:r>
    </w:p>
    <w:p w:rsidR="00CA2D7D" w:rsidRDefault="00CA2D7D">
      <w:pPr>
        <w:pStyle w:val="ManualHeading2"/>
        <w:rPr>
          <w:rFonts w:eastAsia="Arial Unicode MS"/>
          <w:noProof/>
          <w:u w:color="000000"/>
          <w:bdr w:val="nil"/>
          <w:lang w:eastAsia="en-GB"/>
        </w:rPr>
      </w:pPr>
    </w:p>
    <w:p w:rsidR="00CA2D7D" w:rsidRDefault="00037412">
      <w:pPr>
        <w:pStyle w:val="ManualHeading2"/>
        <w:rPr>
          <w:rFonts w:eastAsia="Arial Unicode MS"/>
          <w:noProof/>
          <w:u w:color="000000"/>
          <w:bdr w:val="nil"/>
        </w:rPr>
      </w:pPr>
      <w:r>
        <w:rPr>
          <w:noProof/>
          <w:u w:color="000000"/>
          <w:bdr w:val="nil"/>
        </w:rPr>
        <w:t>•</w:t>
      </w:r>
      <w:r>
        <w:rPr>
          <w:noProof/>
        </w:rPr>
        <w:tab/>
      </w:r>
      <w:r>
        <w:rPr>
          <w:noProof/>
          <w:u w:color="000000"/>
          <w:bdr w:val="nil"/>
        </w:rPr>
        <w:t>Vrednotenja in ocene učinka</w:t>
      </w:r>
    </w:p>
    <w:p w:rsidR="00CA2D7D" w:rsidRDefault="00037412">
      <w:pPr>
        <w:pStyle w:val="ManualHeading1"/>
        <w:ind w:left="0" w:firstLine="0"/>
        <w:rPr>
          <w:b w:val="0"/>
          <w:smallCaps w:val="0"/>
          <w:noProof/>
        </w:rPr>
      </w:pPr>
      <w:r>
        <w:rPr>
          <w:b w:val="0"/>
          <w:smallCaps w:val="0"/>
          <w:noProof/>
        </w:rPr>
        <w:t>Dodatne informacije so v Prilogi 8 delovnega dokumenta služb Komisije SWD (2018) 337 final. Redno se izvajajo tudi ocene humanitarne pomoči, ki so na voljo na spletu</w:t>
      </w:r>
      <w:r>
        <w:rPr>
          <w:rStyle w:val="FootnoteReference"/>
          <w:b w:val="0"/>
          <w:smallCaps w:val="0"/>
          <w:noProof/>
          <w:lang w:eastAsia="en-GB"/>
        </w:rPr>
        <w:footnoteReference w:id="4"/>
      </w:r>
      <w:r>
        <w:rPr>
          <w:b w:val="0"/>
          <w:smallCaps w:val="0"/>
          <w:noProof/>
        </w:rPr>
        <w:t>.</w:t>
      </w:r>
      <w:r>
        <w:rPr>
          <w:noProof/>
        </w:rPr>
        <w:t xml:space="preserve"> </w:t>
      </w:r>
    </w:p>
    <w:p w:rsidR="00CA2D7D" w:rsidRDefault="00037412">
      <w:pPr>
        <w:pStyle w:val="ManualHeading1"/>
        <w:rPr>
          <w:noProof/>
        </w:rPr>
      </w:pPr>
      <w:r>
        <w:rPr>
          <w:noProof/>
        </w:rPr>
        <w:t>4.</w:t>
      </w:r>
      <w:r>
        <w:rPr>
          <w:noProof/>
        </w:rPr>
        <w:tab/>
        <w:t>PRORAČUNSKE POSLEDICE</w:t>
      </w:r>
    </w:p>
    <w:p w:rsidR="00CA2D7D" w:rsidRDefault="00037412">
      <w:pPr>
        <w:pBdr>
          <w:top w:val="nil"/>
          <w:left w:val="nil"/>
          <w:bottom w:val="nil"/>
          <w:right w:val="nil"/>
          <w:between w:val="nil"/>
          <w:bar w:val="nil"/>
        </w:pBdr>
        <w:spacing w:before="0" w:after="240"/>
        <w:rPr>
          <w:rFonts w:eastAsia="Arial Unicode MS"/>
          <w:noProof/>
        </w:rPr>
      </w:pPr>
      <w:r>
        <w:rPr>
          <w:noProof/>
        </w:rPr>
        <w:t xml:space="preserve">Unija bo zagotovila finančna sredstva za izvajanje programa humanitarne pomoči.  Znesek v višini 5 468 000 000 EUR (v tekočih cenah) </w:t>
      </w:r>
      <w:r>
        <w:rPr>
          <w:noProof/>
          <w:szCs w:val="24"/>
          <w:shd w:val="clear" w:color="auto" w:fill="FFFFFF"/>
        </w:rPr>
        <w:t>bo izhajal iz financiranja iz evropskega instrumenta za okrevanje.</w:t>
      </w:r>
    </w:p>
    <w:p w:rsidR="00CA2D7D" w:rsidRDefault="00037412">
      <w:pPr>
        <w:pBdr>
          <w:top w:val="nil"/>
          <w:left w:val="nil"/>
          <w:bottom w:val="nil"/>
          <w:right w:val="nil"/>
          <w:between w:val="nil"/>
          <w:bar w:val="nil"/>
        </w:pBdr>
        <w:spacing w:before="0" w:after="240"/>
        <w:rPr>
          <w:rFonts w:eastAsia="Arial Unicode MS"/>
          <w:noProof/>
        </w:rPr>
      </w:pPr>
      <w:r>
        <w:rPr>
          <w:noProof/>
        </w:rPr>
        <w:t>V oceni finančnih posledic zakonodajnega predloga je na voljo več podrobnosti o proračunskih posledicah.</w:t>
      </w:r>
    </w:p>
    <w:p w:rsidR="00CA2D7D" w:rsidRDefault="00037412">
      <w:pPr>
        <w:pStyle w:val="ManualHeading1"/>
        <w:rPr>
          <w:noProof/>
        </w:rPr>
      </w:pPr>
      <w:r>
        <w:rPr>
          <w:noProof/>
        </w:rPr>
        <w:t>5.</w:t>
      </w:r>
      <w:r>
        <w:rPr>
          <w:noProof/>
        </w:rPr>
        <w:tab/>
        <w:t>DRUGI ELEMENTI</w:t>
      </w:r>
    </w:p>
    <w:p w:rsidR="00CA2D7D" w:rsidRDefault="00037412">
      <w:pPr>
        <w:pStyle w:val="ManualHeading2"/>
        <w:rPr>
          <w:rFonts w:eastAsia="Arial Unicode MS"/>
          <w:noProof/>
          <w:u w:color="000000"/>
          <w:bdr w:val="nil"/>
        </w:rPr>
      </w:pPr>
      <w:r>
        <w:rPr>
          <w:noProof/>
          <w:u w:color="000000"/>
          <w:bdr w:val="nil"/>
        </w:rPr>
        <w:t>•</w:t>
      </w:r>
      <w:r>
        <w:rPr>
          <w:noProof/>
        </w:rPr>
        <w:tab/>
      </w:r>
      <w:r>
        <w:rPr>
          <w:noProof/>
          <w:u w:color="000000"/>
          <w:bdr w:val="nil"/>
        </w:rPr>
        <w:t>Natančnejša pojasnitev posameznih določb predloga</w:t>
      </w:r>
    </w:p>
    <w:p w:rsidR="00CA2D7D" w:rsidRDefault="00037412">
      <w:pPr>
        <w:autoSpaceDE w:val="0"/>
        <w:autoSpaceDN w:val="0"/>
        <w:adjustRightInd w:val="0"/>
        <w:spacing w:before="0" w:after="0"/>
        <w:rPr>
          <w:rFonts w:eastAsia="Arial Unicode MS"/>
          <w:bCs/>
          <w:noProof/>
        </w:rPr>
      </w:pPr>
      <w:r>
        <w:rPr>
          <w:noProof/>
        </w:rPr>
        <w:t>Pravni okvir vključuje ciljno usmerjene spremembe Uredbe Sveta (EU) št. 1257/96 z dne 20. junija 1996 o humanitarni pomoči.</w:t>
      </w:r>
    </w:p>
    <w:p w:rsidR="00CA2D7D" w:rsidRDefault="00CA2D7D">
      <w:pPr>
        <w:pBdr>
          <w:top w:val="nil"/>
          <w:left w:val="nil"/>
          <w:bottom w:val="nil"/>
          <w:right w:val="nil"/>
          <w:between w:val="nil"/>
          <w:bar w:val="nil"/>
        </w:pBdr>
        <w:spacing w:before="0" w:after="240"/>
        <w:rPr>
          <w:rFonts w:eastAsia="Arial Unicode MS"/>
          <w:noProof/>
        </w:rPr>
      </w:pPr>
    </w:p>
    <w:p w:rsidR="00CA2D7D" w:rsidRDefault="00037412">
      <w:pPr>
        <w:pBdr>
          <w:top w:val="nil"/>
          <w:left w:val="nil"/>
          <w:bottom w:val="nil"/>
          <w:right w:val="nil"/>
          <w:between w:val="nil"/>
          <w:bar w:val="nil"/>
        </w:pBdr>
        <w:spacing w:before="0" w:after="240"/>
        <w:rPr>
          <w:rFonts w:eastAsia="Arial Unicode MS"/>
          <w:noProof/>
        </w:rPr>
      </w:pPr>
      <w:r>
        <w:rPr>
          <w:noProof/>
        </w:rPr>
        <w:t xml:space="preserve">Namen glavnih predlogov sprememb je:  </w:t>
      </w:r>
    </w:p>
    <w:p w:rsidR="00CA2D7D" w:rsidRDefault="00037412">
      <w:pPr>
        <w:pStyle w:val="Tiret0"/>
        <w:numPr>
          <w:ilvl w:val="0"/>
          <w:numId w:val="17"/>
        </w:numPr>
        <w:rPr>
          <w:noProof/>
        </w:rPr>
      </w:pPr>
      <w:r>
        <w:rPr>
          <w:noProof/>
        </w:rPr>
        <w:t>omogočiti izvajanje ukrepov iz predloga uredbe o vzpostavitvi instrumenta Evropske unije za okrevanje prek izvedbenih mehanizmov za humanitarno pomoč;</w:t>
      </w:r>
    </w:p>
    <w:p w:rsidR="00CA2D7D" w:rsidRDefault="00037412">
      <w:pPr>
        <w:pStyle w:val="Tiret0"/>
        <w:rPr>
          <w:noProof/>
        </w:rPr>
      </w:pPr>
      <w:r>
        <w:rPr>
          <w:noProof/>
        </w:rPr>
        <w:t>omogočiti financiranje iz instrumenta Evropske unije za okrevanje v obliki zunanjih namenskih prejemkov v skladu s členom 21(5) finančne uredbe;</w:t>
      </w:r>
    </w:p>
    <w:p w:rsidR="00CA2D7D" w:rsidRDefault="00037412">
      <w:pPr>
        <w:pStyle w:val="Tiret0"/>
        <w:rPr>
          <w:noProof/>
        </w:rPr>
      </w:pPr>
      <w:r>
        <w:rPr>
          <w:noProof/>
        </w:rPr>
        <w:t>zagotoviti skladnost s ciljno usmerjenimi roki iz člena 4 predloga uredbe o vzpostavitvi instrumenta Evropske unije za okrevanje z ustreznim navzkrižnim sklicevanjem.</w:t>
      </w:r>
    </w:p>
    <w:p w:rsidR="00CA2D7D" w:rsidRDefault="00CA2D7D">
      <w:pPr>
        <w:rPr>
          <w:noProof/>
        </w:rPr>
        <w:sectPr w:rsidR="00CA2D7D">
          <w:footerReference w:type="default" r:id="rId25"/>
          <w:footerReference w:type="first" r:id="rId26"/>
          <w:pgSz w:w="11907" w:h="16839"/>
          <w:pgMar w:top="1134" w:right="1417" w:bottom="1134" w:left="1417" w:header="709" w:footer="709" w:gutter="0"/>
          <w:cols w:space="708"/>
          <w:docGrid w:linePitch="360"/>
        </w:sectPr>
      </w:pPr>
    </w:p>
    <w:p w:rsidR="00CA2D7D" w:rsidRDefault="00037412">
      <w:pPr>
        <w:pStyle w:val="Rfrenceinterinstitutionnelle"/>
        <w:rPr>
          <w:noProof/>
        </w:rPr>
      </w:pPr>
      <w:r>
        <w:rPr>
          <w:noProof/>
        </w:rPr>
        <w:lastRenderedPageBreak/>
        <w:t>2020/0110 (COD)</w:t>
      </w:r>
    </w:p>
    <w:p w:rsidR="00CA2D7D" w:rsidRDefault="00037412">
      <w:pPr>
        <w:pStyle w:val="Statut"/>
        <w:rPr>
          <w:noProof/>
        </w:rPr>
      </w:pPr>
      <w:r>
        <w:rPr>
          <w:noProof/>
        </w:rPr>
        <w:t>Predlog</w:t>
      </w:r>
    </w:p>
    <w:p w:rsidR="00CA2D7D" w:rsidRDefault="00037412">
      <w:pPr>
        <w:pStyle w:val="Typedudocument"/>
        <w:rPr>
          <w:noProof/>
        </w:rPr>
      </w:pPr>
      <w:r>
        <w:rPr>
          <w:noProof/>
        </w:rPr>
        <w:t>UREDBA EVROPSKEGA PARLAMENTA IN SVETA</w:t>
      </w:r>
    </w:p>
    <w:p w:rsidR="00CA2D7D" w:rsidRDefault="00037412">
      <w:pPr>
        <w:pStyle w:val="Titreobjet"/>
        <w:rPr>
          <w:noProof/>
        </w:rPr>
      </w:pPr>
      <w:r>
        <w:rPr>
          <w:noProof/>
        </w:rPr>
        <w:t xml:space="preserve">o spremembi Uredbe (ES) št. 1257/96 z dne 20. junija 1996 o humanitarni pomoči       </w:t>
      </w:r>
    </w:p>
    <w:p w:rsidR="00CA2D7D" w:rsidRDefault="00037412">
      <w:pPr>
        <w:pStyle w:val="Institutionquiagit"/>
        <w:rPr>
          <w:noProof/>
        </w:rPr>
      </w:pPr>
      <w:r>
        <w:rPr>
          <w:noProof/>
        </w:rPr>
        <w:t>EVROPSKI PARLAMENT IN SVET EVROPSKE UNIJE STA –</w:t>
      </w:r>
    </w:p>
    <w:p w:rsidR="00CA2D7D" w:rsidRDefault="00037412">
      <w:pPr>
        <w:rPr>
          <w:noProof/>
        </w:rPr>
      </w:pPr>
      <w:r>
        <w:rPr>
          <w:noProof/>
        </w:rPr>
        <w:t>ob upoštevanju Pogodbe o delovanju Evropske unije in zlasti člena 214(3) Pogodbe,</w:t>
      </w:r>
    </w:p>
    <w:p w:rsidR="00CA2D7D" w:rsidRDefault="00037412">
      <w:pPr>
        <w:rPr>
          <w:noProof/>
        </w:rPr>
      </w:pPr>
      <w:r>
        <w:rPr>
          <w:noProof/>
        </w:rPr>
        <w:t>ob upoštevanju predloga Evropske komisije,</w:t>
      </w:r>
    </w:p>
    <w:p w:rsidR="00CA2D7D" w:rsidRDefault="00037412">
      <w:pPr>
        <w:rPr>
          <w:noProof/>
        </w:rPr>
      </w:pPr>
      <w:r>
        <w:rPr>
          <w:noProof/>
        </w:rPr>
        <w:t>po posredovanju osnutka zakonodajnega akta nacionalnim parlamentom,</w:t>
      </w:r>
    </w:p>
    <w:p w:rsidR="00CA2D7D" w:rsidRDefault="00037412">
      <w:pPr>
        <w:rPr>
          <w:noProof/>
        </w:rPr>
      </w:pPr>
      <w:r>
        <w:rPr>
          <w:noProof/>
        </w:rPr>
        <w:t>v skladu z rednim zakonodajnim postopkom,</w:t>
      </w:r>
    </w:p>
    <w:p w:rsidR="00CA2D7D" w:rsidRDefault="00037412">
      <w:pPr>
        <w:rPr>
          <w:noProof/>
        </w:rPr>
      </w:pPr>
      <w:r>
        <w:rPr>
          <w:noProof/>
        </w:rPr>
        <w:t>ob upoštevanju naslednjega:</w:t>
      </w:r>
    </w:p>
    <w:p w:rsidR="00CA2D7D" w:rsidRDefault="00037412">
      <w:pPr>
        <w:pStyle w:val="ManualConsidrant"/>
        <w:rPr>
          <w:noProof/>
        </w:rPr>
      </w:pPr>
      <w:r>
        <w:t>(1)</w:t>
      </w:r>
      <w:r>
        <w:tab/>
      </w:r>
      <w:r>
        <w:rPr>
          <w:noProof/>
        </w:rPr>
        <w:t xml:space="preserve">Kriza zaradi pandemije COVID-19 močno vpliva na družbe po svetu in je najprej prizadela zdravstvene sisteme, nato pa privedla do hudih družbenih in gospodarskih posledic svetovnih razsežnosti ter povzročila ali poslabšala humanitarne potrebe. </w:t>
      </w:r>
    </w:p>
    <w:p w:rsidR="00CA2D7D" w:rsidRDefault="00037412">
      <w:pPr>
        <w:pStyle w:val="ManualConsidrant"/>
        <w:rPr>
          <w:noProof/>
        </w:rPr>
      </w:pPr>
      <w:r>
        <w:t>(2)</w:t>
      </w:r>
      <w:r>
        <w:tab/>
      </w:r>
      <w:r>
        <w:rPr>
          <w:noProof/>
        </w:rPr>
        <w:t xml:space="preserve">Učinkom pandemije so še zlasti izpostavljene ranljive tretje države s šibkimi institucijami. Posledica tega bo vse večje povpraševanje po izvajalcih </w:t>
      </w:r>
      <w:r>
        <w:rPr>
          <w:rStyle w:val="highlight"/>
          <w:noProof/>
        </w:rPr>
        <w:t>humanitarnih</w:t>
      </w:r>
      <w:r>
        <w:rPr>
          <w:noProof/>
        </w:rPr>
        <w:t xml:space="preserve"> dejavnosti, da se zagotovi takojšen, uspešen, učinkovit in skladen odziv ter podprejo lokalne skupnosti v tretjih državah. Odzivna strategija Unije bi morala biti celovita, skladna in povezana, obravnavati javno zdravje in socialno-ekonomske izzive ter se odzvati na takojšnje humanitarne potrebe. Zlasti so tveganju izpostavljene ranljive države in prebivalci, ki potrebujejo pomoč, podporo in zaščito.     </w:t>
      </w:r>
    </w:p>
    <w:p w:rsidR="00CA2D7D" w:rsidRDefault="00037412">
      <w:pPr>
        <w:pStyle w:val="ManualConsidrant"/>
        <w:rPr>
          <w:noProof/>
        </w:rPr>
      </w:pPr>
      <w:r>
        <w:t>(3)</w:t>
      </w:r>
      <w:r>
        <w:tab/>
      </w:r>
      <w:r>
        <w:rPr>
          <w:noProof/>
        </w:rPr>
        <w:t>V skladu z uredbo [o Instrumentu Evropske unije za okrevanje, v nadaljnjem besedilu: ERI] in v mejah sredstev, dodeljenih v okviru tega instrumenta, bi bilo treba izvesti ukrepe za okrevanje in odpornost v okviru humanitarne pomoči, da se obravnavajo neprimerljive posledice krize zaradi COVID-19. Taka dodatna sredstva je treba uporabiti tako, da se zagotovi skladnost z roki iz uredbe [ERI].   </w:t>
      </w:r>
    </w:p>
    <w:p w:rsidR="00CA2D7D" w:rsidRDefault="00037412">
      <w:pPr>
        <w:pStyle w:val="ManualConsidrant"/>
        <w:rPr>
          <w:noProof/>
        </w:rPr>
      </w:pPr>
      <w:r>
        <w:t>(4)</w:t>
      </w:r>
      <w:r>
        <w:tab/>
      </w:r>
      <w:r>
        <w:rPr>
          <w:noProof/>
        </w:rPr>
        <w:t>Uredbo Sveta (ES) št. 1257/96 bi bilo zato treba ustrezno spremeniti –</w:t>
      </w:r>
    </w:p>
    <w:p w:rsidR="00CA2D7D" w:rsidRDefault="00CA2D7D">
      <w:pPr>
        <w:rPr>
          <w:noProof/>
        </w:rPr>
      </w:pPr>
    </w:p>
    <w:p w:rsidR="00CA2D7D" w:rsidRDefault="00037412">
      <w:pPr>
        <w:pStyle w:val="Formuledadoption"/>
        <w:rPr>
          <w:noProof/>
        </w:rPr>
      </w:pPr>
      <w:r>
        <w:rPr>
          <w:noProof/>
        </w:rPr>
        <w:t>SPREJELA NASLEDNJO UREDBO:</w:t>
      </w:r>
    </w:p>
    <w:p w:rsidR="00CA2D7D" w:rsidRDefault="00037412">
      <w:pPr>
        <w:pStyle w:val="Titrearticle"/>
        <w:rPr>
          <w:noProof/>
        </w:rPr>
      </w:pPr>
      <w:r>
        <w:rPr>
          <w:noProof/>
        </w:rPr>
        <w:t>Člen 1</w:t>
      </w:r>
    </w:p>
    <w:p w:rsidR="00CA2D7D" w:rsidRDefault="00037412">
      <w:pPr>
        <w:rPr>
          <w:noProof/>
        </w:rPr>
      </w:pPr>
      <w:r>
        <w:rPr>
          <w:noProof/>
        </w:rPr>
        <w:t>Uredba (ES) št. 1257/96 se spremeni:</w:t>
      </w:r>
    </w:p>
    <w:p w:rsidR="00CA2D7D" w:rsidRDefault="00CA2D7D">
      <w:pPr>
        <w:rPr>
          <w:noProof/>
        </w:rPr>
      </w:pPr>
    </w:p>
    <w:p w:rsidR="00CA2D7D" w:rsidRDefault="00037412">
      <w:pPr>
        <w:pStyle w:val="Point0"/>
        <w:rPr>
          <w:noProof/>
        </w:rPr>
      </w:pPr>
      <w:r>
        <w:t>(1)</w:t>
      </w:r>
      <w:r>
        <w:tab/>
      </w:r>
      <w:r>
        <w:rPr>
          <w:noProof/>
        </w:rPr>
        <w:t>vstavi se člen 14a:</w:t>
      </w:r>
    </w:p>
    <w:p w:rsidR="00CA2D7D" w:rsidRDefault="00037412">
      <w:pPr>
        <w:pStyle w:val="Text1"/>
        <w:rPr>
          <w:noProof/>
        </w:rPr>
      </w:pPr>
      <w:r>
        <w:rPr>
          <w:noProof/>
        </w:rPr>
        <w:t>„Člen 14 a</w:t>
      </w:r>
    </w:p>
    <w:p w:rsidR="00CA2D7D" w:rsidRDefault="00037412">
      <w:pPr>
        <w:pStyle w:val="Text1"/>
        <w:rPr>
          <w:b/>
          <w:noProof/>
        </w:rPr>
      </w:pPr>
      <w:r>
        <w:rPr>
          <w:b/>
          <w:noProof/>
        </w:rPr>
        <w:t>Sredstva iz Instrumenta Evropske unije za okrevanje</w:t>
      </w:r>
    </w:p>
    <w:p w:rsidR="00CA2D7D" w:rsidRDefault="00037412">
      <w:pPr>
        <w:pStyle w:val="Text1"/>
        <w:rPr>
          <w:noProof/>
        </w:rPr>
      </w:pPr>
      <w:r>
        <w:rPr>
          <w:noProof/>
        </w:rPr>
        <w:lastRenderedPageBreak/>
        <w:t xml:space="preserve">Ukrepi iz člena 2 uredbe [o Instrumentu Evropske unije za okrevanje] se izvajajo v okviru tega programa prek zneskov iz točke (vii) člena 3(2)(a) navedene uredbe ob upoštevanju člena 4(4) in (8) navedene uredbe.  </w:t>
      </w:r>
    </w:p>
    <w:p w:rsidR="00CA2D7D" w:rsidRDefault="00037412">
      <w:pPr>
        <w:pStyle w:val="Text1"/>
        <w:rPr>
          <w:noProof/>
        </w:rPr>
      </w:pPr>
      <w:r>
        <w:rPr>
          <w:noProof/>
        </w:rPr>
        <w:t>Ti zneski so zunanji namenski prejemki v skladu s členom 21(5) finančne uredbe.“</w:t>
      </w:r>
    </w:p>
    <w:p w:rsidR="00CA2D7D" w:rsidRDefault="00037412">
      <w:pPr>
        <w:pStyle w:val="Titrearticle"/>
        <w:rPr>
          <w:noProof/>
        </w:rPr>
      </w:pPr>
      <w:r>
        <w:rPr>
          <w:noProof/>
        </w:rPr>
        <w:t>Člen 2</w:t>
      </w:r>
    </w:p>
    <w:p w:rsidR="00CA2D7D" w:rsidRDefault="00037412">
      <w:pPr>
        <w:rPr>
          <w:noProof/>
        </w:rPr>
      </w:pPr>
      <w:r>
        <w:rPr>
          <w:noProof/>
        </w:rPr>
        <w:t xml:space="preserve">Ta uredba začne veljati dan po objavi v </w:t>
      </w:r>
      <w:r>
        <w:rPr>
          <w:i/>
          <w:noProof/>
        </w:rPr>
        <w:t>Uradnem listu Evropske unije</w:t>
      </w:r>
      <w:r>
        <w:rPr>
          <w:noProof/>
        </w:rPr>
        <w:t>.</w:t>
      </w:r>
    </w:p>
    <w:p w:rsidR="00CA2D7D" w:rsidRDefault="00037412">
      <w:pPr>
        <w:pStyle w:val="Applicationdirecte"/>
        <w:rPr>
          <w:noProof/>
        </w:rPr>
      </w:pPr>
      <w:r>
        <w:rPr>
          <w:noProof/>
        </w:rPr>
        <w:t>Ta uredba je v celoti zavezujoča in se neposredno uporablja v vseh državah članicah v skladu s Pogodbama.</w:t>
      </w:r>
    </w:p>
    <w:p w:rsidR="00CA2D7D" w:rsidRDefault="00037412">
      <w:pPr>
        <w:pStyle w:val="Fait"/>
        <w:rPr>
          <w:noProof/>
        </w:rPr>
      </w:pPr>
      <w:r>
        <w:t>V Bruslju,</w:t>
      </w:r>
    </w:p>
    <w:p w:rsidR="00CA2D7D" w:rsidRDefault="00037412">
      <w:pPr>
        <w:pStyle w:val="Institutionquisigne"/>
        <w:rPr>
          <w:noProof/>
        </w:rPr>
      </w:pPr>
      <w:r>
        <w:rPr>
          <w:noProof/>
        </w:rPr>
        <w:t>Za Evropski parlament</w:t>
      </w:r>
      <w:r>
        <w:rPr>
          <w:noProof/>
        </w:rPr>
        <w:tab/>
        <w:t>Za Svet</w:t>
      </w:r>
    </w:p>
    <w:p w:rsidR="00CA2D7D" w:rsidRDefault="00037412">
      <w:pPr>
        <w:pStyle w:val="Personnequisigne"/>
        <w:rPr>
          <w:noProof/>
        </w:rPr>
      </w:pPr>
      <w:r>
        <w:rPr>
          <w:noProof/>
        </w:rPr>
        <w:t>Predsednik</w:t>
      </w:r>
      <w:r>
        <w:rPr>
          <w:noProof/>
        </w:rPr>
        <w:tab/>
        <w:t>Predsednik</w:t>
      </w:r>
    </w:p>
    <w:p w:rsidR="00CA2D7D" w:rsidRDefault="00CA2D7D">
      <w:pPr>
        <w:rPr>
          <w:noProof/>
        </w:rPr>
        <w:sectPr w:rsidR="00CA2D7D">
          <w:pgSz w:w="11907" w:h="16839"/>
          <w:pgMar w:top="1134" w:right="1417" w:bottom="1134" w:left="1417" w:header="709" w:footer="709" w:gutter="0"/>
          <w:cols w:space="708"/>
          <w:docGrid w:linePitch="360"/>
        </w:sectPr>
      </w:pPr>
    </w:p>
    <w:sdt>
      <w:sdtPr>
        <w:rPr>
          <w:b w:val="0"/>
          <w:noProof/>
          <w:color w:val="008000"/>
          <w:u w:val="none"/>
        </w:rPr>
        <w:id w:val="-1693053952"/>
        <w:docPartObj>
          <w:docPartGallery w:val="Table of Contents"/>
          <w:docPartUnique/>
        </w:docPartObj>
      </w:sdtPr>
      <w:sdtEndPr>
        <w:rPr>
          <w:bCs/>
          <w:color w:val="auto"/>
        </w:rPr>
      </w:sdtEndPr>
      <w:sdtContent>
        <w:p w:rsidR="00CA2D7D" w:rsidRDefault="00037412">
          <w:pPr>
            <w:pStyle w:val="Fichefinanciretitre"/>
            <w:rPr>
              <w:noProof/>
            </w:rPr>
          </w:pPr>
          <w:r>
            <w:rPr>
              <w:noProof/>
            </w:rPr>
            <w:t xml:space="preserve">OCENA FINANČNIH POSLEDIC ZAKONODAJNEGA PREDLOGA </w:t>
          </w:r>
        </w:p>
        <w:p w:rsidR="00CA2D7D" w:rsidRDefault="00037412">
          <w:pPr>
            <w:pStyle w:val="TOC1"/>
            <w:rPr>
              <w:rFonts w:asciiTheme="minorHAnsi" w:eastAsiaTheme="minorEastAsia" w:hAnsiTheme="minorHAnsi" w:cstheme="minorBidi"/>
              <w:noProof/>
              <w:sz w:val="22"/>
              <w:lang w:eastAsia="sl-SI"/>
            </w:rPr>
          </w:pPr>
          <w:r>
            <w:rPr>
              <w:bCs/>
              <w:noProof/>
              <w:sz w:val="28"/>
            </w:rPr>
            <w:fldChar w:fldCharType="begin"/>
          </w:r>
          <w:r>
            <w:rPr>
              <w:bCs/>
              <w:noProof/>
            </w:rPr>
            <w:instrText xml:space="preserve"> TOC \o "1-3" \h \z \u </w:instrText>
          </w:r>
          <w:r>
            <w:rPr>
              <w:bCs/>
              <w:noProof/>
              <w:sz w:val="28"/>
            </w:rPr>
            <w:fldChar w:fldCharType="separate"/>
          </w:r>
          <w:hyperlink w:anchor="_Toc41814062" w:history="1">
            <w:r>
              <w:rPr>
                <w:rStyle w:val="Hyperlink"/>
                <w:noProof/>
              </w:rPr>
              <w:t>1.</w:t>
            </w:r>
            <w:r>
              <w:rPr>
                <w:rFonts w:asciiTheme="minorHAnsi" w:eastAsiaTheme="minorEastAsia" w:hAnsiTheme="minorHAnsi" w:cstheme="minorBidi"/>
                <w:noProof/>
                <w:sz w:val="22"/>
                <w:lang w:eastAsia="sl-SI"/>
              </w:rPr>
              <w:tab/>
            </w:r>
            <w:r>
              <w:rPr>
                <w:rStyle w:val="Hyperlink"/>
                <w:noProof/>
              </w:rPr>
              <w:t>OKVIR PREDLOGA/POBUDE</w:t>
            </w:r>
            <w:r>
              <w:rPr>
                <w:noProof/>
                <w:webHidden/>
              </w:rPr>
              <w:tab/>
              <w:t>3</w:t>
            </w:r>
          </w:hyperlink>
        </w:p>
        <w:p w:rsidR="00CA2D7D" w:rsidRDefault="00CE278B">
          <w:pPr>
            <w:pStyle w:val="TOC2"/>
            <w:rPr>
              <w:rFonts w:asciiTheme="minorHAnsi" w:eastAsiaTheme="minorEastAsia" w:hAnsiTheme="minorHAnsi" w:cstheme="minorBidi"/>
              <w:noProof/>
              <w:sz w:val="22"/>
              <w:lang w:eastAsia="sl-SI"/>
            </w:rPr>
          </w:pPr>
          <w:hyperlink w:anchor="_Toc41814063" w:history="1">
            <w:r w:rsidR="00037412">
              <w:rPr>
                <w:rStyle w:val="Hyperlink"/>
                <w:noProof/>
              </w:rPr>
              <w:t>1.1.</w:t>
            </w:r>
            <w:r w:rsidR="00037412">
              <w:rPr>
                <w:rFonts w:asciiTheme="minorHAnsi" w:eastAsiaTheme="minorEastAsia" w:hAnsiTheme="minorHAnsi" w:cstheme="minorBidi"/>
                <w:noProof/>
                <w:sz w:val="22"/>
                <w:lang w:eastAsia="sl-SI"/>
              </w:rPr>
              <w:tab/>
            </w:r>
            <w:r w:rsidR="00037412">
              <w:rPr>
                <w:rStyle w:val="Hyperlink"/>
                <w:noProof/>
              </w:rPr>
              <w:t>Naslov predloga/pobude</w:t>
            </w:r>
            <w:r w:rsidR="00037412">
              <w:rPr>
                <w:noProof/>
                <w:webHidden/>
              </w:rPr>
              <w:tab/>
              <w:t>3</w:t>
            </w:r>
          </w:hyperlink>
        </w:p>
        <w:p w:rsidR="00CA2D7D" w:rsidRDefault="00CE278B">
          <w:pPr>
            <w:pStyle w:val="TOC2"/>
            <w:rPr>
              <w:rFonts w:asciiTheme="minorHAnsi" w:eastAsiaTheme="minorEastAsia" w:hAnsiTheme="minorHAnsi" w:cstheme="minorBidi"/>
              <w:noProof/>
              <w:sz w:val="22"/>
              <w:lang w:eastAsia="sl-SI"/>
            </w:rPr>
          </w:pPr>
          <w:hyperlink w:anchor="_Toc41814064" w:history="1">
            <w:r w:rsidR="00037412">
              <w:rPr>
                <w:rStyle w:val="Hyperlink"/>
                <w:i/>
                <w:noProof/>
              </w:rPr>
              <w:t>1.2.</w:t>
            </w:r>
            <w:r w:rsidR="00037412">
              <w:rPr>
                <w:rFonts w:asciiTheme="minorHAnsi" w:eastAsiaTheme="minorEastAsia" w:hAnsiTheme="minorHAnsi" w:cstheme="minorBidi"/>
                <w:noProof/>
                <w:sz w:val="22"/>
                <w:lang w:eastAsia="sl-SI"/>
              </w:rPr>
              <w:tab/>
            </w:r>
            <w:r w:rsidR="00037412">
              <w:rPr>
                <w:rStyle w:val="Hyperlink"/>
                <w:noProof/>
              </w:rPr>
              <w:t xml:space="preserve">Zadevna področja </w:t>
            </w:r>
            <w:r w:rsidR="00037412">
              <w:rPr>
                <w:rStyle w:val="Hyperlink"/>
                <w:i/>
                <w:noProof/>
              </w:rPr>
              <w:t>(programski sklop)</w:t>
            </w:r>
            <w:r w:rsidR="00037412">
              <w:rPr>
                <w:noProof/>
                <w:webHidden/>
              </w:rPr>
              <w:tab/>
              <w:t>3</w:t>
            </w:r>
          </w:hyperlink>
        </w:p>
        <w:p w:rsidR="00CA2D7D" w:rsidRDefault="00CE278B">
          <w:pPr>
            <w:pStyle w:val="TOC2"/>
            <w:rPr>
              <w:rFonts w:asciiTheme="minorHAnsi" w:eastAsiaTheme="minorEastAsia" w:hAnsiTheme="minorHAnsi" w:cstheme="minorBidi"/>
              <w:noProof/>
              <w:sz w:val="22"/>
              <w:lang w:eastAsia="sl-SI"/>
            </w:rPr>
          </w:pPr>
          <w:hyperlink w:anchor="_Toc41814065" w:history="1">
            <w:r w:rsidR="00037412">
              <w:rPr>
                <w:rStyle w:val="Hyperlink"/>
                <w:noProof/>
              </w:rPr>
              <w:t>1.3.</w:t>
            </w:r>
            <w:r w:rsidR="00037412">
              <w:rPr>
                <w:rFonts w:asciiTheme="minorHAnsi" w:eastAsiaTheme="minorEastAsia" w:hAnsiTheme="minorHAnsi" w:cstheme="minorBidi"/>
                <w:noProof/>
                <w:sz w:val="22"/>
                <w:lang w:eastAsia="sl-SI"/>
              </w:rPr>
              <w:tab/>
            </w:r>
            <w:r w:rsidR="00037412">
              <w:rPr>
                <w:rStyle w:val="Hyperlink"/>
                <w:noProof/>
              </w:rPr>
              <w:t>Ukrep, na katerega se predlog/pobuda nanaša</w:t>
            </w:r>
            <w:r w:rsidR="00037412">
              <w:rPr>
                <w:noProof/>
                <w:webHidden/>
              </w:rPr>
              <w:tab/>
              <w:t>3</w:t>
            </w:r>
          </w:hyperlink>
        </w:p>
        <w:p w:rsidR="00CA2D7D" w:rsidRDefault="00CE278B">
          <w:pPr>
            <w:pStyle w:val="TOC2"/>
            <w:rPr>
              <w:rFonts w:asciiTheme="minorHAnsi" w:eastAsiaTheme="minorEastAsia" w:hAnsiTheme="minorHAnsi" w:cstheme="minorBidi"/>
              <w:noProof/>
              <w:sz w:val="22"/>
              <w:lang w:eastAsia="sl-SI"/>
            </w:rPr>
          </w:pPr>
          <w:hyperlink w:anchor="_Toc41814066" w:history="1">
            <w:r w:rsidR="00037412">
              <w:rPr>
                <w:rStyle w:val="Hyperlink"/>
                <w:noProof/>
              </w:rPr>
              <w:t>1.4.</w:t>
            </w:r>
            <w:r w:rsidR="00037412">
              <w:rPr>
                <w:rFonts w:asciiTheme="minorHAnsi" w:eastAsiaTheme="minorEastAsia" w:hAnsiTheme="minorHAnsi" w:cstheme="minorBidi"/>
                <w:noProof/>
                <w:sz w:val="22"/>
                <w:lang w:eastAsia="sl-SI"/>
              </w:rPr>
              <w:tab/>
            </w:r>
            <w:r w:rsidR="00037412">
              <w:rPr>
                <w:rStyle w:val="Hyperlink"/>
                <w:noProof/>
              </w:rPr>
              <w:t>Utemeljitev predloga/pobude</w:t>
            </w:r>
            <w:r w:rsidR="00037412">
              <w:rPr>
                <w:noProof/>
                <w:webHidden/>
              </w:rPr>
              <w:tab/>
              <w:t>3</w:t>
            </w:r>
          </w:hyperlink>
        </w:p>
        <w:p w:rsidR="00CA2D7D" w:rsidRDefault="00CE278B">
          <w:pPr>
            <w:pStyle w:val="TOC3"/>
            <w:rPr>
              <w:rFonts w:asciiTheme="minorHAnsi" w:eastAsiaTheme="minorEastAsia" w:hAnsiTheme="minorHAnsi" w:cstheme="minorBidi"/>
              <w:noProof/>
              <w:sz w:val="22"/>
              <w:lang w:eastAsia="sl-SI"/>
            </w:rPr>
          </w:pPr>
          <w:hyperlink w:anchor="_Toc41814067" w:history="1">
            <w:r w:rsidR="00037412">
              <w:rPr>
                <w:rStyle w:val="Hyperlink"/>
                <w:noProof/>
              </w:rPr>
              <w:t>1.4.1.</w:t>
            </w:r>
            <w:r w:rsidR="00037412">
              <w:rPr>
                <w:rFonts w:asciiTheme="minorHAnsi" w:eastAsiaTheme="minorEastAsia" w:hAnsiTheme="minorHAnsi" w:cstheme="minorBidi"/>
                <w:noProof/>
                <w:sz w:val="22"/>
                <w:lang w:eastAsia="sl-SI"/>
              </w:rPr>
              <w:tab/>
            </w:r>
            <w:r w:rsidR="00037412">
              <w:rPr>
                <w:rStyle w:val="Hyperlink"/>
                <w:noProof/>
              </w:rPr>
              <w:t>Potrebe, ki jih je treba zadovoljiti kratkoročno ali dolgoročno, vključno s podrobno časovnico za uvajanje ustreznih ukrepov za izvajanje pobude</w:t>
            </w:r>
            <w:r w:rsidR="00037412">
              <w:rPr>
                <w:noProof/>
                <w:webHidden/>
              </w:rPr>
              <w:tab/>
              <w:t>3</w:t>
            </w:r>
          </w:hyperlink>
        </w:p>
        <w:p w:rsidR="00CA2D7D" w:rsidRDefault="00CE278B">
          <w:pPr>
            <w:pStyle w:val="TOC3"/>
            <w:rPr>
              <w:rFonts w:asciiTheme="minorHAnsi" w:eastAsiaTheme="minorEastAsia" w:hAnsiTheme="minorHAnsi" w:cstheme="minorBidi"/>
              <w:noProof/>
              <w:sz w:val="22"/>
              <w:lang w:eastAsia="sl-SI"/>
            </w:rPr>
          </w:pPr>
          <w:hyperlink w:anchor="_Toc41814068" w:history="1">
            <w:r w:rsidR="00037412">
              <w:rPr>
                <w:rStyle w:val="Hyperlink"/>
                <w:noProof/>
              </w:rPr>
              <w:t>1.4.2.</w:t>
            </w:r>
            <w:r w:rsidR="00037412">
              <w:rPr>
                <w:rFonts w:asciiTheme="minorHAnsi" w:eastAsiaTheme="minorEastAsia" w:hAnsiTheme="minorHAnsi" w:cstheme="minorBidi"/>
                <w:noProof/>
                <w:sz w:val="22"/>
                <w:lang w:eastAsia="sl-SI"/>
              </w:rPr>
              <w:tab/>
            </w:r>
            <w:r w:rsidR="00037412">
              <w:rPr>
                <w:rStyle w:val="Hyperlink"/>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r w:rsidR="00037412">
              <w:rPr>
                <w:noProof/>
                <w:webHidden/>
              </w:rPr>
              <w:tab/>
              <w:t>3</w:t>
            </w:r>
          </w:hyperlink>
        </w:p>
        <w:p w:rsidR="00CA2D7D" w:rsidRDefault="00CE278B">
          <w:pPr>
            <w:pStyle w:val="TOC3"/>
            <w:rPr>
              <w:rFonts w:asciiTheme="minorHAnsi" w:eastAsiaTheme="minorEastAsia" w:hAnsiTheme="minorHAnsi" w:cstheme="minorBidi"/>
              <w:noProof/>
              <w:sz w:val="22"/>
              <w:lang w:eastAsia="sl-SI"/>
            </w:rPr>
          </w:pPr>
          <w:hyperlink w:anchor="_Toc41814069" w:history="1">
            <w:r w:rsidR="00037412">
              <w:rPr>
                <w:rStyle w:val="Hyperlink"/>
                <w:noProof/>
              </w:rPr>
              <w:t>1.4.3.</w:t>
            </w:r>
            <w:r w:rsidR="00037412">
              <w:rPr>
                <w:rFonts w:asciiTheme="minorHAnsi" w:eastAsiaTheme="minorEastAsia" w:hAnsiTheme="minorHAnsi" w:cstheme="minorBidi"/>
                <w:noProof/>
                <w:sz w:val="22"/>
                <w:lang w:eastAsia="sl-SI"/>
              </w:rPr>
              <w:tab/>
            </w:r>
            <w:r w:rsidR="00037412">
              <w:rPr>
                <w:rStyle w:val="Hyperlink"/>
                <w:noProof/>
              </w:rPr>
              <w:t>Spoznanja iz podobnih izkušenj v preteklosti</w:t>
            </w:r>
            <w:r w:rsidR="00037412">
              <w:rPr>
                <w:noProof/>
                <w:webHidden/>
              </w:rPr>
              <w:tab/>
              <w:t>4</w:t>
            </w:r>
          </w:hyperlink>
        </w:p>
        <w:p w:rsidR="00CA2D7D" w:rsidRDefault="00CE278B">
          <w:pPr>
            <w:pStyle w:val="TOC3"/>
            <w:rPr>
              <w:rFonts w:asciiTheme="minorHAnsi" w:eastAsiaTheme="minorEastAsia" w:hAnsiTheme="minorHAnsi" w:cstheme="minorBidi"/>
              <w:noProof/>
              <w:sz w:val="22"/>
              <w:lang w:eastAsia="sl-SI"/>
            </w:rPr>
          </w:pPr>
          <w:hyperlink w:anchor="_Toc41814070" w:history="1">
            <w:r w:rsidR="00037412">
              <w:rPr>
                <w:rStyle w:val="Hyperlink"/>
                <w:noProof/>
              </w:rPr>
              <w:t>1.4.4.</w:t>
            </w:r>
            <w:r w:rsidR="00037412">
              <w:rPr>
                <w:rFonts w:asciiTheme="minorHAnsi" w:eastAsiaTheme="minorEastAsia" w:hAnsiTheme="minorHAnsi" w:cstheme="minorBidi"/>
                <w:noProof/>
                <w:sz w:val="22"/>
                <w:lang w:eastAsia="sl-SI"/>
              </w:rPr>
              <w:tab/>
            </w:r>
            <w:r w:rsidR="00037412">
              <w:rPr>
                <w:rStyle w:val="Hyperlink"/>
                <w:noProof/>
              </w:rPr>
              <w:t>Skladnost in možne sinergije z drugimi ustreznimi instrumenti</w:t>
            </w:r>
            <w:r w:rsidR="00037412">
              <w:rPr>
                <w:noProof/>
                <w:webHidden/>
              </w:rPr>
              <w:tab/>
              <w:t>4</w:t>
            </w:r>
          </w:hyperlink>
        </w:p>
        <w:p w:rsidR="00CA2D7D" w:rsidRDefault="00CE278B">
          <w:pPr>
            <w:pStyle w:val="TOC2"/>
            <w:rPr>
              <w:rFonts w:asciiTheme="minorHAnsi" w:eastAsiaTheme="minorEastAsia" w:hAnsiTheme="minorHAnsi" w:cstheme="minorBidi"/>
              <w:noProof/>
              <w:sz w:val="22"/>
              <w:lang w:eastAsia="sl-SI"/>
            </w:rPr>
          </w:pPr>
          <w:hyperlink w:anchor="_Toc41814071" w:history="1">
            <w:r w:rsidR="00037412">
              <w:rPr>
                <w:rStyle w:val="Hyperlink"/>
                <w:noProof/>
              </w:rPr>
              <w:t>1.5.</w:t>
            </w:r>
            <w:r w:rsidR="00037412">
              <w:rPr>
                <w:rFonts w:asciiTheme="minorHAnsi" w:eastAsiaTheme="minorEastAsia" w:hAnsiTheme="minorHAnsi" w:cstheme="minorBidi"/>
                <w:noProof/>
                <w:sz w:val="22"/>
                <w:lang w:eastAsia="sl-SI"/>
              </w:rPr>
              <w:tab/>
            </w:r>
            <w:r w:rsidR="00037412">
              <w:rPr>
                <w:rStyle w:val="Hyperlink"/>
                <w:noProof/>
              </w:rPr>
              <w:t>Trajanje predloga/pobude in finančnih posledic</w:t>
            </w:r>
            <w:r w:rsidR="00037412">
              <w:rPr>
                <w:noProof/>
                <w:webHidden/>
              </w:rPr>
              <w:tab/>
              <w:t>5</w:t>
            </w:r>
          </w:hyperlink>
        </w:p>
        <w:p w:rsidR="00CA2D7D" w:rsidRDefault="00CE278B">
          <w:pPr>
            <w:pStyle w:val="TOC2"/>
            <w:rPr>
              <w:rFonts w:asciiTheme="minorHAnsi" w:eastAsiaTheme="minorEastAsia" w:hAnsiTheme="minorHAnsi" w:cstheme="minorBidi"/>
              <w:noProof/>
              <w:sz w:val="22"/>
              <w:lang w:eastAsia="sl-SI"/>
            </w:rPr>
          </w:pPr>
          <w:hyperlink w:anchor="_Toc41814072" w:history="1">
            <w:r w:rsidR="00037412">
              <w:rPr>
                <w:rStyle w:val="Hyperlink"/>
                <w:noProof/>
              </w:rPr>
              <w:t>1.6.</w:t>
            </w:r>
            <w:r w:rsidR="00037412">
              <w:rPr>
                <w:rFonts w:asciiTheme="minorHAnsi" w:eastAsiaTheme="minorEastAsia" w:hAnsiTheme="minorHAnsi" w:cstheme="minorBidi"/>
                <w:noProof/>
                <w:sz w:val="22"/>
                <w:lang w:eastAsia="sl-SI"/>
              </w:rPr>
              <w:tab/>
            </w:r>
            <w:r w:rsidR="00037412">
              <w:rPr>
                <w:rStyle w:val="Hyperlink"/>
                <w:noProof/>
              </w:rPr>
              <w:t>Načrtovani načini upravljanja</w:t>
            </w:r>
            <w:r w:rsidR="00037412">
              <w:rPr>
                <w:noProof/>
                <w:webHidden/>
              </w:rPr>
              <w:tab/>
              <w:t>5</w:t>
            </w:r>
          </w:hyperlink>
        </w:p>
        <w:p w:rsidR="00CA2D7D" w:rsidRDefault="00CE278B">
          <w:pPr>
            <w:pStyle w:val="TOC1"/>
            <w:rPr>
              <w:rFonts w:asciiTheme="minorHAnsi" w:eastAsiaTheme="minorEastAsia" w:hAnsiTheme="minorHAnsi" w:cstheme="minorBidi"/>
              <w:noProof/>
              <w:sz w:val="22"/>
              <w:lang w:eastAsia="sl-SI"/>
            </w:rPr>
          </w:pPr>
          <w:hyperlink w:anchor="_Toc41814073" w:history="1">
            <w:r w:rsidR="00037412">
              <w:rPr>
                <w:rStyle w:val="Hyperlink"/>
                <w:noProof/>
              </w:rPr>
              <w:t>2.</w:t>
            </w:r>
            <w:r w:rsidR="00037412">
              <w:rPr>
                <w:rFonts w:asciiTheme="minorHAnsi" w:eastAsiaTheme="minorEastAsia" w:hAnsiTheme="minorHAnsi" w:cstheme="minorBidi"/>
                <w:noProof/>
                <w:sz w:val="22"/>
                <w:lang w:eastAsia="sl-SI"/>
              </w:rPr>
              <w:tab/>
            </w:r>
            <w:r w:rsidR="00037412">
              <w:rPr>
                <w:rStyle w:val="Hyperlink"/>
                <w:noProof/>
              </w:rPr>
              <w:t>UKREPI UPRAVLJANJA</w:t>
            </w:r>
            <w:r w:rsidR="00037412">
              <w:rPr>
                <w:noProof/>
                <w:webHidden/>
              </w:rPr>
              <w:tab/>
              <w:t>6</w:t>
            </w:r>
          </w:hyperlink>
        </w:p>
        <w:p w:rsidR="00CA2D7D" w:rsidRDefault="00CE278B">
          <w:pPr>
            <w:pStyle w:val="TOC2"/>
            <w:rPr>
              <w:rFonts w:asciiTheme="minorHAnsi" w:eastAsiaTheme="minorEastAsia" w:hAnsiTheme="minorHAnsi" w:cstheme="minorBidi"/>
              <w:noProof/>
              <w:sz w:val="22"/>
              <w:lang w:eastAsia="sl-SI"/>
            </w:rPr>
          </w:pPr>
          <w:hyperlink w:anchor="_Toc41814074" w:history="1">
            <w:r w:rsidR="00037412">
              <w:rPr>
                <w:rStyle w:val="Hyperlink"/>
                <w:noProof/>
              </w:rPr>
              <w:t>2.1.</w:t>
            </w:r>
            <w:r w:rsidR="00037412">
              <w:rPr>
                <w:rFonts w:asciiTheme="minorHAnsi" w:eastAsiaTheme="minorEastAsia" w:hAnsiTheme="minorHAnsi" w:cstheme="minorBidi"/>
                <w:noProof/>
                <w:sz w:val="22"/>
                <w:lang w:eastAsia="sl-SI"/>
              </w:rPr>
              <w:tab/>
            </w:r>
            <w:r w:rsidR="00037412">
              <w:rPr>
                <w:rStyle w:val="Hyperlink"/>
                <w:noProof/>
              </w:rPr>
              <w:t>Pravila o spremljanju in poročanju</w:t>
            </w:r>
            <w:r w:rsidR="00037412">
              <w:rPr>
                <w:noProof/>
                <w:webHidden/>
              </w:rPr>
              <w:tab/>
              <w:t>6</w:t>
            </w:r>
          </w:hyperlink>
        </w:p>
        <w:p w:rsidR="00CA2D7D" w:rsidRDefault="00CE278B">
          <w:pPr>
            <w:pStyle w:val="TOC2"/>
            <w:rPr>
              <w:rFonts w:asciiTheme="minorHAnsi" w:eastAsiaTheme="minorEastAsia" w:hAnsiTheme="minorHAnsi" w:cstheme="minorBidi"/>
              <w:noProof/>
              <w:sz w:val="22"/>
              <w:lang w:eastAsia="sl-SI"/>
            </w:rPr>
          </w:pPr>
          <w:hyperlink w:anchor="_Toc41814075" w:history="1">
            <w:r w:rsidR="00037412">
              <w:rPr>
                <w:rStyle w:val="Hyperlink"/>
                <w:noProof/>
              </w:rPr>
              <w:t>2.2.</w:t>
            </w:r>
            <w:r w:rsidR="00037412">
              <w:rPr>
                <w:rFonts w:asciiTheme="minorHAnsi" w:eastAsiaTheme="minorEastAsia" w:hAnsiTheme="minorHAnsi" w:cstheme="minorBidi"/>
                <w:noProof/>
                <w:sz w:val="22"/>
                <w:lang w:eastAsia="sl-SI"/>
              </w:rPr>
              <w:tab/>
            </w:r>
            <w:r w:rsidR="00037412">
              <w:rPr>
                <w:rStyle w:val="Hyperlink"/>
                <w:noProof/>
              </w:rPr>
              <w:t>Upravljavski in kontrolni sistemi</w:t>
            </w:r>
            <w:r w:rsidR="00037412">
              <w:rPr>
                <w:noProof/>
                <w:webHidden/>
              </w:rPr>
              <w:tab/>
              <w:t>6</w:t>
            </w:r>
          </w:hyperlink>
        </w:p>
        <w:p w:rsidR="00CA2D7D" w:rsidRDefault="00CE278B">
          <w:pPr>
            <w:pStyle w:val="TOC2"/>
            <w:rPr>
              <w:rFonts w:asciiTheme="minorHAnsi" w:eastAsiaTheme="minorEastAsia" w:hAnsiTheme="minorHAnsi" w:cstheme="minorBidi"/>
              <w:noProof/>
              <w:sz w:val="22"/>
              <w:lang w:eastAsia="sl-SI"/>
            </w:rPr>
          </w:pPr>
          <w:hyperlink w:anchor="_Toc41814076" w:history="1">
            <w:r w:rsidR="00037412">
              <w:rPr>
                <w:rStyle w:val="Hyperlink"/>
                <w:noProof/>
              </w:rPr>
              <w:t>2.3.</w:t>
            </w:r>
            <w:r w:rsidR="00037412">
              <w:rPr>
                <w:rFonts w:asciiTheme="minorHAnsi" w:eastAsiaTheme="minorEastAsia" w:hAnsiTheme="minorHAnsi" w:cstheme="minorBidi"/>
                <w:noProof/>
                <w:sz w:val="22"/>
                <w:lang w:eastAsia="sl-SI"/>
              </w:rPr>
              <w:tab/>
            </w:r>
            <w:r w:rsidR="00037412">
              <w:rPr>
                <w:rStyle w:val="Hyperlink"/>
                <w:noProof/>
              </w:rPr>
              <w:t>Ukrepi za preprečevanje goljufij in nepravilnosti</w:t>
            </w:r>
            <w:r w:rsidR="00037412">
              <w:rPr>
                <w:noProof/>
                <w:webHidden/>
              </w:rPr>
              <w:tab/>
              <w:t>6</w:t>
            </w:r>
          </w:hyperlink>
        </w:p>
        <w:p w:rsidR="00CA2D7D" w:rsidRDefault="00CE278B">
          <w:pPr>
            <w:pStyle w:val="TOC1"/>
            <w:rPr>
              <w:rFonts w:asciiTheme="minorHAnsi" w:eastAsiaTheme="minorEastAsia" w:hAnsiTheme="minorHAnsi" w:cstheme="minorBidi"/>
              <w:noProof/>
              <w:sz w:val="22"/>
              <w:lang w:eastAsia="sl-SI"/>
            </w:rPr>
          </w:pPr>
          <w:hyperlink w:anchor="_Toc41814077" w:history="1">
            <w:r w:rsidR="00037412">
              <w:rPr>
                <w:rStyle w:val="Hyperlink"/>
                <w:noProof/>
              </w:rPr>
              <w:t>3.</w:t>
            </w:r>
            <w:r w:rsidR="00037412">
              <w:rPr>
                <w:rFonts w:asciiTheme="minorHAnsi" w:eastAsiaTheme="minorEastAsia" w:hAnsiTheme="minorHAnsi" w:cstheme="minorBidi"/>
                <w:noProof/>
                <w:sz w:val="22"/>
                <w:lang w:eastAsia="sl-SI"/>
              </w:rPr>
              <w:tab/>
            </w:r>
            <w:r w:rsidR="00037412">
              <w:rPr>
                <w:rStyle w:val="Hyperlink"/>
                <w:noProof/>
              </w:rPr>
              <w:t>OCENA FINANČNIH POSLEDIC PREDLOGA/POBUDE</w:t>
            </w:r>
            <w:r w:rsidR="00037412">
              <w:rPr>
                <w:noProof/>
                <w:webHidden/>
              </w:rPr>
              <w:tab/>
              <w:t>6</w:t>
            </w:r>
          </w:hyperlink>
        </w:p>
        <w:p w:rsidR="00CA2D7D" w:rsidRDefault="00CE278B">
          <w:pPr>
            <w:pStyle w:val="TOC2"/>
            <w:rPr>
              <w:rFonts w:asciiTheme="minorHAnsi" w:eastAsiaTheme="minorEastAsia" w:hAnsiTheme="minorHAnsi" w:cstheme="minorBidi"/>
              <w:noProof/>
              <w:sz w:val="22"/>
              <w:lang w:eastAsia="sl-SI"/>
            </w:rPr>
          </w:pPr>
          <w:hyperlink w:anchor="_Toc41814078" w:history="1">
            <w:r w:rsidR="00037412">
              <w:rPr>
                <w:rStyle w:val="Hyperlink"/>
                <w:noProof/>
              </w:rPr>
              <w:t>3.1.</w:t>
            </w:r>
            <w:r w:rsidR="00037412">
              <w:rPr>
                <w:rFonts w:asciiTheme="minorHAnsi" w:eastAsiaTheme="minorEastAsia" w:hAnsiTheme="minorHAnsi" w:cstheme="minorBidi"/>
                <w:noProof/>
                <w:sz w:val="22"/>
                <w:lang w:eastAsia="sl-SI"/>
              </w:rPr>
              <w:tab/>
            </w:r>
            <w:r w:rsidR="00037412">
              <w:rPr>
                <w:rStyle w:val="Hyperlink"/>
                <w:noProof/>
              </w:rPr>
              <w:t>Zadevni razdelki večletnega finančnega okvira in odhodkovne proračunske vrstice</w:t>
            </w:r>
            <w:r w:rsidR="00037412">
              <w:rPr>
                <w:noProof/>
                <w:webHidden/>
              </w:rPr>
              <w:tab/>
              <w:t>6</w:t>
            </w:r>
          </w:hyperlink>
        </w:p>
        <w:p w:rsidR="00CA2D7D" w:rsidRDefault="00CE278B">
          <w:pPr>
            <w:pStyle w:val="TOC2"/>
            <w:rPr>
              <w:rFonts w:asciiTheme="minorHAnsi" w:eastAsiaTheme="minorEastAsia" w:hAnsiTheme="minorHAnsi" w:cstheme="minorBidi"/>
              <w:noProof/>
              <w:sz w:val="22"/>
              <w:lang w:eastAsia="sl-SI"/>
            </w:rPr>
          </w:pPr>
          <w:hyperlink w:anchor="_Toc41814079" w:history="1">
            <w:r w:rsidR="00037412">
              <w:rPr>
                <w:rStyle w:val="Hyperlink"/>
                <w:noProof/>
              </w:rPr>
              <w:t>3.2.</w:t>
            </w:r>
            <w:r w:rsidR="00037412">
              <w:rPr>
                <w:rFonts w:asciiTheme="minorHAnsi" w:eastAsiaTheme="minorEastAsia" w:hAnsiTheme="minorHAnsi" w:cstheme="minorBidi"/>
                <w:noProof/>
                <w:sz w:val="22"/>
                <w:lang w:eastAsia="sl-SI"/>
              </w:rPr>
              <w:tab/>
            </w:r>
            <w:r w:rsidR="00037412">
              <w:rPr>
                <w:rStyle w:val="Hyperlink"/>
                <w:noProof/>
              </w:rPr>
              <w:t>Ocenjene posledice za odhodke</w:t>
            </w:r>
            <w:r w:rsidR="00037412">
              <w:rPr>
                <w:noProof/>
                <w:webHidden/>
              </w:rPr>
              <w:tab/>
              <w:t>8</w:t>
            </w:r>
          </w:hyperlink>
        </w:p>
        <w:p w:rsidR="00CA2D7D" w:rsidRDefault="00CE278B">
          <w:pPr>
            <w:pStyle w:val="TOC3"/>
            <w:rPr>
              <w:rFonts w:asciiTheme="minorHAnsi" w:eastAsiaTheme="minorEastAsia" w:hAnsiTheme="minorHAnsi" w:cstheme="minorBidi"/>
              <w:noProof/>
              <w:sz w:val="22"/>
              <w:lang w:eastAsia="sl-SI"/>
            </w:rPr>
          </w:pPr>
          <w:hyperlink w:anchor="_Toc41814080" w:history="1">
            <w:r w:rsidR="00037412">
              <w:rPr>
                <w:rStyle w:val="Hyperlink"/>
                <w:noProof/>
              </w:rPr>
              <w:t>3.2.1.</w:t>
            </w:r>
            <w:r w:rsidR="00037412">
              <w:rPr>
                <w:rFonts w:asciiTheme="minorHAnsi" w:eastAsiaTheme="minorEastAsia" w:hAnsiTheme="minorHAnsi" w:cstheme="minorBidi"/>
                <w:noProof/>
                <w:sz w:val="22"/>
                <w:lang w:eastAsia="sl-SI"/>
              </w:rPr>
              <w:tab/>
            </w:r>
            <w:r w:rsidR="00037412">
              <w:rPr>
                <w:rStyle w:val="Hyperlink"/>
                <w:noProof/>
              </w:rPr>
              <w:t>Povzetek ocenjenih posledic za odhodke</w:t>
            </w:r>
            <w:r w:rsidR="00037412">
              <w:rPr>
                <w:noProof/>
                <w:webHidden/>
              </w:rPr>
              <w:tab/>
              <w:t>8</w:t>
            </w:r>
          </w:hyperlink>
        </w:p>
        <w:p w:rsidR="00CA2D7D" w:rsidRDefault="00CE278B">
          <w:pPr>
            <w:pStyle w:val="TOC3"/>
            <w:rPr>
              <w:rFonts w:asciiTheme="minorHAnsi" w:eastAsiaTheme="minorEastAsia" w:hAnsiTheme="minorHAnsi" w:cstheme="minorBidi"/>
              <w:noProof/>
              <w:sz w:val="22"/>
              <w:lang w:eastAsia="sl-SI"/>
            </w:rPr>
          </w:pPr>
          <w:hyperlink w:anchor="_Toc41814081" w:history="1">
            <w:r w:rsidR="00037412">
              <w:rPr>
                <w:rStyle w:val="Hyperlink"/>
                <w:noProof/>
              </w:rPr>
              <w:t>3.2.2.</w:t>
            </w:r>
            <w:r w:rsidR="00037412">
              <w:rPr>
                <w:rFonts w:asciiTheme="minorHAnsi" w:eastAsiaTheme="minorEastAsia" w:hAnsiTheme="minorHAnsi" w:cstheme="minorBidi"/>
                <w:noProof/>
                <w:sz w:val="22"/>
                <w:lang w:eastAsia="sl-SI"/>
              </w:rPr>
              <w:tab/>
            </w:r>
            <w:r w:rsidR="00037412">
              <w:rPr>
                <w:rStyle w:val="Hyperlink"/>
                <w:noProof/>
              </w:rPr>
              <w:t>Povzetek ocenjenih posledic za odobritve za upravne zadeve</w:t>
            </w:r>
            <w:r w:rsidR="00037412">
              <w:rPr>
                <w:noProof/>
                <w:webHidden/>
              </w:rPr>
              <w:tab/>
              <w:t>10</w:t>
            </w:r>
          </w:hyperlink>
        </w:p>
        <w:p w:rsidR="00CA2D7D" w:rsidRDefault="00CE278B">
          <w:pPr>
            <w:pStyle w:val="TOC2"/>
            <w:rPr>
              <w:rFonts w:asciiTheme="minorHAnsi" w:eastAsiaTheme="minorEastAsia" w:hAnsiTheme="minorHAnsi" w:cstheme="minorBidi"/>
              <w:noProof/>
              <w:sz w:val="22"/>
              <w:lang w:eastAsia="sl-SI"/>
            </w:rPr>
          </w:pPr>
          <w:hyperlink w:anchor="_Toc41814082" w:history="1">
            <w:r w:rsidR="00037412">
              <w:rPr>
                <w:rStyle w:val="Hyperlink"/>
                <w:noProof/>
              </w:rPr>
              <w:t>3.3.</w:t>
            </w:r>
            <w:r w:rsidR="00037412">
              <w:rPr>
                <w:rFonts w:asciiTheme="minorHAnsi" w:eastAsiaTheme="minorEastAsia" w:hAnsiTheme="minorHAnsi" w:cstheme="minorBidi"/>
                <w:noProof/>
                <w:sz w:val="22"/>
                <w:lang w:eastAsia="sl-SI"/>
              </w:rPr>
              <w:tab/>
            </w:r>
            <w:r w:rsidR="00037412">
              <w:rPr>
                <w:rStyle w:val="Hyperlink"/>
                <w:noProof/>
              </w:rPr>
              <w:t>Ocenjene posledice za prihodke</w:t>
            </w:r>
            <w:r w:rsidR="00037412">
              <w:rPr>
                <w:noProof/>
                <w:webHidden/>
              </w:rPr>
              <w:tab/>
              <w:t>12</w:t>
            </w:r>
          </w:hyperlink>
        </w:p>
        <w:p w:rsidR="00CA2D7D" w:rsidRDefault="00037412">
          <w:pPr>
            <w:rPr>
              <w:noProof/>
            </w:rPr>
          </w:pPr>
          <w:r>
            <w:rPr>
              <w:b/>
              <w:bCs/>
              <w:noProof/>
            </w:rPr>
            <w:fldChar w:fldCharType="end"/>
          </w:r>
        </w:p>
      </w:sdtContent>
    </w:sdt>
    <w:p w:rsidR="00CA2D7D" w:rsidRDefault="00CA2D7D">
      <w:pPr>
        <w:rPr>
          <w:noProof/>
        </w:rPr>
        <w:sectPr w:rsidR="00CA2D7D">
          <w:pgSz w:w="11907" w:h="16840" w:code="9"/>
          <w:pgMar w:top="1134" w:right="1418" w:bottom="1134" w:left="1418" w:header="709" w:footer="709" w:gutter="0"/>
          <w:pgNumType w:start="1"/>
          <w:cols w:space="708"/>
          <w:docGrid w:linePitch="360"/>
        </w:sectPr>
      </w:pPr>
    </w:p>
    <w:p w:rsidR="00CA2D7D" w:rsidRDefault="00037412">
      <w:pPr>
        <w:jc w:val="center"/>
        <w:rPr>
          <w:b/>
          <w:noProof/>
          <w:u w:val="single"/>
        </w:rPr>
      </w:pPr>
      <w:r>
        <w:rPr>
          <w:b/>
          <w:noProof/>
          <w:u w:val="single"/>
        </w:rPr>
        <w:lastRenderedPageBreak/>
        <w:t>OCENA FINANČNIH POSLEDIC ZAKONODAJNEGA PREDLOGA</w:t>
      </w:r>
    </w:p>
    <w:p w:rsidR="00CA2D7D" w:rsidRDefault="00037412">
      <w:pPr>
        <w:pStyle w:val="ManualHeading1"/>
        <w:rPr>
          <w:noProof/>
        </w:rPr>
      </w:pPr>
      <w:bookmarkStart w:id="2" w:name="_Toc41814062"/>
      <w:r>
        <w:t>1.</w:t>
      </w:r>
      <w:r>
        <w:tab/>
      </w:r>
      <w:r>
        <w:rPr>
          <w:noProof/>
        </w:rPr>
        <w:t>OKVIR PREDLOGA/POBUDE</w:t>
      </w:r>
      <w:bookmarkEnd w:id="2"/>
      <w:r>
        <w:rPr>
          <w:noProof/>
        </w:rPr>
        <w:t xml:space="preserve"> </w:t>
      </w:r>
    </w:p>
    <w:p w:rsidR="00CA2D7D" w:rsidRDefault="00037412">
      <w:pPr>
        <w:pStyle w:val="ManualHeading2"/>
        <w:rPr>
          <w:noProof/>
        </w:rPr>
      </w:pPr>
      <w:bookmarkStart w:id="3" w:name="_Toc41814063"/>
      <w:r>
        <w:t>1.1.</w:t>
      </w:r>
      <w:r>
        <w:tab/>
      </w:r>
      <w:r>
        <w:rPr>
          <w:noProof/>
        </w:rPr>
        <w:t>Naslov predloga/pobude</w:t>
      </w:r>
      <w:bookmarkEnd w:id="3"/>
      <w:r>
        <w:rPr>
          <w:noProof/>
        </w:rPr>
        <w:t xml:space="preserve"> </w:t>
      </w:r>
    </w:p>
    <w:p w:rsidR="00CA2D7D" w:rsidRDefault="00037412">
      <w:pPr>
        <w:pStyle w:val="Text1"/>
        <w:rPr>
          <w:noProof/>
        </w:rPr>
      </w:pPr>
      <w:r>
        <w:rPr>
          <w:noProof/>
        </w:rPr>
        <w:t xml:space="preserve">Predlog spremembe UREDBE SVETA (ES) št. 1257/96 z dne 20. junija 1996 o humanitarni pomoči. </w:t>
      </w:r>
    </w:p>
    <w:p w:rsidR="00CA2D7D" w:rsidRDefault="00037412">
      <w:pPr>
        <w:pStyle w:val="ManualHeading2"/>
        <w:rPr>
          <w:i/>
          <w:noProof/>
        </w:rPr>
      </w:pPr>
      <w:bookmarkStart w:id="4" w:name="_Toc41814064"/>
      <w:r>
        <w:t>1.2.</w:t>
      </w:r>
      <w:r>
        <w:tab/>
      </w:r>
      <w:r>
        <w:rPr>
          <w:noProof/>
        </w:rPr>
        <w:t xml:space="preserve">Zadevna področja </w:t>
      </w:r>
      <w:r>
        <w:rPr>
          <w:i/>
          <w:noProof/>
        </w:rPr>
        <w:t>(programski sklop)</w:t>
      </w:r>
      <w:bookmarkEnd w:id="4"/>
    </w:p>
    <w:p w:rsidR="00CA2D7D" w:rsidRDefault="00037412">
      <w:pPr>
        <w:pStyle w:val="Text1"/>
        <w:pBdr>
          <w:top w:val="single" w:sz="4" w:space="1" w:color="auto"/>
          <w:left w:val="single" w:sz="4" w:space="4" w:color="auto"/>
          <w:bottom w:val="single" w:sz="4" w:space="1" w:color="auto"/>
          <w:right w:val="single" w:sz="4" w:space="4" w:color="auto"/>
        </w:pBdr>
        <w:rPr>
          <w:noProof/>
        </w:rPr>
      </w:pPr>
      <w:r>
        <w:rPr>
          <w:noProof/>
        </w:rPr>
        <w:t>15 Zunanje delovanje</w:t>
      </w:r>
    </w:p>
    <w:p w:rsidR="00CA2D7D" w:rsidRDefault="00037412">
      <w:pPr>
        <w:pStyle w:val="ManualHeading2"/>
        <w:rPr>
          <w:bCs/>
          <w:noProof/>
          <w:szCs w:val="24"/>
        </w:rPr>
      </w:pPr>
      <w:bookmarkStart w:id="5" w:name="_Toc41814065"/>
      <w:r>
        <w:t>1.3.</w:t>
      </w:r>
      <w:r>
        <w:tab/>
      </w:r>
      <w:r>
        <w:rPr>
          <w:noProof/>
        </w:rPr>
        <w:t>Ukrep, na katerega se predlog/pobuda nanaša</w:t>
      </w:r>
      <w:bookmarkEnd w:id="5"/>
      <w:r>
        <w:rPr>
          <w:noProof/>
        </w:rPr>
        <w:t xml:space="preserve"> </w:t>
      </w:r>
    </w:p>
    <w:p w:rsidR="00CA2D7D" w:rsidRDefault="00037412">
      <w:pPr>
        <w:pStyle w:val="Text1"/>
        <w:rPr>
          <w:b/>
          <w:noProof/>
          <w:sz w:val="22"/>
        </w:rPr>
      </w:pPr>
      <w:r>
        <w:rPr>
          <w:noProof/>
          <w:sz w:val="22"/>
        </w:rPr>
        <w:sym w:font="Wingdings" w:char="F0A8"/>
      </w:r>
      <w:r>
        <w:rPr>
          <w:b/>
          <w:i/>
          <w:noProof/>
          <w:sz w:val="22"/>
        </w:rPr>
        <w:t xml:space="preserve"> </w:t>
      </w:r>
      <w:r>
        <w:rPr>
          <w:b/>
          <w:noProof/>
        </w:rPr>
        <w:t>Nov ukrep</w:t>
      </w:r>
      <w:r>
        <w:rPr>
          <w:b/>
          <w:noProof/>
          <w:sz w:val="22"/>
        </w:rPr>
        <w:t xml:space="preserve"> </w:t>
      </w:r>
    </w:p>
    <w:p w:rsidR="00CA2D7D" w:rsidRDefault="00037412">
      <w:pPr>
        <w:pStyle w:val="Text1"/>
        <w:rPr>
          <w:noProof/>
          <w:sz w:val="22"/>
        </w:rPr>
      </w:pPr>
      <w:r>
        <w:rPr>
          <w:noProof/>
          <w:sz w:val="22"/>
        </w:rPr>
        <w:sym w:font="Wingdings" w:char="F0A8"/>
      </w:r>
      <w:r>
        <w:rPr>
          <w:i/>
          <w:noProof/>
          <w:sz w:val="22"/>
        </w:rPr>
        <w:t xml:space="preserve"> </w:t>
      </w:r>
      <w:r>
        <w:rPr>
          <w:b/>
          <w:noProof/>
        </w:rPr>
        <w:t>Nov ukrep na podlagi pilotnega projekta / pripravljalnega ukrepa</w:t>
      </w:r>
      <w:r>
        <w:rPr>
          <w:rStyle w:val="FootnoteReference"/>
          <w:b/>
          <w:noProof/>
        </w:rPr>
        <w:footnoteReference w:id="5"/>
      </w:r>
      <w:r>
        <w:rPr>
          <w:noProof/>
          <w:sz w:val="22"/>
        </w:rPr>
        <w:t xml:space="preserve"> </w:t>
      </w:r>
    </w:p>
    <w:p w:rsidR="00CA2D7D" w:rsidRDefault="00037412">
      <w:pPr>
        <w:pStyle w:val="Text1"/>
        <w:rPr>
          <w:noProof/>
          <w:sz w:val="22"/>
        </w:rPr>
      </w:pPr>
      <w:r>
        <w:rPr>
          <w:noProof/>
          <w:sz w:val="22"/>
        </w:rPr>
        <w:t>X</w:t>
      </w:r>
      <w:r>
        <w:rPr>
          <w:i/>
          <w:noProof/>
          <w:sz w:val="22"/>
        </w:rPr>
        <w:t xml:space="preserve"> </w:t>
      </w:r>
      <w:r>
        <w:rPr>
          <w:b/>
          <w:noProof/>
        </w:rPr>
        <w:t>Podaljšanje obstoječega ukrepa</w:t>
      </w:r>
      <w:r>
        <w:rPr>
          <w:noProof/>
          <w:sz w:val="22"/>
        </w:rPr>
        <w:t xml:space="preserve"> </w:t>
      </w:r>
    </w:p>
    <w:p w:rsidR="00CA2D7D" w:rsidRDefault="00037412">
      <w:pPr>
        <w:pStyle w:val="Text1"/>
        <w:rPr>
          <w:noProof/>
        </w:rPr>
      </w:pPr>
      <w:r>
        <w:rPr>
          <w:noProof/>
          <w:sz w:val="22"/>
        </w:rPr>
        <w:sym w:font="Wingdings" w:char="F0A8"/>
      </w:r>
      <w:r>
        <w:rPr>
          <w:i/>
          <w:noProof/>
          <w:sz w:val="22"/>
        </w:rPr>
        <w:t xml:space="preserve"> </w:t>
      </w:r>
      <w:r>
        <w:rPr>
          <w:b/>
          <w:noProof/>
        </w:rPr>
        <w:t>Združitev ali preusmeritev enega ali več ukrepov v drug/nov ukrep</w:t>
      </w:r>
      <w:r>
        <w:rPr>
          <w:noProof/>
        </w:rPr>
        <w:t xml:space="preserve"> </w:t>
      </w:r>
    </w:p>
    <w:p w:rsidR="00CA2D7D" w:rsidRDefault="00037412">
      <w:pPr>
        <w:pStyle w:val="ManualHeading2"/>
        <w:rPr>
          <w:bCs/>
          <w:noProof/>
          <w:szCs w:val="24"/>
        </w:rPr>
      </w:pPr>
      <w:bookmarkStart w:id="6" w:name="_Toc41814066"/>
      <w:r>
        <w:t>1.4.</w:t>
      </w:r>
      <w:r>
        <w:tab/>
      </w:r>
      <w:r>
        <w:rPr>
          <w:noProof/>
        </w:rPr>
        <w:t>Utemeljitev predloga/pobude</w:t>
      </w:r>
      <w:bookmarkEnd w:id="6"/>
      <w:r>
        <w:rPr>
          <w:noProof/>
        </w:rPr>
        <w:t xml:space="preserve"> </w:t>
      </w:r>
    </w:p>
    <w:p w:rsidR="00CA2D7D" w:rsidRDefault="00037412">
      <w:pPr>
        <w:pStyle w:val="ManualHeading3"/>
        <w:rPr>
          <w:noProof/>
        </w:rPr>
      </w:pPr>
      <w:bookmarkStart w:id="7" w:name="_Toc41814067"/>
      <w:r>
        <w:t>1.4.1.</w:t>
      </w:r>
      <w:r>
        <w:tab/>
      </w:r>
      <w:r>
        <w:rPr>
          <w:noProof/>
        </w:rPr>
        <w:t>Potrebe, ki jih je treba zadovoljiti kratkoročno ali dolgoročno, vključno s podrobno časovnico za uvajanje ustreznih ukrepov za izvajanje pobude</w:t>
      </w:r>
      <w:bookmarkEnd w:id="7"/>
    </w:p>
    <w:p w:rsidR="00CA2D7D" w:rsidRDefault="00037412">
      <w:pPr>
        <w:pStyle w:val="Text1"/>
        <w:pBdr>
          <w:top w:val="single" w:sz="4" w:space="1" w:color="auto"/>
          <w:left w:val="single" w:sz="4" w:space="4" w:color="auto"/>
          <w:bottom w:val="single" w:sz="4" w:space="1" w:color="auto"/>
          <w:right w:val="single" w:sz="4" w:space="4" w:color="auto"/>
        </w:pBdr>
        <w:rPr>
          <w:noProof/>
        </w:rPr>
      </w:pPr>
      <w:r>
        <w:rPr>
          <w:noProof/>
        </w:rPr>
        <w:t xml:space="preserve">Ta ciljno usmerjena sprememba uredbe o humanitarni pomoči se predlaga v okviru revidiranega predloga večletnega finančnega okvira (2021–2027), ki vključuje instrument Evropske unije za okrevanje. Ta novi instrument bo, skupaj z drugimi programi, za omejeno obdobje zagotavljal sredstva za humanitarno pomoč nad zgornjimi mejami, določenimi v večletnem finančnem okviru za odobritve za prevzem obveznosti in odobritve plačil, in sicer kot zunanje namenske prejemke v smislu člena 21 finančne uredbe. </w:t>
      </w:r>
    </w:p>
    <w:p w:rsidR="00CA2D7D" w:rsidRDefault="00037412">
      <w:pPr>
        <w:pStyle w:val="Text1"/>
        <w:pBdr>
          <w:top w:val="single" w:sz="4" w:space="1" w:color="auto"/>
          <w:left w:val="single" w:sz="4" w:space="4" w:color="auto"/>
          <w:bottom w:val="single" w:sz="4" w:space="1" w:color="auto"/>
          <w:right w:val="single" w:sz="4" w:space="4" w:color="auto"/>
        </w:pBdr>
        <w:rPr>
          <w:noProof/>
          <w:color w:val="0000FF"/>
        </w:rPr>
      </w:pPr>
      <w:r>
        <w:rPr>
          <w:noProof/>
        </w:rPr>
        <w:t>Namen izvajanja zadevnih ukrepov v okviru humanitarne pomoči je podpora tretjim državam pri premagovanju negativnih posledic pandemije COVID-19 in povečevanju odpornosti.</w:t>
      </w:r>
    </w:p>
    <w:p w:rsidR="00CA2D7D" w:rsidRDefault="00037412">
      <w:pPr>
        <w:pStyle w:val="ManualHeading3"/>
        <w:rPr>
          <w:noProof/>
        </w:rPr>
      </w:pPr>
      <w:bookmarkStart w:id="8" w:name="_Toc41814068"/>
      <w:r>
        <w:t>1.4.2.</w:t>
      </w:r>
      <w:r>
        <w:tab/>
      </w:r>
      <w:r>
        <w:rPr>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bookmarkEnd w:id="8"/>
    </w:p>
    <w:p w:rsidR="00CA2D7D" w:rsidRDefault="00037412">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 xml:space="preserve">Širjenje koronavirusne bolezni (v nadaljnjem besedilu: COVID-19), ki ga je Svetovna zdravstvena organizacija 11. marca 2020 razglasila za pandemijo, je močno obremenilo tretje države, zlasti države, ki se soočajo s konflikti ali drugimi vrstami kriz. Poleg tega so tretje države za zajezitev širjenja bolezni sprejele vrsto ukrepov brez primere. Ti ukrepi so močno okrnili gospodarske dejavnosti, kar pomeni dodatne izzive za že oslabljene sisteme v nekaterih državah. Zlasti so povzročili motnje v dobavnih verigah in proizvodnji ter odsotnosti z delovnega mesta. Širše gledano so ti ukrepi že povzročili ali bodo povzročili resno poslabšanje finančnega položaja številnih podjetij v tretjih državah. </w:t>
      </w:r>
    </w:p>
    <w:p w:rsidR="00CA2D7D" w:rsidRDefault="00037412">
      <w:pPr>
        <w:pStyle w:val="Text1"/>
        <w:pBdr>
          <w:top w:val="single" w:sz="4" w:space="1" w:color="auto"/>
          <w:left w:val="single" w:sz="4" w:space="4" w:color="auto"/>
          <w:bottom w:val="single" w:sz="4" w:space="1" w:color="auto"/>
          <w:right w:val="single" w:sz="4" w:space="4" w:color="auto"/>
        </w:pBdr>
        <w:rPr>
          <w:noProof/>
        </w:rPr>
      </w:pPr>
      <w:r>
        <w:rPr>
          <w:noProof/>
        </w:rPr>
        <w:lastRenderedPageBreak/>
        <w:t>(2)</w:t>
      </w:r>
      <w:r>
        <w:rPr>
          <w:noProof/>
        </w:rPr>
        <w:tab/>
        <w:t>Kriza se je hitro razširila po Uniji in tretjih državah. Za leto 2020 je sedaj predvideno močno zmanjšanje rasti po vsem svetu, ki bi se lahko podaljšalo tudi v leto 2021. To ima lahko še posebej hude posledice za tretje države in njihovo prebivalstvo ali ranljive skupine (npr. begunce), zlasti če je povezano z drugimi izzivi, kot so konflikti, naravne nesreče ali razpad zdravstvenih sistemov v tretjih državah.</w:t>
      </w:r>
    </w:p>
    <w:p w:rsidR="00CA2D7D" w:rsidRDefault="00037412">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 xml:space="preserve">Ta izredna situacija zahteva skladen in enoten pristop na ravni Unije, da bi preprečili nadaljnje poslabšanje gospodarskega položaja in spodbudili uravnoteženo okrevanje gospodarske aktivnosti, zagotovili neprekinjeno poslovanje in povečali naložbe za prehod na zeleno in digitalno gospodarstvo. Poleg tega je treba zaradi obsežnih posledic za tretje države ali ranljive skupine, ki se soočajo z drugimi izzivi, kot so konflikti, revščina in naravne nesreče, vzpostaviti instrument EU za okrevanje, da bi obravnavali posledice pandemije COVID-19 oziroma pokrili nujne potrebe po financiranju, da bi se izognili njenemu ponovnemu izbruhu. </w:t>
      </w:r>
    </w:p>
    <w:p w:rsidR="00CA2D7D" w:rsidRDefault="00037412">
      <w:pPr>
        <w:pStyle w:val="Text1"/>
        <w:pBdr>
          <w:top w:val="single" w:sz="4" w:space="1" w:color="auto"/>
          <w:left w:val="single" w:sz="4" w:space="4" w:color="auto"/>
          <w:bottom w:val="single" w:sz="4" w:space="1" w:color="auto"/>
          <w:right w:val="single" w:sz="4" w:space="4" w:color="auto"/>
        </w:pBdr>
        <w:rPr>
          <w:noProof/>
        </w:rPr>
      </w:pPr>
      <w:r>
        <w:rPr>
          <w:noProof/>
        </w:rPr>
        <w:t xml:space="preserve">(5) Instrument bi moral poleg podpore za gospodarstva tako znotraj EU kot tudi v tretjih državah ter za raziskovalne in inovacijske dejavnosti na področju zdravja in podnebja v Uniji tudi okrepiti podporo, ki jo lahko EU zagotovi v primerih humanitarnih potreb. </w:t>
      </w:r>
    </w:p>
    <w:p w:rsidR="00CA2D7D" w:rsidRDefault="00037412">
      <w:pPr>
        <w:pStyle w:val="Text1"/>
        <w:pBdr>
          <w:top w:val="single" w:sz="4" w:space="1" w:color="auto"/>
          <w:left w:val="single" w:sz="4" w:space="4" w:color="auto"/>
          <w:bottom w:val="single" w:sz="4" w:space="1" w:color="auto"/>
          <w:right w:val="single" w:sz="4" w:space="4" w:color="auto"/>
        </w:pBdr>
        <w:rPr>
          <w:noProof/>
        </w:rPr>
      </w:pPr>
      <w:r>
        <w:rPr>
          <w:noProof/>
        </w:rPr>
        <w:t xml:space="preserve">(6) Splošne humanitarne razmere ter trgovinski in gospodarski odnosi s sosednjimi državami in državami v razvoju so zelo pomembni za gospodarstvo Unije. Iz tega razloga ter v skladu z globalno vlogo in odgovornostjo Unije kot tudi njenimi vrednotami bi bilo treba finančna sredstva iz instrumenta EU za okrevanje prek instrumenta za sosedstvo ter razvojno in mednarodno sodelovanje uporabiti tudi za podporo prizadevanjem teh držav za odpravljanje posledic pandemije COVID-19 in okrevanje po njej. Prek humanitarne pomoči bi jih bilo treba uporabiti tudi za zagotavljanje humanitarne podpore prebivalstvu v stiski, vključno z nujno potrebno podporo zdravstvenim službam tretjih držav. </w:t>
      </w:r>
    </w:p>
    <w:p w:rsidR="00CA2D7D" w:rsidRDefault="00037412">
      <w:pPr>
        <w:pStyle w:val="ManualHeading3"/>
        <w:rPr>
          <w:noProof/>
        </w:rPr>
      </w:pPr>
      <w:bookmarkStart w:id="9" w:name="_Toc41814069"/>
      <w:r>
        <w:t>1.4.3.</w:t>
      </w:r>
      <w:r>
        <w:tab/>
      </w:r>
      <w:r>
        <w:rPr>
          <w:noProof/>
        </w:rPr>
        <w:t>Spoznanja iz podobnih izkušenj v preteklosti</w:t>
      </w:r>
      <w:bookmarkEnd w:id="9"/>
    </w:p>
    <w:p w:rsidR="00CA2D7D" w:rsidRDefault="00037412">
      <w:pPr>
        <w:pStyle w:val="Text1"/>
        <w:pBdr>
          <w:top w:val="single" w:sz="4" w:space="1" w:color="auto"/>
          <w:left w:val="single" w:sz="4" w:space="4" w:color="auto"/>
          <w:bottom w:val="single" w:sz="4" w:space="1" w:color="auto"/>
          <w:right w:val="single" w:sz="4" w:space="4" w:color="auto"/>
        </w:pBdr>
        <w:rPr>
          <w:noProof/>
        </w:rPr>
      </w:pPr>
      <w:r>
        <w:rPr>
          <w:noProof/>
        </w:rPr>
        <w:t>Izkušnje iz večletnega finančnega okvira za obdobje 2014–2020 kažejo, da letne dodelitve za humanitarno pomoč ne zadostujejo za kritje številnih obstoječih ali na novo nastajajočih humanitarnih kriz na svetu. Zato so bile potrebne večje okrepitve podpore iz rezerve za nujno pomoč in drugih virov. Ta predlog je odziv na dodatne nepredvidene potrebe v zvezi z izbruhom COVID-19 s povečanjem razpoložljivosti dodatnih sredstev nad zneske večletnega finančnega okvira za obdobje 2021–2027.</w:t>
      </w:r>
    </w:p>
    <w:p w:rsidR="00CA2D7D" w:rsidRDefault="00037412">
      <w:pPr>
        <w:pStyle w:val="ManualHeading3"/>
        <w:rPr>
          <w:noProof/>
        </w:rPr>
      </w:pPr>
      <w:bookmarkStart w:id="10" w:name="_Toc41814070"/>
      <w:r>
        <w:t>1.4.4.</w:t>
      </w:r>
      <w:r>
        <w:tab/>
      </w:r>
      <w:r>
        <w:rPr>
          <w:noProof/>
        </w:rPr>
        <w:t>Skladnost in možne sinergije z drugimi ustreznimi instrumenti</w:t>
      </w:r>
      <w:bookmarkEnd w:id="10"/>
    </w:p>
    <w:p w:rsidR="00CA2D7D" w:rsidRDefault="00037412">
      <w:pPr>
        <w:pStyle w:val="Text1"/>
        <w:pBdr>
          <w:top w:val="single" w:sz="4" w:space="1" w:color="auto"/>
          <w:left w:val="single" w:sz="4" w:space="4" w:color="auto"/>
          <w:bottom w:val="single" w:sz="4" w:space="1" w:color="auto"/>
          <w:right w:val="single" w:sz="4" w:space="4" w:color="auto"/>
        </w:pBdr>
        <w:rPr>
          <w:noProof/>
        </w:rPr>
      </w:pPr>
      <w:r>
        <w:rPr>
          <w:noProof/>
        </w:rPr>
        <w:t>Poleg sinergij z instrumentom za sosedstvo ter razvojno in mednarodno sodelovanje trenutna pobuda v okviru revidiranega predloga o večletnem finančnem okviru vključuje močne sinergije med humanitarno pomočjo in novim instrumentom Evropske unije za okrevanje iz predlagane uredbe (EU) XXX/XX. Ta bo omejen čas omogočal zagotavljanje sredstev tem sektorskim programom nad zgornjimi mejami večletnega finančnega okvira, in sicer zaradi dopolnjevanja ciljev in delovanja teh instrumentov ter glede na utemeljitev in dodano vrednost, predstavljeno v oddelku 1.4.2 zgoraj.</w:t>
      </w:r>
    </w:p>
    <w:p w:rsidR="00CA2D7D" w:rsidRDefault="00CA2D7D">
      <w:pPr>
        <w:pStyle w:val="Text1"/>
        <w:rPr>
          <w:noProof/>
        </w:rPr>
      </w:pPr>
    </w:p>
    <w:p w:rsidR="00CA2D7D" w:rsidRDefault="00037412">
      <w:pPr>
        <w:pStyle w:val="ManualHeading2"/>
        <w:rPr>
          <w:bCs/>
          <w:noProof/>
          <w:szCs w:val="24"/>
        </w:rPr>
      </w:pPr>
      <w:r>
        <w:rPr>
          <w:noProof/>
        </w:rPr>
        <w:br w:type="page"/>
      </w:r>
      <w:bookmarkStart w:id="11" w:name="_Toc41814071"/>
      <w:r>
        <w:lastRenderedPageBreak/>
        <w:t>1.5.</w:t>
      </w:r>
      <w:r>
        <w:tab/>
      </w:r>
      <w:r>
        <w:rPr>
          <w:noProof/>
        </w:rPr>
        <w:t>Trajanje predloga/pobude in finančnih posledic</w:t>
      </w:r>
      <w:bookmarkEnd w:id="11"/>
      <w:r>
        <w:rPr>
          <w:noProof/>
        </w:rPr>
        <w:t xml:space="preserve"> </w:t>
      </w:r>
    </w:p>
    <w:p w:rsidR="00CA2D7D" w:rsidRDefault="00037412">
      <w:pPr>
        <w:pStyle w:val="Text1"/>
        <w:rPr>
          <w:noProof/>
        </w:rPr>
      </w:pPr>
      <w:r>
        <w:rPr>
          <w:noProof/>
        </w:rPr>
        <w:sym w:font="Wingdings" w:char="F0A8"/>
      </w:r>
      <w:r>
        <w:rPr>
          <w:b/>
          <w:i/>
          <w:noProof/>
        </w:rPr>
        <w:t xml:space="preserve"> </w:t>
      </w:r>
      <w:r>
        <w:rPr>
          <w:b/>
          <w:noProof/>
        </w:rPr>
        <w:t xml:space="preserve">Časovno omejeno </w:t>
      </w:r>
    </w:p>
    <w:p w:rsidR="00CA2D7D" w:rsidRDefault="00037412">
      <w:pPr>
        <w:pStyle w:val="ListDash2"/>
        <w:rPr>
          <w:noProof/>
        </w:rPr>
      </w:pPr>
      <w:r>
        <w:rPr>
          <w:noProof/>
        </w:rPr>
        <w:sym w:font="Wingdings" w:char="F0A8"/>
      </w:r>
      <w:r>
        <w:rPr>
          <w:noProof/>
        </w:rPr>
        <w:tab/>
        <w:t xml:space="preserve">od [D. MMMM] LLLL do [D. MMMM] LLLL, </w:t>
      </w:r>
    </w:p>
    <w:p w:rsidR="00CA2D7D" w:rsidRDefault="00037412">
      <w:pPr>
        <w:pStyle w:val="ListDash2"/>
        <w:rPr>
          <w:noProof/>
        </w:rPr>
      </w:pPr>
      <w:r>
        <w:rPr>
          <w:noProof/>
        </w:rPr>
        <w:sym w:font="Wingdings" w:char="F0A8"/>
      </w:r>
      <w:r>
        <w:rPr>
          <w:noProof/>
        </w:rPr>
        <w:tab/>
        <w:t xml:space="preserve">finančne posledice med letoma LLLL in LLLL za odobritve za prevzem obveznosti ter med letoma LLLL in LLLL za odobritve plačil. </w:t>
      </w:r>
    </w:p>
    <w:p w:rsidR="00CA2D7D" w:rsidRDefault="00037412">
      <w:pPr>
        <w:pStyle w:val="Text1"/>
        <w:rPr>
          <w:noProof/>
        </w:rPr>
      </w:pPr>
      <w:r>
        <w:rPr>
          <w:noProof/>
        </w:rPr>
        <w:t>X</w:t>
      </w:r>
      <w:r>
        <w:rPr>
          <w:b/>
          <w:i/>
          <w:noProof/>
        </w:rPr>
        <w:t xml:space="preserve"> </w:t>
      </w:r>
      <w:r>
        <w:rPr>
          <w:b/>
          <w:noProof/>
        </w:rPr>
        <w:t>Časovno neomejeno</w:t>
      </w:r>
    </w:p>
    <w:p w:rsidR="00CA2D7D" w:rsidRDefault="00037412">
      <w:pPr>
        <w:pStyle w:val="ListDash1"/>
        <w:rPr>
          <w:noProof/>
        </w:rPr>
      </w:pPr>
      <w:r>
        <w:rPr>
          <w:noProof/>
        </w:rPr>
        <w:t>izvajanje z obdobjem uvajanja od leta 2021 naprej</w:t>
      </w:r>
    </w:p>
    <w:p w:rsidR="00CA2D7D" w:rsidRDefault="00037412">
      <w:pPr>
        <w:pStyle w:val="ListDash1"/>
        <w:rPr>
          <w:noProof/>
        </w:rPr>
      </w:pPr>
      <w:r>
        <w:rPr>
          <w:noProof/>
        </w:rPr>
        <w:t>ki mu sledi izvajanje v celoti.</w:t>
      </w:r>
    </w:p>
    <w:p w:rsidR="00CA2D7D" w:rsidRDefault="00037412">
      <w:pPr>
        <w:pStyle w:val="ManualHeading2"/>
        <w:rPr>
          <w:bCs/>
          <w:noProof/>
          <w:szCs w:val="24"/>
        </w:rPr>
      </w:pPr>
      <w:bookmarkStart w:id="12" w:name="_Toc41814072"/>
      <w:r>
        <w:t>1.6.</w:t>
      </w:r>
      <w:r>
        <w:tab/>
      </w:r>
      <w:r>
        <w:rPr>
          <w:noProof/>
        </w:rPr>
        <w:t>Načrtovani načini upravljanja</w:t>
      </w:r>
      <w:r>
        <w:rPr>
          <w:rStyle w:val="FootnoteReference"/>
          <w:noProof/>
        </w:rPr>
        <w:footnoteReference w:id="6"/>
      </w:r>
      <w:bookmarkEnd w:id="12"/>
      <w:r>
        <w:rPr>
          <w:rStyle w:val="FootnoteReference"/>
          <w:noProof/>
        </w:rPr>
        <w:t xml:space="preserve">  </w:t>
      </w:r>
    </w:p>
    <w:p w:rsidR="00CA2D7D" w:rsidRDefault="00037412">
      <w:pPr>
        <w:pStyle w:val="Text1"/>
        <w:rPr>
          <w:noProof/>
        </w:rPr>
      </w:pPr>
      <w:r>
        <w:rPr>
          <w:noProof/>
        </w:rPr>
        <w:t>X</w:t>
      </w:r>
      <w:r>
        <w:rPr>
          <w:i/>
          <w:noProof/>
        </w:rPr>
        <w:t xml:space="preserve"> </w:t>
      </w:r>
      <w:r>
        <w:rPr>
          <w:b/>
          <w:noProof/>
        </w:rPr>
        <w:t>Neposredno upravljanje</w:t>
      </w:r>
      <w:r>
        <w:rPr>
          <w:noProof/>
        </w:rPr>
        <w:t xml:space="preserve"> – Komisija:</w:t>
      </w:r>
    </w:p>
    <w:p w:rsidR="00CA2D7D" w:rsidRDefault="00037412">
      <w:pPr>
        <w:pStyle w:val="ListDash2"/>
        <w:rPr>
          <w:rFonts w:cs="EUAlbertina"/>
          <w:noProof/>
        </w:rPr>
      </w:pPr>
      <w:r>
        <w:rPr>
          <w:noProof/>
        </w:rPr>
        <w:t xml:space="preserve">z lastnimi službami, vključno s svojim osebjem v delegacijah Unije, </w:t>
      </w:r>
    </w:p>
    <w:p w:rsidR="00CA2D7D" w:rsidRDefault="00037412">
      <w:pPr>
        <w:pStyle w:val="ListDash2"/>
        <w:rPr>
          <w:noProof/>
        </w:rPr>
      </w:pPr>
      <w:r>
        <w:rPr>
          <w:noProof/>
        </w:rPr>
        <w:sym w:font="Wingdings" w:char="F0A8"/>
      </w:r>
      <w:r>
        <w:rPr>
          <w:noProof/>
        </w:rPr>
        <w:tab/>
        <w:t xml:space="preserve">prek izvajalskih agencij. </w:t>
      </w:r>
    </w:p>
    <w:p w:rsidR="00CA2D7D" w:rsidRDefault="00037412">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rsidR="00CA2D7D" w:rsidRDefault="00037412">
      <w:pPr>
        <w:pStyle w:val="Text1"/>
        <w:rPr>
          <w:noProof/>
        </w:rPr>
      </w:pPr>
      <w:r>
        <w:rPr>
          <w:noProof/>
        </w:rPr>
        <w:t>X</w:t>
      </w:r>
      <w:r>
        <w:rPr>
          <w:i/>
          <w:noProof/>
        </w:rPr>
        <w:t xml:space="preserve"> </w:t>
      </w:r>
      <w:r>
        <w:rPr>
          <w:b/>
          <w:noProof/>
        </w:rPr>
        <w:t>Posredno upravljanje</w:t>
      </w:r>
      <w:r>
        <w:rPr>
          <w:noProof/>
        </w:rPr>
        <w:t>, tako da se naloge izvrševanja proračuna poverijo:</w:t>
      </w:r>
    </w:p>
    <w:p w:rsidR="00CA2D7D" w:rsidRDefault="00037412">
      <w:pPr>
        <w:pStyle w:val="ListDash2"/>
        <w:rPr>
          <w:noProof/>
        </w:rPr>
      </w:pPr>
      <w:r>
        <w:rPr>
          <w:noProof/>
        </w:rPr>
        <w:sym w:font="Wingdings" w:char="F0A8"/>
      </w:r>
      <w:r>
        <w:rPr>
          <w:noProof/>
        </w:rPr>
        <w:t xml:space="preserve"> tretjim državam ali organom, ki jih te imenujejo,</w:t>
      </w:r>
    </w:p>
    <w:p w:rsidR="00CA2D7D" w:rsidRDefault="00037412">
      <w:pPr>
        <w:pStyle w:val="ListDash2"/>
        <w:rPr>
          <w:noProof/>
        </w:rPr>
      </w:pPr>
      <w:r>
        <w:rPr>
          <w:noProof/>
        </w:rPr>
        <w:t>X mednarodnim organizacijam in njihovim agencijam (navedite),</w:t>
      </w:r>
    </w:p>
    <w:p w:rsidR="00CA2D7D" w:rsidRDefault="00037412">
      <w:pPr>
        <w:pStyle w:val="ListDash2"/>
        <w:rPr>
          <w:noProof/>
        </w:rPr>
      </w:pPr>
      <w:r>
        <w:rPr>
          <w:noProof/>
        </w:rPr>
        <w:sym w:font="Wingdings" w:char="F0A8"/>
      </w:r>
      <w:r>
        <w:rPr>
          <w:noProof/>
        </w:rPr>
        <w:t xml:space="preserve"> EIB in Evropskemu investicijskemu skladu,</w:t>
      </w:r>
    </w:p>
    <w:p w:rsidR="00CA2D7D" w:rsidRDefault="00037412">
      <w:pPr>
        <w:pStyle w:val="ListDash2"/>
        <w:rPr>
          <w:noProof/>
        </w:rPr>
      </w:pPr>
      <w:r>
        <w:rPr>
          <w:noProof/>
        </w:rPr>
        <w:sym w:font="Wingdings" w:char="F0A8"/>
      </w:r>
      <w:r>
        <w:rPr>
          <w:noProof/>
        </w:rPr>
        <w:t xml:space="preserve"> organom iz členov 70 in 71 finančne uredbe,</w:t>
      </w:r>
    </w:p>
    <w:p w:rsidR="00CA2D7D" w:rsidRDefault="00037412">
      <w:pPr>
        <w:pStyle w:val="ListDash2"/>
        <w:rPr>
          <w:noProof/>
        </w:rPr>
      </w:pPr>
      <w:r>
        <w:rPr>
          <w:noProof/>
        </w:rPr>
        <w:sym w:font="Wingdings" w:char="F0A8"/>
      </w:r>
      <w:r>
        <w:rPr>
          <w:noProof/>
        </w:rPr>
        <w:t xml:space="preserve"> subjektom javnega prava,</w:t>
      </w:r>
    </w:p>
    <w:p w:rsidR="00CA2D7D" w:rsidRDefault="00037412">
      <w:pPr>
        <w:pStyle w:val="ListDash2"/>
        <w:rPr>
          <w:noProof/>
        </w:rPr>
      </w:pPr>
      <w:r>
        <w:rPr>
          <w:noProof/>
        </w:rPr>
        <w:t>X subjektom zasebnega prava, ki opravljajo javne storitve, kolikor ti subjekti zagotavljajo ustrezna finančna jamstva,</w:t>
      </w:r>
    </w:p>
    <w:p w:rsidR="00CA2D7D" w:rsidRDefault="00037412">
      <w:pPr>
        <w:pStyle w:val="ListDash2"/>
        <w:rPr>
          <w:noProof/>
        </w:rPr>
      </w:pPr>
      <w:r>
        <w:rPr>
          <w:noProof/>
        </w:rPr>
        <w:t>X subjektom zasebnega prava države članice, ki so pooblaščeni za izvajanje javno-zasebnih partnerstev in ki zagotavljajo ustrezna finančna jamstva,</w:t>
      </w:r>
    </w:p>
    <w:p w:rsidR="00CA2D7D" w:rsidRDefault="00037412">
      <w:pPr>
        <w:pStyle w:val="ListDash2"/>
        <w:rPr>
          <w:noProof/>
        </w:rPr>
      </w:pPr>
      <w:r>
        <w:rPr>
          <w:noProof/>
        </w:rPr>
        <w:sym w:font="Wingdings" w:char="F0A8"/>
      </w:r>
      <w:r>
        <w:rPr>
          <w:noProof/>
        </w:rPr>
        <w:t xml:space="preserve"> osebam, pooblaščenim za izvajanje določenih ukrepov SZVP na podlagi naslova V PEU in opredeljenim v zadevnem temeljnem aktu.</w:t>
      </w:r>
    </w:p>
    <w:p w:rsidR="00CA2D7D" w:rsidRDefault="00037412">
      <w:pPr>
        <w:rPr>
          <w:noProof/>
        </w:rPr>
      </w:pPr>
      <w:r>
        <w:rPr>
          <w:noProof/>
        </w:rPr>
        <w:t>Opombe:</w:t>
      </w:r>
    </w:p>
    <w:p w:rsidR="00CA2D7D" w:rsidRDefault="00CA2D7D">
      <w:pPr>
        <w:pBdr>
          <w:top w:val="single" w:sz="4" w:space="1" w:color="auto"/>
          <w:left w:val="single" w:sz="4" w:space="4" w:color="auto"/>
          <w:bottom w:val="single" w:sz="4" w:space="1" w:color="auto"/>
          <w:right w:val="single" w:sz="4" w:space="4" w:color="auto"/>
        </w:pBdr>
        <w:rPr>
          <w:noProof/>
        </w:rPr>
      </w:pPr>
    </w:p>
    <w:p w:rsidR="00CA2D7D" w:rsidRDefault="00CA2D7D">
      <w:pPr>
        <w:rPr>
          <w:noProof/>
        </w:rPr>
      </w:pPr>
    </w:p>
    <w:p w:rsidR="00CA2D7D" w:rsidRDefault="00CA2D7D">
      <w:pPr>
        <w:rPr>
          <w:noProof/>
        </w:rPr>
        <w:sectPr w:rsidR="00CA2D7D">
          <w:pgSz w:w="11907" w:h="16840" w:code="9"/>
          <w:pgMar w:top="1134" w:right="1418" w:bottom="1134" w:left="1418" w:header="709" w:footer="709" w:gutter="0"/>
          <w:cols w:space="708"/>
          <w:docGrid w:linePitch="360"/>
        </w:sectPr>
      </w:pPr>
    </w:p>
    <w:p w:rsidR="00CA2D7D" w:rsidRDefault="00037412">
      <w:pPr>
        <w:pStyle w:val="ManualHeading1"/>
        <w:rPr>
          <w:bCs/>
          <w:noProof/>
          <w:szCs w:val="24"/>
        </w:rPr>
      </w:pPr>
      <w:bookmarkStart w:id="13" w:name="_Toc41814073"/>
      <w:r>
        <w:lastRenderedPageBreak/>
        <w:t>2.</w:t>
      </w:r>
      <w:r>
        <w:tab/>
      </w:r>
      <w:r>
        <w:rPr>
          <w:noProof/>
        </w:rPr>
        <w:t>UKREPI UPRAVLJANJA</w:t>
      </w:r>
      <w:bookmarkEnd w:id="13"/>
      <w:r>
        <w:rPr>
          <w:noProof/>
        </w:rPr>
        <w:t xml:space="preserve"> </w:t>
      </w:r>
    </w:p>
    <w:p w:rsidR="00CA2D7D" w:rsidRDefault="00037412">
      <w:pPr>
        <w:pStyle w:val="ManualHeading2"/>
        <w:rPr>
          <w:noProof/>
        </w:rPr>
      </w:pPr>
      <w:bookmarkStart w:id="14" w:name="_Toc41814074"/>
      <w:r>
        <w:t>2.1.</w:t>
      </w:r>
      <w:r>
        <w:tab/>
      </w:r>
      <w:r>
        <w:rPr>
          <w:noProof/>
        </w:rPr>
        <w:t>Pravila o spremljanju in poročanju</w:t>
      </w:r>
      <w:bookmarkEnd w:id="14"/>
      <w:r>
        <w:rPr>
          <w:noProof/>
        </w:rPr>
        <w:t xml:space="preserve"> </w:t>
      </w:r>
    </w:p>
    <w:p w:rsidR="00CA2D7D" w:rsidRDefault="00037412">
      <w:pPr>
        <w:pStyle w:val="Text1"/>
        <w:rPr>
          <w:i/>
          <w:noProof/>
          <w:sz w:val="20"/>
        </w:rPr>
      </w:pPr>
      <w:r>
        <w:rPr>
          <w:i/>
          <w:noProof/>
          <w:sz w:val="20"/>
        </w:rPr>
        <w:t>Navedite pogostost in pogoje.</w:t>
      </w:r>
    </w:p>
    <w:p w:rsidR="00CA2D7D" w:rsidRDefault="00037412">
      <w:pPr>
        <w:pStyle w:val="Text1"/>
        <w:pBdr>
          <w:top w:val="single" w:sz="4" w:space="1" w:color="auto"/>
          <w:left w:val="single" w:sz="4" w:space="4" w:color="auto"/>
          <w:bottom w:val="single" w:sz="4" w:space="1" w:color="auto"/>
          <w:right w:val="single" w:sz="4" w:space="4" w:color="auto"/>
        </w:pBdr>
        <w:rPr>
          <w:noProof/>
        </w:rPr>
      </w:pPr>
      <w:r>
        <w:rPr>
          <w:noProof/>
        </w:rPr>
        <w:t>Komisija v skladu z UREDBO SVETA (ES) št. 1257/96 z dne 20. junija 1996 o humanitarni pomoči spremlja in ocenjuje dejavnosti v okviru humanitarne pomoči v skladu s proračunskimi in drugimi veljavnimi postopki, zlasti tistimi iz finančne uredbe, ki se uporablja za splošni proračun EU. Komisija redno ocenjuje dejavnosti humanitarne pomoči, da bi ugotovila, ali so dosegle svoje cilje, in pripravila smernice za izboljšanje učinkovitosti prihodnjih operacij. Komisija poroča odboru, ustanovljenemu v skladu s členom 17 uredbe.</w:t>
      </w:r>
    </w:p>
    <w:p w:rsidR="00CA2D7D" w:rsidRDefault="00037412">
      <w:pPr>
        <w:pStyle w:val="ManualHeading2"/>
        <w:rPr>
          <w:bCs/>
          <w:noProof/>
          <w:szCs w:val="24"/>
        </w:rPr>
      </w:pPr>
      <w:bookmarkStart w:id="15" w:name="_Toc41814075"/>
      <w:r>
        <w:t>2.2.</w:t>
      </w:r>
      <w:r>
        <w:tab/>
      </w:r>
      <w:r>
        <w:rPr>
          <w:noProof/>
        </w:rPr>
        <w:t>Upravljavski in kontrolni sistemi</w:t>
      </w:r>
      <w:bookmarkEnd w:id="15"/>
      <w:r>
        <w:rPr>
          <w:noProof/>
        </w:rPr>
        <w:t xml:space="preserve"> </w:t>
      </w:r>
    </w:p>
    <w:p w:rsidR="00CA2D7D" w:rsidRDefault="00037412">
      <w:pPr>
        <w:pStyle w:val="Text1"/>
        <w:pBdr>
          <w:top w:val="single" w:sz="4" w:space="1" w:color="auto"/>
          <w:left w:val="single" w:sz="4" w:space="4" w:color="auto"/>
          <w:bottom w:val="single" w:sz="4" w:space="1" w:color="auto"/>
          <w:right w:val="single" w:sz="4" w:space="4" w:color="auto"/>
        </w:pBdr>
        <w:rPr>
          <w:noProof/>
          <w:szCs w:val="24"/>
        </w:rPr>
      </w:pPr>
      <w:r>
        <w:rPr>
          <w:noProof/>
          <w:szCs w:val="24"/>
          <w:shd w:val="clear" w:color="auto" w:fill="FFFFFF"/>
        </w:rPr>
        <w:t xml:space="preserve">Generalni direktorat za evropsko civilno zaščito in evropske operacije humanitarne pomoči (ECHO) na koncu vsakega leta pripravi letno poročilo, da bi zagotovil preglednost in odgovornost glede porabe evropskih sredstev za pomoč. Poročilo je na voljo javnosti, v njem pa je predstavljeno, kako je bil proračun porabljen in katere dejavnosti so bile izvedene. Postopki in odhodki GD ECHO se redno, tj. vsako leto, temeljito pregledajo in potrdijo. </w:t>
      </w:r>
      <w:hyperlink r:id="rId27" w:history="1">
        <w:r>
          <w:rPr>
            <w:rStyle w:val="Hyperlink"/>
            <w:noProof/>
          </w:rPr>
          <w:t>Revizije</w:t>
        </w:r>
      </w:hyperlink>
      <w:r>
        <w:rPr>
          <w:noProof/>
          <w:szCs w:val="24"/>
          <w:shd w:val="clear" w:color="auto" w:fill="FFFFFF"/>
        </w:rPr>
        <w:t xml:space="preserve"> izvajata Evropsko računsko sodišče in Služba Komisije za notranjo revizijo. </w:t>
      </w:r>
      <w:r>
        <w:rPr>
          <w:noProof/>
        </w:rPr>
        <w:t xml:space="preserve">GD ECHO opravlja tudi revizije partnerjev, da oceni, ali so bila nepovratna sredstva porabljena v skladu z določenimi pravili, in predloži priporočila za izboljšanje finančnega upravljanja partnerjev. </w:t>
      </w:r>
    </w:p>
    <w:p w:rsidR="00CA2D7D" w:rsidRDefault="00037412">
      <w:pPr>
        <w:pStyle w:val="ManualHeading2"/>
        <w:rPr>
          <w:bCs/>
          <w:noProof/>
          <w:szCs w:val="24"/>
        </w:rPr>
      </w:pPr>
      <w:bookmarkStart w:id="16" w:name="_Toc41814076"/>
      <w:r>
        <w:t>2.3.</w:t>
      </w:r>
      <w:r>
        <w:tab/>
      </w:r>
      <w:r>
        <w:rPr>
          <w:noProof/>
        </w:rPr>
        <w:t>Ukrepi za preprečevanje goljufij in nepravilnosti</w:t>
      </w:r>
      <w:bookmarkEnd w:id="16"/>
      <w:r>
        <w:rPr>
          <w:noProof/>
        </w:rPr>
        <w:t xml:space="preserve"> </w:t>
      </w:r>
    </w:p>
    <w:p w:rsidR="00CA2D7D" w:rsidRDefault="00037412">
      <w:pPr>
        <w:pStyle w:val="Text1"/>
        <w:rPr>
          <w:i/>
          <w:noProof/>
          <w:sz w:val="20"/>
        </w:rPr>
      </w:pPr>
      <w:r>
        <w:rPr>
          <w:i/>
          <w:noProof/>
          <w:sz w:val="20"/>
        </w:rPr>
        <w:t>Navedite obstoječe ali načrtovane preprečevalne in zaščitne ukrepe, npr. iz strategije za boj proti goljufijam.</w:t>
      </w:r>
    </w:p>
    <w:p w:rsidR="00CA2D7D" w:rsidRDefault="00037412">
      <w:pPr>
        <w:pStyle w:val="Text1"/>
        <w:pBdr>
          <w:top w:val="single" w:sz="4" w:space="1" w:color="auto"/>
          <w:left w:val="single" w:sz="4" w:space="4" w:color="auto"/>
          <w:bottom w:val="single" w:sz="4" w:space="1" w:color="auto"/>
          <w:right w:val="single" w:sz="4" w:space="4" w:color="auto"/>
        </w:pBdr>
        <w:rPr>
          <w:noProof/>
        </w:rPr>
      </w:pPr>
      <w:r>
        <w:rPr>
          <w:noProof/>
        </w:rPr>
        <w:t>ECHO ima strategijo za boj proti goljufijam. Strategija zajema vsa ključna področja, kot so vse faze cikla boja proti goljufijam (preprečevanje, odkrivanje, odpravljanje), notranje goljufije in zunanje goljufije, vse dejavnosti generalnega direktorata, zlasti ukrepi na področju humanitarne pomoči in civilne zaščite, načini neposrednega in posrednega upravljanja; in neprepustnost zakonodaje za goljufije.</w:t>
      </w:r>
    </w:p>
    <w:p w:rsidR="00CA2D7D" w:rsidRDefault="00037412">
      <w:pPr>
        <w:pStyle w:val="ManualHeading1"/>
        <w:rPr>
          <w:bCs/>
          <w:noProof/>
          <w:szCs w:val="24"/>
        </w:rPr>
      </w:pPr>
      <w:r>
        <w:t>3.</w:t>
      </w:r>
      <w:r>
        <w:tab/>
      </w:r>
      <w:r>
        <w:rPr>
          <w:noProof/>
        </w:rPr>
        <w:t xml:space="preserve"> </w:t>
      </w:r>
      <w:bookmarkStart w:id="17" w:name="_Toc41814077"/>
      <w:r>
        <w:rPr>
          <w:noProof/>
        </w:rPr>
        <w:t>OCENA FINANČNIH POSLEDIC PREDLOGA/POBUDE</w:t>
      </w:r>
      <w:bookmarkEnd w:id="17"/>
      <w:r>
        <w:rPr>
          <w:noProof/>
        </w:rPr>
        <w:t xml:space="preserve"> </w:t>
      </w:r>
    </w:p>
    <w:p w:rsidR="00CA2D7D" w:rsidRDefault="00037412">
      <w:pPr>
        <w:pStyle w:val="ManualHeading2"/>
        <w:rPr>
          <w:noProof/>
        </w:rPr>
      </w:pPr>
      <w:bookmarkStart w:id="18" w:name="_Toc41814078"/>
      <w:r>
        <w:t>3.1.</w:t>
      </w:r>
      <w:r>
        <w:tab/>
      </w:r>
      <w:r>
        <w:rPr>
          <w:noProof/>
        </w:rPr>
        <w:t>Zadevni razdelki večletnega finančnega okvira in odhodkovne proračunske vrstice</w:t>
      </w:r>
      <w:bookmarkEnd w:id="18"/>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rsidR="00CA2D7D">
        <w:tc>
          <w:tcPr>
            <w:tcW w:w="1080" w:type="dxa"/>
            <w:vAlign w:val="center"/>
          </w:tcPr>
          <w:p w:rsidR="00CA2D7D" w:rsidRDefault="00CA2D7D">
            <w:pPr>
              <w:spacing w:before="60" w:after="60"/>
              <w:jc w:val="center"/>
              <w:rPr>
                <w:noProof/>
                <w:sz w:val="18"/>
              </w:rPr>
            </w:pPr>
          </w:p>
        </w:tc>
        <w:tc>
          <w:tcPr>
            <w:tcW w:w="3960" w:type="dxa"/>
            <w:vAlign w:val="center"/>
          </w:tcPr>
          <w:p w:rsidR="00CA2D7D" w:rsidRDefault="00CA2D7D">
            <w:pPr>
              <w:spacing w:before="60" w:after="60"/>
              <w:jc w:val="center"/>
              <w:rPr>
                <w:noProof/>
                <w:sz w:val="20"/>
              </w:rPr>
            </w:pPr>
          </w:p>
        </w:tc>
        <w:tc>
          <w:tcPr>
            <w:tcW w:w="1080" w:type="dxa"/>
            <w:vAlign w:val="center"/>
          </w:tcPr>
          <w:p w:rsidR="00CA2D7D" w:rsidRDefault="00CA2D7D">
            <w:pPr>
              <w:spacing w:before="60" w:after="60"/>
              <w:jc w:val="center"/>
              <w:rPr>
                <w:noProof/>
                <w:sz w:val="18"/>
              </w:rPr>
            </w:pPr>
          </w:p>
        </w:tc>
        <w:tc>
          <w:tcPr>
            <w:tcW w:w="4440" w:type="dxa"/>
            <w:gridSpan w:val="4"/>
            <w:vAlign w:val="center"/>
          </w:tcPr>
          <w:p w:rsidR="00CA2D7D" w:rsidRDefault="00CA2D7D">
            <w:pPr>
              <w:spacing w:before="60" w:after="60"/>
              <w:jc w:val="center"/>
              <w:rPr>
                <w:noProof/>
                <w:sz w:val="20"/>
              </w:rPr>
            </w:pPr>
          </w:p>
        </w:tc>
      </w:tr>
      <w:tr w:rsidR="00CA2D7D">
        <w:tc>
          <w:tcPr>
            <w:tcW w:w="1080" w:type="dxa"/>
            <w:vAlign w:val="center"/>
          </w:tcPr>
          <w:p w:rsidR="00CA2D7D" w:rsidRDefault="00037412">
            <w:pPr>
              <w:spacing w:before="60" w:after="60"/>
              <w:jc w:val="center"/>
              <w:rPr>
                <w:noProof/>
              </w:rPr>
            </w:pPr>
            <w:r>
              <w:rPr>
                <w:noProof/>
                <w:sz w:val="18"/>
              </w:rPr>
              <w:t>Razdelek večletnega finančnega okvira</w:t>
            </w:r>
          </w:p>
        </w:tc>
        <w:tc>
          <w:tcPr>
            <w:tcW w:w="3960" w:type="dxa"/>
            <w:vAlign w:val="center"/>
          </w:tcPr>
          <w:p w:rsidR="00CA2D7D" w:rsidRDefault="00037412">
            <w:pPr>
              <w:spacing w:before="60" w:after="60"/>
              <w:jc w:val="center"/>
              <w:rPr>
                <w:noProof/>
              </w:rPr>
            </w:pPr>
            <w:r>
              <w:rPr>
                <w:noProof/>
                <w:sz w:val="20"/>
              </w:rPr>
              <w:t>Proračunska vrstica</w:t>
            </w:r>
          </w:p>
        </w:tc>
        <w:tc>
          <w:tcPr>
            <w:tcW w:w="1080" w:type="dxa"/>
            <w:vAlign w:val="center"/>
          </w:tcPr>
          <w:p w:rsidR="00CA2D7D" w:rsidRDefault="00037412">
            <w:pPr>
              <w:spacing w:before="60" w:after="60"/>
              <w:jc w:val="center"/>
              <w:rPr>
                <w:noProof/>
              </w:rPr>
            </w:pPr>
            <w:r>
              <w:rPr>
                <w:noProof/>
                <w:sz w:val="18"/>
              </w:rPr>
              <w:t>Vrsta</w:t>
            </w:r>
            <w:r>
              <w:rPr>
                <w:noProof/>
              </w:rPr>
              <w:br/>
            </w:r>
            <w:r>
              <w:rPr>
                <w:noProof/>
                <w:sz w:val="18"/>
              </w:rPr>
              <w:t>odhodkov</w:t>
            </w:r>
          </w:p>
        </w:tc>
        <w:tc>
          <w:tcPr>
            <w:tcW w:w="4440" w:type="dxa"/>
            <w:gridSpan w:val="4"/>
            <w:vAlign w:val="center"/>
          </w:tcPr>
          <w:p w:rsidR="00CA2D7D" w:rsidRDefault="00037412">
            <w:pPr>
              <w:spacing w:before="60" w:after="60"/>
              <w:jc w:val="center"/>
              <w:rPr>
                <w:noProof/>
              </w:rPr>
            </w:pPr>
            <w:r>
              <w:rPr>
                <w:noProof/>
                <w:sz w:val="20"/>
              </w:rPr>
              <w:t xml:space="preserve">Prispevek </w:t>
            </w:r>
          </w:p>
        </w:tc>
      </w:tr>
      <w:tr w:rsidR="00CA2D7D">
        <w:tc>
          <w:tcPr>
            <w:tcW w:w="1080" w:type="dxa"/>
            <w:vAlign w:val="center"/>
          </w:tcPr>
          <w:p w:rsidR="00CA2D7D" w:rsidRDefault="00CA2D7D">
            <w:pPr>
              <w:jc w:val="center"/>
              <w:rPr>
                <w:noProof/>
              </w:rPr>
            </w:pPr>
          </w:p>
        </w:tc>
        <w:tc>
          <w:tcPr>
            <w:tcW w:w="3960" w:type="dxa"/>
            <w:vAlign w:val="center"/>
          </w:tcPr>
          <w:p w:rsidR="00CA2D7D" w:rsidRDefault="00037412">
            <w:pPr>
              <w:rPr>
                <w:b/>
                <w:noProof/>
              </w:rPr>
            </w:pPr>
            <w:r>
              <w:rPr>
                <w:b/>
                <w:noProof/>
                <w:sz w:val="20"/>
              </w:rPr>
              <w:t>Razdelek 6. Sosedstvo in svet</w:t>
            </w:r>
          </w:p>
        </w:tc>
        <w:tc>
          <w:tcPr>
            <w:tcW w:w="1080" w:type="dxa"/>
            <w:vAlign w:val="center"/>
          </w:tcPr>
          <w:p w:rsidR="00CA2D7D" w:rsidRDefault="00037412">
            <w:pPr>
              <w:jc w:val="center"/>
              <w:rPr>
                <w:noProof/>
              </w:rPr>
            </w:pPr>
            <w:r>
              <w:rPr>
                <w:noProof/>
                <w:sz w:val="18"/>
              </w:rPr>
              <w:t>dif./nedif.</w:t>
            </w:r>
            <w:r>
              <w:rPr>
                <w:rStyle w:val="FootnoteReference"/>
                <w:noProof/>
                <w:sz w:val="18"/>
              </w:rPr>
              <w:footnoteReference w:id="7"/>
            </w:r>
          </w:p>
        </w:tc>
        <w:tc>
          <w:tcPr>
            <w:tcW w:w="1044" w:type="dxa"/>
            <w:vAlign w:val="center"/>
          </w:tcPr>
          <w:p w:rsidR="00CA2D7D" w:rsidRDefault="00037412">
            <w:pPr>
              <w:jc w:val="center"/>
              <w:rPr>
                <w:noProof/>
              </w:rPr>
            </w:pPr>
            <w:r>
              <w:rPr>
                <w:noProof/>
                <w:sz w:val="18"/>
              </w:rPr>
              <w:t>držav Efte</w:t>
            </w:r>
            <w:r>
              <w:rPr>
                <w:rStyle w:val="FootnoteReference"/>
                <w:noProof/>
                <w:sz w:val="18"/>
              </w:rPr>
              <w:footnoteReference w:id="8"/>
            </w:r>
          </w:p>
          <w:p w:rsidR="00CA2D7D" w:rsidRDefault="00CA2D7D">
            <w:pPr>
              <w:spacing w:before="0" w:after="0"/>
              <w:jc w:val="center"/>
              <w:rPr>
                <w:b/>
                <w:noProof/>
                <w:sz w:val="18"/>
              </w:rPr>
            </w:pPr>
          </w:p>
        </w:tc>
        <w:tc>
          <w:tcPr>
            <w:tcW w:w="1134" w:type="dxa"/>
            <w:vAlign w:val="center"/>
          </w:tcPr>
          <w:p w:rsidR="00CA2D7D" w:rsidRDefault="00037412">
            <w:pPr>
              <w:jc w:val="center"/>
              <w:rPr>
                <w:noProof/>
              </w:rPr>
            </w:pPr>
            <w:r>
              <w:rPr>
                <w:noProof/>
                <w:sz w:val="18"/>
              </w:rPr>
              <w:t>držav kandidatk</w:t>
            </w:r>
            <w:r>
              <w:rPr>
                <w:rStyle w:val="FootnoteReference"/>
                <w:noProof/>
                <w:sz w:val="18"/>
              </w:rPr>
              <w:footnoteReference w:id="9"/>
            </w:r>
          </w:p>
          <w:p w:rsidR="00CA2D7D" w:rsidRDefault="00CA2D7D">
            <w:pPr>
              <w:spacing w:before="0" w:after="0"/>
              <w:jc w:val="center"/>
              <w:rPr>
                <w:noProof/>
                <w:sz w:val="18"/>
              </w:rPr>
            </w:pPr>
          </w:p>
        </w:tc>
        <w:tc>
          <w:tcPr>
            <w:tcW w:w="814" w:type="dxa"/>
            <w:vAlign w:val="center"/>
          </w:tcPr>
          <w:p w:rsidR="00CA2D7D" w:rsidRDefault="00037412">
            <w:pPr>
              <w:jc w:val="center"/>
              <w:rPr>
                <w:noProof/>
                <w:sz w:val="18"/>
              </w:rPr>
            </w:pPr>
            <w:r>
              <w:rPr>
                <w:noProof/>
                <w:sz w:val="18"/>
              </w:rPr>
              <w:t>tretjih držav</w:t>
            </w:r>
          </w:p>
        </w:tc>
        <w:tc>
          <w:tcPr>
            <w:tcW w:w="1448" w:type="dxa"/>
            <w:vAlign w:val="center"/>
          </w:tcPr>
          <w:p w:rsidR="00CA2D7D" w:rsidRDefault="00037412">
            <w:pPr>
              <w:jc w:val="center"/>
              <w:rPr>
                <w:noProof/>
              </w:rPr>
            </w:pPr>
            <w:r>
              <w:rPr>
                <w:noProof/>
                <w:sz w:val="16"/>
              </w:rPr>
              <w:t xml:space="preserve">po členu 21(2)(b) finančne uredbe </w:t>
            </w:r>
          </w:p>
        </w:tc>
      </w:tr>
      <w:tr w:rsidR="00CA2D7D">
        <w:tc>
          <w:tcPr>
            <w:tcW w:w="1080" w:type="dxa"/>
            <w:vAlign w:val="center"/>
          </w:tcPr>
          <w:p w:rsidR="00CA2D7D" w:rsidRDefault="00037412">
            <w:pPr>
              <w:jc w:val="center"/>
              <w:rPr>
                <w:noProof/>
                <w:color w:val="0000FF"/>
              </w:rPr>
            </w:pPr>
            <w:r>
              <w:rPr>
                <w:noProof/>
                <w:color w:val="0000FF"/>
              </w:rPr>
              <w:lastRenderedPageBreak/>
              <w:t>6</w:t>
            </w:r>
          </w:p>
        </w:tc>
        <w:tc>
          <w:tcPr>
            <w:tcW w:w="3960" w:type="dxa"/>
            <w:vAlign w:val="center"/>
          </w:tcPr>
          <w:p w:rsidR="00CA2D7D" w:rsidRDefault="00037412">
            <w:pPr>
              <w:spacing w:after="60"/>
              <w:rPr>
                <w:noProof/>
              </w:rPr>
            </w:pPr>
            <w:r>
              <w:rPr>
                <w:noProof/>
              </w:rPr>
              <w:t>15 01 02 Odhodki za podporo „humanitarni pomoči“</w:t>
            </w:r>
          </w:p>
        </w:tc>
        <w:tc>
          <w:tcPr>
            <w:tcW w:w="1080" w:type="dxa"/>
            <w:vAlign w:val="center"/>
          </w:tcPr>
          <w:p w:rsidR="00CA2D7D" w:rsidRDefault="00037412">
            <w:pPr>
              <w:jc w:val="center"/>
              <w:rPr>
                <w:noProof/>
                <w:color w:val="0000FF"/>
              </w:rPr>
            </w:pPr>
            <w:r>
              <w:rPr>
                <w:noProof/>
                <w:sz w:val="22"/>
              </w:rPr>
              <w:t>nedif.</w:t>
            </w:r>
          </w:p>
        </w:tc>
        <w:tc>
          <w:tcPr>
            <w:tcW w:w="1044" w:type="dxa"/>
            <w:vAlign w:val="center"/>
          </w:tcPr>
          <w:p w:rsidR="00CA2D7D" w:rsidRDefault="00037412">
            <w:pPr>
              <w:jc w:val="center"/>
              <w:rPr>
                <w:noProof/>
              </w:rPr>
            </w:pPr>
            <w:r>
              <w:rPr>
                <w:noProof/>
                <w:sz w:val="22"/>
              </w:rPr>
              <w:t>DA</w:t>
            </w:r>
          </w:p>
        </w:tc>
        <w:tc>
          <w:tcPr>
            <w:tcW w:w="1134" w:type="dxa"/>
            <w:vAlign w:val="center"/>
          </w:tcPr>
          <w:p w:rsidR="00CA2D7D" w:rsidRDefault="00037412">
            <w:pPr>
              <w:jc w:val="center"/>
              <w:rPr>
                <w:noProof/>
              </w:rPr>
            </w:pPr>
            <w:r>
              <w:rPr>
                <w:noProof/>
                <w:sz w:val="22"/>
              </w:rPr>
              <w:t>DA</w:t>
            </w:r>
          </w:p>
        </w:tc>
        <w:tc>
          <w:tcPr>
            <w:tcW w:w="814" w:type="dxa"/>
            <w:vAlign w:val="center"/>
          </w:tcPr>
          <w:p w:rsidR="00CA2D7D" w:rsidRDefault="00037412">
            <w:pPr>
              <w:jc w:val="center"/>
              <w:rPr>
                <w:noProof/>
              </w:rPr>
            </w:pPr>
            <w:r>
              <w:rPr>
                <w:noProof/>
                <w:sz w:val="22"/>
              </w:rPr>
              <w:t>DA</w:t>
            </w:r>
          </w:p>
        </w:tc>
        <w:tc>
          <w:tcPr>
            <w:tcW w:w="1448" w:type="dxa"/>
            <w:vAlign w:val="center"/>
          </w:tcPr>
          <w:p w:rsidR="00CA2D7D" w:rsidRDefault="00037412">
            <w:pPr>
              <w:jc w:val="center"/>
              <w:rPr>
                <w:noProof/>
              </w:rPr>
            </w:pPr>
            <w:r>
              <w:rPr>
                <w:noProof/>
                <w:sz w:val="22"/>
              </w:rPr>
              <w:t>NE</w:t>
            </w:r>
          </w:p>
        </w:tc>
      </w:tr>
      <w:tr w:rsidR="00CA2D7D">
        <w:tc>
          <w:tcPr>
            <w:tcW w:w="1080" w:type="dxa"/>
            <w:vAlign w:val="center"/>
          </w:tcPr>
          <w:p w:rsidR="00CA2D7D" w:rsidRDefault="00037412">
            <w:pPr>
              <w:jc w:val="center"/>
              <w:rPr>
                <w:noProof/>
                <w:color w:val="0000FF"/>
              </w:rPr>
            </w:pPr>
            <w:r>
              <w:rPr>
                <w:noProof/>
                <w:color w:val="0000FF"/>
              </w:rPr>
              <w:t>6</w:t>
            </w:r>
          </w:p>
        </w:tc>
        <w:tc>
          <w:tcPr>
            <w:tcW w:w="3960" w:type="dxa"/>
            <w:vAlign w:val="center"/>
          </w:tcPr>
          <w:p w:rsidR="00CA2D7D" w:rsidRDefault="00037412">
            <w:pPr>
              <w:spacing w:before="60"/>
              <w:rPr>
                <w:noProof/>
              </w:rPr>
            </w:pPr>
            <w:r>
              <w:rPr>
                <w:noProof/>
              </w:rPr>
              <w:t>15 03 01 Humanitarna pomoč</w:t>
            </w:r>
          </w:p>
        </w:tc>
        <w:tc>
          <w:tcPr>
            <w:tcW w:w="1080" w:type="dxa"/>
            <w:vAlign w:val="center"/>
          </w:tcPr>
          <w:p w:rsidR="00CA2D7D" w:rsidRDefault="00037412">
            <w:pPr>
              <w:jc w:val="center"/>
              <w:rPr>
                <w:noProof/>
                <w:sz w:val="22"/>
              </w:rPr>
            </w:pPr>
            <w:r>
              <w:rPr>
                <w:noProof/>
                <w:sz w:val="22"/>
              </w:rPr>
              <w:t>dif.</w:t>
            </w:r>
          </w:p>
        </w:tc>
        <w:tc>
          <w:tcPr>
            <w:tcW w:w="1044" w:type="dxa"/>
            <w:vAlign w:val="center"/>
          </w:tcPr>
          <w:p w:rsidR="00CA2D7D" w:rsidRDefault="00037412">
            <w:pPr>
              <w:jc w:val="center"/>
              <w:rPr>
                <w:noProof/>
                <w:sz w:val="22"/>
              </w:rPr>
            </w:pPr>
            <w:r>
              <w:rPr>
                <w:noProof/>
                <w:sz w:val="22"/>
              </w:rPr>
              <w:t>DA</w:t>
            </w:r>
          </w:p>
        </w:tc>
        <w:tc>
          <w:tcPr>
            <w:tcW w:w="1134" w:type="dxa"/>
            <w:vAlign w:val="center"/>
          </w:tcPr>
          <w:p w:rsidR="00CA2D7D" w:rsidRDefault="00037412">
            <w:pPr>
              <w:jc w:val="center"/>
              <w:rPr>
                <w:noProof/>
                <w:sz w:val="22"/>
              </w:rPr>
            </w:pPr>
            <w:r>
              <w:rPr>
                <w:noProof/>
                <w:sz w:val="22"/>
              </w:rPr>
              <w:t>DA</w:t>
            </w:r>
          </w:p>
        </w:tc>
        <w:tc>
          <w:tcPr>
            <w:tcW w:w="814" w:type="dxa"/>
            <w:vAlign w:val="center"/>
          </w:tcPr>
          <w:p w:rsidR="00CA2D7D" w:rsidRDefault="00037412">
            <w:pPr>
              <w:jc w:val="center"/>
              <w:rPr>
                <w:noProof/>
                <w:sz w:val="22"/>
              </w:rPr>
            </w:pPr>
            <w:r>
              <w:rPr>
                <w:noProof/>
                <w:sz w:val="22"/>
              </w:rPr>
              <w:t>DA</w:t>
            </w:r>
          </w:p>
        </w:tc>
        <w:tc>
          <w:tcPr>
            <w:tcW w:w="1448" w:type="dxa"/>
            <w:vAlign w:val="center"/>
          </w:tcPr>
          <w:p w:rsidR="00CA2D7D" w:rsidRDefault="00037412">
            <w:pPr>
              <w:jc w:val="center"/>
              <w:rPr>
                <w:noProof/>
                <w:sz w:val="22"/>
              </w:rPr>
            </w:pPr>
            <w:r>
              <w:rPr>
                <w:noProof/>
                <w:sz w:val="22"/>
              </w:rPr>
              <w:t>NE</w:t>
            </w:r>
          </w:p>
        </w:tc>
      </w:tr>
    </w:tbl>
    <w:p w:rsidR="00CA2D7D" w:rsidRDefault="00CA2D7D">
      <w:pPr>
        <w:rPr>
          <w:noProof/>
        </w:rPr>
        <w:sectPr w:rsidR="00CA2D7D">
          <w:pgSz w:w="11907" w:h="16840" w:code="1"/>
          <w:pgMar w:top="1134" w:right="1418" w:bottom="1134" w:left="1418" w:header="709" w:footer="709" w:gutter="0"/>
          <w:cols w:space="708"/>
          <w:docGrid w:linePitch="360"/>
        </w:sectPr>
      </w:pPr>
    </w:p>
    <w:p w:rsidR="00CA2D7D" w:rsidRDefault="00037412">
      <w:pPr>
        <w:pStyle w:val="ManualHeading2"/>
        <w:rPr>
          <w:bCs/>
          <w:noProof/>
          <w:szCs w:val="24"/>
        </w:rPr>
      </w:pPr>
      <w:bookmarkStart w:id="19" w:name="_Toc41814079"/>
      <w:r>
        <w:lastRenderedPageBreak/>
        <w:t>3.2.</w:t>
      </w:r>
      <w:r>
        <w:tab/>
      </w:r>
      <w:r>
        <w:rPr>
          <w:noProof/>
        </w:rPr>
        <w:t>Ocenjene posledice za odhodke</w:t>
      </w:r>
      <w:bookmarkEnd w:id="19"/>
      <w:r>
        <w:rPr>
          <w:noProof/>
        </w:rPr>
        <w:t xml:space="preserve"> </w:t>
      </w:r>
    </w:p>
    <w:p w:rsidR="00CA2D7D" w:rsidRDefault="00037412">
      <w:pPr>
        <w:pStyle w:val="ManualHeading3"/>
        <w:rPr>
          <w:noProof/>
          <w:u w:val="single"/>
        </w:rPr>
      </w:pPr>
      <w:bookmarkStart w:id="20" w:name="_Toc41814080"/>
      <w:r>
        <w:t>3.2.1.</w:t>
      </w:r>
      <w:r>
        <w:tab/>
      </w:r>
      <w:r>
        <w:rPr>
          <w:noProof/>
        </w:rPr>
        <w:t>Povzetek ocenjenih posledic za odhodke</w:t>
      </w:r>
      <w:bookmarkEnd w:id="20"/>
      <w:r>
        <w:rPr>
          <w:noProof/>
        </w:rPr>
        <w:t xml:space="preserve"> </w:t>
      </w:r>
    </w:p>
    <w:p w:rsidR="00CA2D7D" w:rsidRDefault="00037412">
      <w:pPr>
        <w:rPr>
          <w:i/>
          <w:noProof/>
        </w:rPr>
      </w:pPr>
      <w:r>
        <w:rPr>
          <w:noProof/>
          <w:sz w:val="20"/>
        </w:rPr>
        <w:t>v mio. EUR (na tri decimalna mesta natančno)</w:t>
      </w:r>
    </w:p>
    <w:p w:rsidR="00CA2D7D" w:rsidRDefault="00CA2D7D">
      <w:pPr>
        <w:rPr>
          <w:i/>
          <w:noProof/>
        </w:rPr>
      </w:pPr>
    </w:p>
    <w:p w:rsidR="00CA2D7D" w:rsidRDefault="00037412">
      <w:pPr>
        <w:rPr>
          <w:i/>
          <w:iCs/>
          <w:noProof/>
        </w:rPr>
      </w:pPr>
      <w:r>
        <w:rPr>
          <w:i/>
          <w:noProof/>
        </w:rPr>
        <w:t xml:space="preserve">Poleg sredstev, ki bodo na voljo v okviru zgornje meje </w:t>
      </w:r>
      <w:r>
        <w:rPr>
          <w:i/>
          <w:noProof/>
          <w:highlight w:val="yellow"/>
        </w:rPr>
        <w:t>večletnega finančnega okvira</w:t>
      </w:r>
      <w:r>
        <w:rPr>
          <w:i/>
          <w:noProof/>
        </w:rPr>
        <w:t xml:space="preserve"> za razdelek, bo na voljo [5 468 000 000 EUR] (v tekočih cenah) kot zunanji namenski prejemki v smislu člena 21(5) finančne uredbe kot financiranje iz instrumenta Evropske unije za okrevanje.</w:t>
      </w:r>
      <w:r>
        <w:rPr>
          <w:i/>
          <w:iCs/>
          <w:noProof/>
        </w:rPr>
        <w:t xml:space="preserve"> Od tega se lahko do 42 000 000 EUR nameni za upravne odhodke, vključno s stroški za zunanje sodelavce.</w:t>
      </w:r>
    </w:p>
    <w:p w:rsidR="00CA2D7D" w:rsidRDefault="00037412">
      <w:pPr>
        <w:rPr>
          <w:i/>
          <w:noProof/>
        </w:rPr>
      </w:pPr>
      <w:r>
        <w:rPr>
          <w:i/>
          <w:noProof/>
        </w:rPr>
        <w:t>Okvirna razčlenitev odhodkov iz zunanjih namenskih prejemkov je naslednja:</w:t>
      </w:r>
    </w:p>
    <w:p w:rsidR="00CA2D7D" w:rsidRDefault="00CA2D7D">
      <w:pPr>
        <w:rPr>
          <w:i/>
          <w:noProof/>
        </w:rPr>
      </w:pP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709"/>
        <w:gridCol w:w="1134"/>
        <w:gridCol w:w="1134"/>
        <w:gridCol w:w="1134"/>
        <w:gridCol w:w="1134"/>
        <w:gridCol w:w="992"/>
        <w:gridCol w:w="992"/>
        <w:gridCol w:w="851"/>
        <w:gridCol w:w="1196"/>
      </w:tblGrid>
      <w:tr w:rsidR="00CA2D7D">
        <w:tc>
          <w:tcPr>
            <w:tcW w:w="2943" w:type="dxa"/>
            <w:vAlign w:val="center"/>
          </w:tcPr>
          <w:p w:rsidR="00CA2D7D" w:rsidRDefault="00037412">
            <w:pPr>
              <w:jc w:val="center"/>
              <w:rPr>
                <w:noProof/>
                <w:sz w:val="20"/>
                <w:szCs w:val="20"/>
              </w:rPr>
            </w:pPr>
            <w:r>
              <w:rPr>
                <w:noProof/>
                <w:sz w:val="20"/>
                <w:szCs w:val="20"/>
              </w:rPr>
              <w:t>[– Humanitarna pomoč]</w:t>
            </w:r>
          </w:p>
        </w:tc>
        <w:tc>
          <w:tcPr>
            <w:tcW w:w="1418" w:type="dxa"/>
            <w:vAlign w:val="center"/>
          </w:tcPr>
          <w:p w:rsidR="00CA2D7D" w:rsidRDefault="00CA2D7D">
            <w:pPr>
              <w:jc w:val="center"/>
              <w:rPr>
                <w:noProof/>
                <w:sz w:val="20"/>
                <w:szCs w:val="20"/>
              </w:rPr>
            </w:pPr>
          </w:p>
        </w:tc>
        <w:tc>
          <w:tcPr>
            <w:tcW w:w="709" w:type="dxa"/>
            <w:vAlign w:val="center"/>
          </w:tcPr>
          <w:p w:rsidR="00CA2D7D" w:rsidRDefault="00CA2D7D">
            <w:pPr>
              <w:jc w:val="center"/>
              <w:rPr>
                <w:noProof/>
                <w:sz w:val="20"/>
                <w:szCs w:val="20"/>
              </w:rPr>
            </w:pPr>
          </w:p>
        </w:tc>
        <w:tc>
          <w:tcPr>
            <w:tcW w:w="1134" w:type="dxa"/>
            <w:vAlign w:val="center"/>
          </w:tcPr>
          <w:p w:rsidR="00CA2D7D" w:rsidRDefault="00037412">
            <w:pPr>
              <w:jc w:val="center"/>
              <w:rPr>
                <w:noProof/>
                <w:sz w:val="20"/>
                <w:szCs w:val="20"/>
              </w:rPr>
            </w:pPr>
            <w:r>
              <w:rPr>
                <w:b/>
                <w:noProof/>
                <w:sz w:val="20"/>
                <w:szCs w:val="20"/>
              </w:rPr>
              <w:t>2021</w:t>
            </w:r>
          </w:p>
        </w:tc>
        <w:tc>
          <w:tcPr>
            <w:tcW w:w="1134" w:type="dxa"/>
            <w:vAlign w:val="center"/>
          </w:tcPr>
          <w:p w:rsidR="00CA2D7D" w:rsidRDefault="00037412">
            <w:pPr>
              <w:jc w:val="center"/>
              <w:rPr>
                <w:noProof/>
                <w:sz w:val="20"/>
                <w:szCs w:val="20"/>
              </w:rPr>
            </w:pPr>
            <w:r>
              <w:rPr>
                <w:b/>
                <w:noProof/>
                <w:sz w:val="20"/>
                <w:szCs w:val="20"/>
              </w:rPr>
              <w:t>2022</w:t>
            </w:r>
          </w:p>
        </w:tc>
        <w:tc>
          <w:tcPr>
            <w:tcW w:w="1134" w:type="dxa"/>
            <w:vAlign w:val="center"/>
          </w:tcPr>
          <w:p w:rsidR="00CA2D7D" w:rsidRDefault="00037412">
            <w:pPr>
              <w:jc w:val="center"/>
              <w:rPr>
                <w:noProof/>
                <w:sz w:val="20"/>
                <w:szCs w:val="20"/>
              </w:rPr>
            </w:pPr>
            <w:r>
              <w:rPr>
                <w:b/>
                <w:noProof/>
                <w:sz w:val="20"/>
                <w:szCs w:val="20"/>
              </w:rPr>
              <w:t>2023</w:t>
            </w:r>
          </w:p>
        </w:tc>
        <w:tc>
          <w:tcPr>
            <w:tcW w:w="1134" w:type="dxa"/>
            <w:vAlign w:val="center"/>
          </w:tcPr>
          <w:p w:rsidR="00CA2D7D" w:rsidRDefault="00037412">
            <w:pPr>
              <w:jc w:val="center"/>
              <w:rPr>
                <w:noProof/>
                <w:sz w:val="20"/>
                <w:szCs w:val="20"/>
              </w:rPr>
            </w:pPr>
            <w:r>
              <w:rPr>
                <w:b/>
                <w:noProof/>
                <w:sz w:val="20"/>
                <w:szCs w:val="20"/>
              </w:rPr>
              <w:t>2024</w:t>
            </w:r>
          </w:p>
        </w:tc>
        <w:tc>
          <w:tcPr>
            <w:tcW w:w="992" w:type="dxa"/>
            <w:vAlign w:val="center"/>
          </w:tcPr>
          <w:p w:rsidR="00CA2D7D" w:rsidRDefault="00037412">
            <w:pPr>
              <w:jc w:val="center"/>
              <w:rPr>
                <w:b/>
                <w:noProof/>
                <w:sz w:val="20"/>
                <w:szCs w:val="20"/>
              </w:rPr>
            </w:pPr>
            <w:r>
              <w:rPr>
                <w:b/>
                <w:noProof/>
                <w:sz w:val="20"/>
                <w:szCs w:val="20"/>
              </w:rPr>
              <w:t>2025</w:t>
            </w:r>
          </w:p>
        </w:tc>
        <w:tc>
          <w:tcPr>
            <w:tcW w:w="992" w:type="dxa"/>
            <w:vAlign w:val="center"/>
          </w:tcPr>
          <w:p w:rsidR="00CA2D7D" w:rsidRDefault="00037412">
            <w:pPr>
              <w:jc w:val="center"/>
              <w:rPr>
                <w:b/>
                <w:noProof/>
                <w:sz w:val="20"/>
                <w:szCs w:val="20"/>
              </w:rPr>
            </w:pPr>
            <w:r>
              <w:rPr>
                <w:b/>
                <w:noProof/>
                <w:sz w:val="20"/>
                <w:szCs w:val="20"/>
              </w:rPr>
              <w:t>2026</w:t>
            </w:r>
          </w:p>
        </w:tc>
        <w:tc>
          <w:tcPr>
            <w:tcW w:w="851" w:type="dxa"/>
            <w:vAlign w:val="center"/>
          </w:tcPr>
          <w:p w:rsidR="00CA2D7D" w:rsidRDefault="00037412">
            <w:pPr>
              <w:jc w:val="center"/>
              <w:rPr>
                <w:b/>
                <w:noProof/>
                <w:sz w:val="20"/>
                <w:szCs w:val="20"/>
              </w:rPr>
            </w:pPr>
            <w:r>
              <w:rPr>
                <w:b/>
                <w:noProof/>
                <w:sz w:val="20"/>
                <w:szCs w:val="20"/>
              </w:rPr>
              <w:t>2027</w:t>
            </w:r>
          </w:p>
        </w:tc>
        <w:tc>
          <w:tcPr>
            <w:tcW w:w="1196" w:type="dxa"/>
            <w:vAlign w:val="center"/>
          </w:tcPr>
          <w:p w:rsidR="00CA2D7D" w:rsidRDefault="00037412">
            <w:pPr>
              <w:jc w:val="center"/>
              <w:rPr>
                <w:b/>
                <w:noProof/>
                <w:sz w:val="20"/>
                <w:szCs w:val="20"/>
              </w:rPr>
            </w:pPr>
            <w:r>
              <w:rPr>
                <w:b/>
                <w:noProof/>
                <w:sz w:val="20"/>
                <w:szCs w:val="20"/>
              </w:rPr>
              <w:t>SKUPAJ</w:t>
            </w:r>
          </w:p>
        </w:tc>
      </w:tr>
      <w:tr w:rsidR="00CA2D7D">
        <w:tc>
          <w:tcPr>
            <w:tcW w:w="2943" w:type="dxa"/>
            <w:vMerge w:val="restart"/>
            <w:tcBorders>
              <w:top w:val="single" w:sz="4" w:space="0" w:color="auto"/>
              <w:left w:val="single" w:sz="4" w:space="0" w:color="auto"/>
              <w:right w:val="single" w:sz="4" w:space="0" w:color="auto"/>
            </w:tcBorders>
            <w:vAlign w:val="center"/>
          </w:tcPr>
          <w:p w:rsidR="00CA2D7D" w:rsidRDefault="00037412">
            <w:pPr>
              <w:jc w:val="center"/>
              <w:rPr>
                <w:noProof/>
                <w:sz w:val="20"/>
                <w:szCs w:val="20"/>
              </w:rPr>
            </w:pPr>
            <w:r>
              <w:rPr>
                <w:noProof/>
                <w:sz w:val="20"/>
                <w:szCs w:val="20"/>
              </w:rPr>
              <w:t>Odhodki za poslovanje iz zunanjih namenskih prihodkov Instrumenta Evropske unije za okrevanje</w:t>
            </w:r>
          </w:p>
          <w:p w:rsidR="00CA2D7D" w:rsidRDefault="00CA2D7D">
            <w:pPr>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noProof/>
                <w:sz w:val="20"/>
                <w:szCs w:val="20"/>
              </w:rPr>
            </w:pPr>
            <w:r>
              <w:rPr>
                <w:noProof/>
                <w:sz w:val="20"/>
                <w:szCs w:val="20"/>
              </w:rPr>
              <w:t>obveznosti</w:t>
            </w:r>
          </w:p>
        </w:tc>
        <w:tc>
          <w:tcPr>
            <w:tcW w:w="709"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noProof/>
                <w:sz w:val="20"/>
                <w:szCs w:val="20"/>
              </w:rPr>
            </w:pPr>
            <w:r>
              <w:rPr>
                <w:noProof/>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 xml:space="preserve">1 316,170 </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 xml:space="preserve">1 341,170 </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color w:val="000000"/>
                <w:sz w:val="20"/>
                <w:szCs w:val="20"/>
              </w:rPr>
              <w:t>1 368,170</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color w:val="000000"/>
                <w:sz w:val="20"/>
                <w:szCs w:val="20"/>
              </w:rPr>
              <w:t>1 400,490</w:t>
            </w:r>
          </w:p>
        </w:tc>
        <w:tc>
          <w:tcPr>
            <w:tcW w:w="992"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w:t>
            </w:r>
          </w:p>
        </w:tc>
        <w:tc>
          <w:tcPr>
            <w:tcW w:w="1196"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color w:val="000000"/>
                <w:sz w:val="20"/>
                <w:szCs w:val="20"/>
              </w:rPr>
              <w:t xml:space="preserve">5 426,000   </w:t>
            </w:r>
          </w:p>
        </w:tc>
      </w:tr>
      <w:tr w:rsidR="00CA2D7D">
        <w:tc>
          <w:tcPr>
            <w:tcW w:w="2943" w:type="dxa"/>
            <w:vMerge/>
            <w:tcBorders>
              <w:left w:val="single" w:sz="4" w:space="0" w:color="auto"/>
              <w:bottom w:val="single" w:sz="4" w:space="0" w:color="auto"/>
              <w:right w:val="single" w:sz="4" w:space="0" w:color="auto"/>
            </w:tcBorders>
            <w:vAlign w:val="center"/>
          </w:tcPr>
          <w:p w:rsidR="00CA2D7D" w:rsidRDefault="00CA2D7D">
            <w:pPr>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noProof/>
                <w:sz w:val="20"/>
                <w:szCs w:val="20"/>
              </w:rPr>
            </w:pPr>
            <w:r>
              <w:rPr>
                <w:noProof/>
                <w:sz w:val="20"/>
                <w:szCs w:val="20"/>
              </w:rPr>
              <w:t>plačila</w:t>
            </w:r>
          </w:p>
        </w:tc>
        <w:tc>
          <w:tcPr>
            <w:tcW w:w="709"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noProof/>
                <w:sz w:val="20"/>
                <w:szCs w:val="20"/>
              </w:rPr>
            </w:pPr>
            <w:r>
              <w:rPr>
                <w:noProof/>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color w:val="000000"/>
                <w:sz w:val="20"/>
                <w:szCs w:val="20"/>
              </w:rPr>
              <w:t>864,621</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color w:val="000000"/>
                <w:sz w:val="20"/>
                <w:szCs w:val="20"/>
              </w:rPr>
              <w:t>1 214,845</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CA2D7D">
            <w:pPr>
              <w:jc w:val="center"/>
              <w:rPr>
                <w:rFonts w:asciiTheme="minorHAnsi" w:hAnsiTheme="minorHAnsi" w:cstheme="minorHAnsi"/>
                <w:noProof/>
                <w:sz w:val="20"/>
                <w:szCs w:val="20"/>
              </w:rPr>
            </w:pPr>
          </w:p>
          <w:p w:rsidR="00CA2D7D" w:rsidRDefault="00037412">
            <w:pPr>
              <w:spacing w:before="0" w:after="0"/>
              <w:jc w:val="center"/>
              <w:rPr>
                <w:rFonts w:ascii="Calibri" w:hAnsi="Calibri" w:cs="Calibri"/>
                <w:noProof/>
                <w:color w:val="000000"/>
                <w:sz w:val="20"/>
                <w:szCs w:val="20"/>
              </w:rPr>
            </w:pPr>
            <w:r>
              <w:rPr>
                <w:rFonts w:ascii="Calibri" w:hAnsi="Calibri"/>
                <w:noProof/>
                <w:color w:val="000000"/>
                <w:sz w:val="20"/>
                <w:szCs w:val="20"/>
              </w:rPr>
              <w:t>1 356,504</w:t>
            </w:r>
          </w:p>
          <w:p w:rsidR="00CA2D7D" w:rsidRDefault="00CA2D7D">
            <w:pPr>
              <w:jc w:val="center"/>
              <w:rPr>
                <w:rFonts w:asciiTheme="minorHAnsi" w:hAnsiTheme="minorHAnsi" w:cstheme="minorHAnsi"/>
                <w:b/>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CA2D7D">
            <w:pPr>
              <w:jc w:val="center"/>
              <w:rPr>
                <w:rFonts w:asciiTheme="minorHAnsi" w:hAnsiTheme="minorHAnsi" w:cstheme="minorHAnsi"/>
                <w:noProof/>
                <w:sz w:val="20"/>
                <w:szCs w:val="20"/>
              </w:rPr>
            </w:pPr>
          </w:p>
          <w:p w:rsidR="00CA2D7D" w:rsidRDefault="00037412">
            <w:pPr>
              <w:spacing w:before="0" w:after="0"/>
              <w:jc w:val="center"/>
              <w:rPr>
                <w:rFonts w:ascii="Calibri" w:hAnsi="Calibri" w:cs="Calibri"/>
                <w:noProof/>
                <w:color w:val="000000"/>
                <w:sz w:val="20"/>
                <w:szCs w:val="20"/>
              </w:rPr>
            </w:pPr>
            <w:r>
              <w:rPr>
                <w:rFonts w:ascii="Calibri" w:hAnsi="Calibri"/>
                <w:noProof/>
                <w:color w:val="000000"/>
                <w:sz w:val="20"/>
                <w:szCs w:val="20"/>
              </w:rPr>
              <w:t>1 383,504</w:t>
            </w:r>
          </w:p>
          <w:p w:rsidR="00CA2D7D" w:rsidRDefault="00CA2D7D">
            <w:pPr>
              <w:jc w:val="center"/>
              <w:rPr>
                <w:rFonts w:asciiTheme="minorHAnsi" w:hAnsiTheme="minorHAnsi" w:cstheme="minorHAnsi"/>
                <w:b/>
                <w:noProo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color w:val="000000"/>
                <w:sz w:val="20"/>
                <w:szCs w:val="20"/>
              </w:rPr>
              <w:t>477,110</w:t>
            </w:r>
          </w:p>
        </w:tc>
        <w:tc>
          <w:tcPr>
            <w:tcW w:w="992"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color w:val="000000"/>
                <w:sz w:val="20"/>
                <w:szCs w:val="20"/>
              </w:rPr>
              <w:t>129,416</w:t>
            </w:r>
          </w:p>
        </w:tc>
        <w:tc>
          <w:tcPr>
            <w:tcW w:w="851"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 xml:space="preserve">–      </w:t>
            </w:r>
          </w:p>
        </w:tc>
        <w:tc>
          <w:tcPr>
            <w:tcW w:w="1196"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color w:val="000000"/>
                <w:sz w:val="20"/>
                <w:szCs w:val="20"/>
              </w:rPr>
              <w:t xml:space="preserve">5 426,000   </w:t>
            </w:r>
          </w:p>
        </w:tc>
      </w:tr>
      <w:tr w:rsidR="00CA2D7D">
        <w:tc>
          <w:tcPr>
            <w:tcW w:w="2943"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noProof/>
                <w:sz w:val="20"/>
                <w:szCs w:val="20"/>
              </w:rPr>
            </w:pPr>
            <w:r>
              <w:rPr>
                <w:noProof/>
                <w:sz w:val="20"/>
                <w:szCs w:val="20"/>
              </w:rPr>
              <w:t>Odhodki za upravno podporo iz zunanjih namenskih prihodkov Instrumenta Evropske unije za okrevanje</w:t>
            </w:r>
          </w:p>
          <w:p w:rsidR="00CA2D7D" w:rsidRDefault="00CA2D7D">
            <w:pPr>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noProof/>
                <w:sz w:val="20"/>
                <w:szCs w:val="20"/>
              </w:rPr>
            </w:pPr>
            <w:r>
              <w:rPr>
                <w:noProof/>
                <w:sz w:val="20"/>
                <w:szCs w:val="20"/>
              </w:rPr>
              <w:t>obveznosti = plačila</w:t>
            </w:r>
          </w:p>
        </w:tc>
        <w:tc>
          <w:tcPr>
            <w:tcW w:w="709"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noProof/>
                <w:sz w:val="20"/>
                <w:szCs w:val="20"/>
              </w:rPr>
            </w:pPr>
            <w:r>
              <w:rPr>
                <w:noProof/>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CA2D7D">
            <w:pPr>
              <w:jc w:val="center"/>
              <w:rPr>
                <w:rFonts w:asciiTheme="minorHAnsi" w:hAnsiTheme="minorHAnsi" w:cstheme="minorHAnsi"/>
                <w:noProof/>
                <w:sz w:val="20"/>
                <w:szCs w:val="20"/>
              </w:rPr>
            </w:pPr>
          </w:p>
          <w:p w:rsidR="00CA2D7D" w:rsidRDefault="00037412">
            <w:pPr>
              <w:spacing w:before="0" w:after="0"/>
              <w:jc w:val="center"/>
              <w:rPr>
                <w:rFonts w:ascii="Calibri" w:hAnsi="Calibri" w:cs="Calibri"/>
                <w:noProof/>
                <w:sz w:val="20"/>
                <w:szCs w:val="20"/>
              </w:rPr>
            </w:pPr>
            <w:r>
              <w:rPr>
                <w:rFonts w:ascii="Calibri" w:hAnsi="Calibri"/>
                <w:noProof/>
                <w:sz w:val="20"/>
                <w:szCs w:val="20"/>
              </w:rPr>
              <w:t>5,830</w:t>
            </w:r>
          </w:p>
          <w:p w:rsidR="00CA2D7D" w:rsidRDefault="00CA2D7D">
            <w:pPr>
              <w:jc w:val="center"/>
              <w:rPr>
                <w:rFonts w:asciiTheme="minorHAnsi" w:hAnsiTheme="minorHAnsi" w:cstheme="minorHAnsi"/>
                <w:b/>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sz w:val="20"/>
                <w:szCs w:val="20"/>
              </w:rPr>
              <w:t>7,830</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sz w:val="20"/>
                <w:szCs w:val="20"/>
              </w:rPr>
              <w:t>7,830</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sz w:val="20"/>
                <w:szCs w:val="20"/>
              </w:rPr>
              <w:t>7,830</w:t>
            </w:r>
          </w:p>
        </w:tc>
        <w:tc>
          <w:tcPr>
            <w:tcW w:w="992" w:type="dxa"/>
            <w:tcBorders>
              <w:top w:val="single" w:sz="4" w:space="0" w:color="auto"/>
              <w:left w:val="single" w:sz="4" w:space="0" w:color="auto"/>
              <w:bottom w:val="single" w:sz="4" w:space="0" w:color="auto"/>
              <w:right w:val="single" w:sz="4" w:space="0" w:color="auto"/>
            </w:tcBorders>
            <w:vAlign w:val="center"/>
          </w:tcPr>
          <w:p w:rsidR="00CA2D7D" w:rsidRDefault="00CA2D7D">
            <w:pPr>
              <w:jc w:val="center"/>
              <w:rPr>
                <w:rFonts w:asciiTheme="minorHAnsi" w:hAnsiTheme="minorHAnsi" w:cstheme="minorHAnsi"/>
                <w:noProof/>
                <w:sz w:val="20"/>
                <w:szCs w:val="20"/>
              </w:rPr>
            </w:pPr>
          </w:p>
          <w:p w:rsidR="00CA2D7D" w:rsidRDefault="00037412">
            <w:pPr>
              <w:spacing w:before="0" w:after="0"/>
              <w:jc w:val="center"/>
              <w:rPr>
                <w:rFonts w:ascii="Calibri" w:hAnsi="Calibri" w:cs="Calibri"/>
                <w:noProof/>
                <w:sz w:val="20"/>
                <w:szCs w:val="20"/>
              </w:rPr>
            </w:pPr>
            <w:r>
              <w:rPr>
                <w:rFonts w:ascii="Calibri" w:hAnsi="Calibri"/>
                <w:noProof/>
                <w:sz w:val="20"/>
                <w:szCs w:val="20"/>
              </w:rPr>
              <w:t>5,830</w:t>
            </w:r>
          </w:p>
          <w:p w:rsidR="00CA2D7D" w:rsidRDefault="00CA2D7D">
            <w:pPr>
              <w:jc w:val="center"/>
              <w:rPr>
                <w:rFonts w:asciiTheme="minorHAnsi" w:hAnsiTheme="minorHAnsi" w:cstheme="minorHAnsi"/>
                <w:b/>
                <w:noProo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sz w:val="20"/>
                <w:szCs w:val="20"/>
              </w:rPr>
              <w:t>4,230</w:t>
            </w:r>
          </w:p>
        </w:tc>
        <w:tc>
          <w:tcPr>
            <w:tcW w:w="851" w:type="dxa"/>
            <w:tcBorders>
              <w:top w:val="single" w:sz="4" w:space="0" w:color="auto"/>
              <w:left w:val="single" w:sz="4" w:space="0" w:color="auto"/>
              <w:bottom w:val="single" w:sz="4" w:space="0" w:color="auto"/>
              <w:right w:val="single" w:sz="4" w:space="0" w:color="auto"/>
            </w:tcBorders>
            <w:vAlign w:val="center"/>
          </w:tcPr>
          <w:p w:rsidR="00CA2D7D" w:rsidRDefault="00CA2D7D">
            <w:pPr>
              <w:jc w:val="center"/>
              <w:rPr>
                <w:rFonts w:asciiTheme="minorHAnsi" w:hAnsiTheme="minorHAnsi" w:cstheme="minorHAnsi"/>
                <w:noProof/>
                <w:sz w:val="20"/>
                <w:szCs w:val="20"/>
              </w:rPr>
            </w:pPr>
          </w:p>
          <w:p w:rsidR="00CA2D7D" w:rsidRDefault="00037412">
            <w:pPr>
              <w:spacing w:before="0" w:after="0"/>
              <w:jc w:val="center"/>
              <w:rPr>
                <w:rFonts w:ascii="Calibri" w:hAnsi="Calibri" w:cs="Calibri"/>
                <w:noProof/>
                <w:sz w:val="20"/>
                <w:szCs w:val="20"/>
              </w:rPr>
            </w:pPr>
            <w:r>
              <w:rPr>
                <w:rFonts w:ascii="Calibri" w:hAnsi="Calibri"/>
                <w:noProof/>
                <w:sz w:val="20"/>
                <w:szCs w:val="20"/>
              </w:rPr>
              <w:t>2,620</w:t>
            </w:r>
          </w:p>
          <w:p w:rsidR="00CA2D7D" w:rsidRDefault="00CA2D7D">
            <w:pPr>
              <w:jc w:val="center"/>
              <w:rPr>
                <w:rFonts w:asciiTheme="minorHAnsi" w:hAnsiTheme="minorHAnsi" w:cstheme="minorHAnsi"/>
                <w:b/>
                <w:noProof/>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 xml:space="preserve">42,000 </w:t>
            </w:r>
          </w:p>
        </w:tc>
      </w:tr>
      <w:tr w:rsidR="00CA2D7D">
        <w:tc>
          <w:tcPr>
            <w:tcW w:w="2943" w:type="dxa"/>
            <w:vMerge w:val="restart"/>
            <w:tcBorders>
              <w:top w:val="single" w:sz="4" w:space="0" w:color="auto"/>
              <w:left w:val="single" w:sz="4" w:space="0" w:color="auto"/>
              <w:right w:val="single" w:sz="4" w:space="0" w:color="auto"/>
            </w:tcBorders>
            <w:vAlign w:val="center"/>
          </w:tcPr>
          <w:p w:rsidR="00CA2D7D" w:rsidRDefault="00037412">
            <w:pPr>
              <w:jc w:val="center"/>
              <w:rPr>
                <w:noProof/>
                <w:sz w:val="20"/>
                <w:szCs w:val="20"/>
              </w:rPr>
            </w:pPr>
            <w:r>
              <w:rPr>
                <w:noProof/>
                <w:sz w:val="20"/>
                <w:szCs w:val="20"/>
              </w:rPr>
              <w:t>Skupaj zunanji namenski prejemki</w:t>
            </w:r>
          </w:p>
        </w:tc>
        <w:tc>
          <w:tcPr>
            <w:tcW w:w="1418"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noProof/>
                <w:sz w:val="20"/>
                <w:szCs w:val="20"/>
              </w:rPr>
            </w:pPr>
            <w:r>
              <w:rPr>
                <w:noProof/>
                <w:sz w:val="20"/>
                <w:szCs w:val="20"/>
              </w:rPr>
              <w:t>obveznosti</w:t>
            </w:r>
          </w:p>
        </w:tc>
        <w:tc>
          <w:tcPr>
            <w:tcW w:w="709"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noProof/>
                <w:sz w:val="20"/>
                <w:szCs w:val="20"/>
              </w:rPr>
            </w:pPr>
            <w:r>
              <w:rPr>
                <w:noProof/>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 xml:space="preserve">1 322,000   </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 xml:space="preserve">1 349,000   </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 xml:space="preserve">1 376,000   </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color w:val="000000"/>
                <w:sz w:val="20"/>
                <w:szCs w:val="20"/>
              </w:rPr>
              <w:t>1 408,320</w:t>
            </w:r>
          </w:p>
        </w:tc>
        <w:tc>
          <w:tcPr>
            <w:tcW w:w="992" w:type="dxa"/>
            <w:tcBorders>
              <w:top w:val="single" w:sz="4" w:space="0" w:color="auto"/>
              <w:left w:val="single" w:sz="4" w:space="0" w:color="auto"/>
              <w:bottom w:val="single" w:sz="4" w:space="0" w:color="auto"/>
              <w:right w:val="single" w:sz="4" w:space="0" w:color="auto"/>
            </w:tcBorders>
            <w:vAlign w:val="center"/>
          </w:tcPr>
          <w:p w:rsidR="00CA2D7D" w:rsidRDefault="00CA2D7D">
            <w:pPr>
              <w:jc w:val="center"/>
              <w:rPr>
                <w:rFonts w:asciiTheme="minorHAnsi" w:hAnsiTheme="minorHAnsi" w:cstheme="minorHAnsi"/>
                <w:noProof/>
                <w:sz w:val="20"/>
                <w:szCs w:val="20"/>
              </w:rPr>
            </w:pPr>
          </w:p>
          <w:p w:rsidR="00CA2D7D" w:rsidRDefault="00037412">
            <w:pPr>
              <w:spacing w:before="0" w:after="0"/>
              <w:jc w:val="center"/>
              <w:rPr>
                <w:rFonts w:ascii="Calibri" w:hAnsi="Calibri" w:cs="Calibri"/>
                <w:noProof/>
                <w:color w:val="000000"/>
                <w:sz w:val="20"/>
                <w:szCs w:val="20"/>
              </w:rPr>
            </w:pPr>
            <w:r>
              <w:rPr>
                <w:rFonts w:ascii="Calibri" w:hAnsi="Calibri"/>
                <w:noProof/>
                <w:color w:val="000000"/>
                <w:sz w:val="20"/>
                <w:szCs w:val="20"/>
              </w:rPr>
              <w:t>5,830</w:t>
            </w:r>
          </w:p>
          <w:p w:rsidR="00CA2D7D" w:rsidRDefault="00CA2D7D">
            <w:pPr>
              <w:jc w:val="center"/>
              <w:rPr>
                <w:rFonts w:asciiTheme="minorHAnsi" w:hAnsiTheme="minorHAnsi" w:cstheme="minorHAnsi"/>
                <w:b/>
                <w:noProo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color w:val="000000"/>
                <w:sz w:val="20"/>
                <w:szCs w:val="20"/>
              </w:rPr>
              <w:t>4,230</w:t>
            </w:r>
          </w:p>
        </w:tc>
        <w:tc>
          <w:tcPr>
            <w:tcW w:w="851"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color w:val="000000"/>
                <w:sz w:val="20"/>
                <w:szCs w:val="20"/>
              </w:rPr>
              <w:t>2,620</w:t>
            </w:r>
          </w:p>
        </w:tc>
        <w:tc>
          <w:tcPr>
            <w:tcW w:w="1196"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color w:val="000000"/>
                <w:sz w:val="20"/>
                <w:szCs w:val="20"/>
              </w:rPr>
              <w:t xml:space="preserve">5 468,000   </w:t>
            </w:r>
          </w:p>
        </w:tc>
      </w:tr>
      <w:tr w:rsidR="00CA2D7D">
        <w:tc>
          <w:tcPr>
            <w:tcW w:w="2943" w:type="dxa"/>
            <w:vMerge/>
            <w:tcBorders>
              <w:left w:val="single" w:sz="4" w:space="0" w:color="auto"/>
              <w:bottom w:val="single" w:sz="4" w:space="0" w:color="auto"/>
              <w:right w:val="single" w:sz="4" w:space="0" w:color="auto"/>
            </w:tcBorders>
            <w:vAlign w:val="center"/>
          </w:tcPr>
          <w:p w:rsidR="00CA2D7D" w:rsidRDefault="00CA2D7D">
            <w:pPr>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noProof/>
                <w:sz w:val="20"/>
                <w:szCs w:val="20"/>
              </w:rPr>
            </w:pPr>
            <w:r>
              <w:rPr>
                <w:noProof/>
                <w:sz w:val="20"/>
                <w:szCs w:val="20"/>
              </w:rPr>
              <w:t>plačila</w:t>
            </w:r>
          </w:p>
        </w:tc>
        <w:tc>
          <w:tcPr>
            <w:tcW w:w="709"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noProof/>
                <w:sz w:val="20"/>
                <w:szCs w:val="20"/>
              </w:rPr>
            </w:pPr>
            <w:r>
              <w:rPr>
                <w:noProof/>
                <w:sz w:val="20"/>
                <w:szCs w:val="20"/>
              </w:rPr>
              <w:t>=2+3</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 xml:space="preserve">870,451   </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 xml:space="preserve">1 222,675   </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 xml:space="preserve">1 364,334   </w:t>
            </w:r>
          </w:p>
        </w:tc>
        <w:tc>
          <w:tcPr>
            <w:tcW w:w="1134"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 xml:space="preserve">1 391,334   </w:t>
            </w:r>
          </w:p>
        </w:tc>
        <w:tc>
          <w:tcPr>
            <w:tcW w:w="992"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sz w:val="20"/>
                <w:szCs w:val="20"/>
              </w:rPr>
              <w:t xml:space="preserve">482,940   </w:t>
            </w:r>
          </w:p>
        </w:tc>
        <w:tc>
          <w:tcPr>
            <w:tcW w:w="992"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color w:val="000000"/>
                <w:sz w:val="20"/>
                <w:szCs w:val="20"/>
              </w:rPr>
              <w:t>133,646</w:t>
            </w:r>
          </w:p>
        </w:tc>
        <w:tc>
          <w:tcPr>
            <w:tcW w:w="851" w:type="dxa"/>
            <w:tcBorders>
              <w:top w:val="single" w:sz="4" w:space="0" w:color="auto"/>
              <w:left w:val="single" w:sz="4" w:space="0" w:color="auto"/>
              <w:bottom w:val="single" w:sz="4" w:space="0" w:color="auto"/>
              <w:right w:val="single" w:sz="4" w:space="0" w:color="auto"/>
            </w:tcBorders>
            <w:vAlign w:val="center"/>
          </w:tcPr>
          <w:p w:rsidR="00CA2D7D" w:rsidRDefault="00037412">
            <w:pPr>
              <w:spacing w:before="0" w:after="0"/>
              <w:jc w:val="center"/>
              <w:rPr>
                <w:rFonts w:asciiTheme="minorHAnsi" w:hAnsiTheme="minorHAnsi" w:cstheme="minorHAnsi"/>
                <w:b/>
                <w:noProof/>
                <w:sz w:val="20"/>
                <w:szCs w:val="20"/>
              </w:rPr>
            </w:pPr>
            <w:r>
              <w:rPr>
                <w:rFonts w:ascii="Calibri" w:hAnsi="Calibri"/>
                <w:noProof/>
                <w:color w:val="000000"/>
                <w:sz w:val="20"/>
                <w:szCs w:val="20"/>
              </w:rPr>
              <w:t>2,620</w:t>
            </w:r>
          </w:p>
        </w:tc>
        <w:tc>
          <w:tcPr>
            <w:tcW w:w="1196" w:type="dxa"/>
            <w:tcBorders>
              <w:top w:val="single" w:sz="4" w:space="0" w:color="auto"/>
              <w:left w:val="single" w:sz="4" w:space="0" w:color="auto"/>
              <w:bottom w:val="single" w:sz="4" w:space="0" w:color="auto"/>
              <w:right w:val="single" w:sz="4" w:space="0" w:color="auto"/>
            </w:tcBorders>
            <w:vAlign w:val="center"/>
          </w:tcPr>
          <w:p w:rsidR="00CA2D7D" w:rsidRDefault="00037412">
            <w:pPr>
              <w:jc w:val="center"/>
              <w:rPr>
                <w:rFonts w:asciiTheme="minorHAnsi" w:hAnsiTheme="minorHAnsi" w:cstheme="minorHAnsi"/>
                <w:b/>
                <w:noProof/>
                <w:sz w:val="20"/>
                <w:szCs w:val="20"/>
              </w:rPr>
            </w:pPr>
            <w:r>
              <w:rPr>
                <w:rFonts w:asciiTheme="minorHAnsi" w:hAnsiTheme="minorHAnsi"/>
                <w:noProof/>
                <w:color w:val="000000"/>
                <w:sz w:val="20"/>
                <w:szCs w:val="20"/>
              </w:rPr>
              <w:t xml:space="preserve">5 468,000   </w:t>
            </w:r>
          </w:p>
        </w:tc>
      </w:tr>
    </w:tbl>
    <w:p w:rsidR="00CA2D7D" w:rsidRDefault="00CA2D7D">
      <w:pPr>
        <w:rPr>
          <w:noProof/>
        </w:rPr>
      </w:pPr>
    </w:p>
    <w:p w:rsidR="00CA2D7D" w:rsidRDefault="00CA2D7D">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A2D7D">
        <w:trPr>
          <w:jc w:val="center"/>
        </w:trPr>
        <w:tc>
          <w:tcPr>
            <w:tcW w:w="4744" w:type="dxa"/>
            <w:shd w:val="thinDiagStripe" w:color="C0C0C0" w:fill="auto"/>
            <w:vAlign w:val="center"/>
          </w:tcPr>
          <w:p w:rsidR="00CA2D7D" w:rsidRDefault="00037412">
            <w:pPr>
              <w:spacing w:before="60" w:after="60"/>
              <w:jc w:val="center"/>
              <w:rPr>
                <w:b/>
                <w:noProof/>
              </w:rPr>
            </w:pPr>
            <w:r>
              <w:rPr>
                <w:noProof/>
              </w:rPr>
              <w:br w:type="page"/>
            </w:r>
            <w:r>
              <w:rPr>
                <w:b/>
                <w:noProof/>
                <w:sz w:val="22"/>
              </w:rPr>
              <w:t xml:space="preserve">Razdelek večletnega finančnega </w:t>
            </w:r>
            <w:r>
              <w:rPr>
                <w:noProof/>
              </w:rPr>
              <w:br/>
            </w:r>
            <w:r>
              <w:rPr>
                <w:b/>
                <w:noProof/>
                <w:sz w:val="22"/>
              </w:rPr>
              <w:t xml:space="preserve">okvira </w:t>
            </w:r>
          </w:p>
        </w:tc>
        <w:tc>
          <w:tcPr>
            <w:tcW w:w="1080" w:type="dxa"/>
            <w:shd w:val="thinDiagStripe" w:color="C0C0C0" w:fill="auto"/>
            <w:vAlign w:val="center"/>
          </w:tcPr>
          <w:p w:rsidR="00CA2D7D" w:rsidRDefault="00037412">
            <w:pPr>
              <w:spacing w:before="60" w:after="60"/>
              <w:jc w:val="center"/>
              <w:rPr>
                <w:noProof/>
              </w:rPr>
            </w:pPr>
            <w:r>
              <w:rPr>
                <w:noProof/>
              </w:rPr>
              <w:t>7</w:t>
            </w:r>
          </w:p>
        </w:tc>
        <w:tc>
          <w:tcPr>
            <w:tcW w:w="7817" w:type="dxa"/>
            <w:vAlign w:val="center"/>
          </w:tcPr>
          <w:p w:rsidR="00CA2D7D" w:rsidRDefault="00037412">
            <w:pPr>
              <w:spacing w:before="60" w:after="60"/>
              <w:rPr>
                <w:noProof/>
              </w:rPr>
            </w:pPr>
            <w:r>
              <w:rPr>
                <w:noProof/>
                <w:sz w:val="22"/>
              </w:rPr>
              <w:t>„Upravni odhodki“</w:t>
            </w:r>
          </w:p>
        </w:tc>
      </w:tr>
    </w:tbl>
    <w:p w:rsidR="00CA2D7D" w:rsidRDefault="00CA2D7D">
      <w:pPr>
        <w:jc w:val="left"/>
        <w:rPr>
          <w:noProof/>
          <w:color w:val="0000FF"/>
        </w:rPr>
      </w:pPr>
    </w:p>
    <w:p w:rsidR="00CA2D7D" w:rsidRDefault="00CA2D7D">
      <w:pPr>
        <w:jc w:val="left"/>
        <w:rPr>
          <w:noProof/>
        </w:rPr>
      </w:pPr>
    </w:p>
    <w:p w:rsidR="00CA2D7D" w:rsidRDefault="00037412">
      <w:pPr>
        <w:jc w:val="right"/>
        <w:rPr>
          <w:noProof/>
          <w:sz w:val="20"/>
        </w:rPr>
      </w:pPr>
      <w:r>
        <w:rPr>
          <w:noProof/>
          <w:sz w:val="20"/>
        </w:rPr>
        <w:t>v mio. EUR (na tri decimalna mesta natančno)</w:t>
      </w:r>
    </w:p>
    <w:tbl>
      <w:tblPr>
        <w:tblW w:w="13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1291"/>
      </w:tblGrid>
      <w:tr w:rsidR="00CA2D7D">
        <w:trPr>
          <w:jc w:val="center"/>
        </w:trPr>
        <w:tc>
          <w:tcPr>
            <w:tcW w:w="6245" w:type="dxa"/>
            <w:gridSpan w:val="2"/>
            <w:tcBorders>
              <w:top w:val="nil"/>
              <w:left w:val="nil"/>
            </w:tcBorders>
            <w:vAlign w:val="center"/>
          </w:tcPr>
          <w:p w:rsidR="00CA2D7D" w:rsidRDefault="00CA2D7D">
            <w:pPr>
              <w:jc w:val="center"/>
              <w:rPr>
                <w:noProof/>
                <w:sz w:val="20"/>
              </w:rPr>
            </w:pPr>
          </w:p>
        </w:tc>
        <w:tc>
          <w:tcPr>
            <w:tcW w:w="868" w:type="dxa"/>
            <w:vAlign w:val="center"/>
          </w:tcPr>
          <w:p w:rsidR="00CA2D7D" w:rsidRDefault="00037412">
            <w:pPr>
              <w:jc w:val="center"/>
              <w:rPr>
                <w:b/>
                <w:noProof/>
                <w:sz w:val="20"/>
              </w:rPr>
            </w:pPr>
            <w:r>
              <w:rPr>
                <w:b/>
                <w:noProof/>
                <w:sz w:val="20"/>
              </w:rPr>
              <w:t>2021</w:t>
            </w:r>
          </w:p>
        </w:tc>
        <w:tc>
          <w:tcPr>
            <w:tcW w:w="868" w:type="dxa"/>
            <w:vAlign w:val="center"/>
          </w:tcPr>
          <w:p w:rsidR="00CA2D7D" w:rsidRDefault="00037412">
            <w:pPr>
              <w:jc w:val="center"/>
              <w:rPr>
                <w:b/>
                <w:noProof/>
                <w:sz w:val="20"/>
              </w:rPr>
            </w:pPr>
            <w:r>
              <w:rPr>
                <w:b/>
                <w:noProof/>
                <w:sz w:val="20"/>
              </w:rPr>
              <w:t>2022</w:t>
            </w:r>
          </w:p>
        </w:tc>
        <w:tc>
          <w:tcPr>
            <w:tcW w:w="868" w:type="dxa"/>
            <w:vAlign w:val="center"/>
          </w:tcPr>
          <w:p w:rsidR="00CA2D7D" w:rsidRDefault="00037412">
            <w:pPr>
              <w:jc w:val="center"/>
              <w:rPr>
                <w:b/>
                <w:noProof/>
                <w:sz w:val="20"/>
              </w:rPr>
            </w:pPr>
            <w:r>
              <w:rPr>
                <w:b/>
                <w:noProof/>
                <w:sz w:val="20"/>
              </w:rPr>
              <w:t>2023</w:t>
            </w:r>
          </w:p>
        </w:tc>
        <w:tc>
          <w:tcPr>
            <w:tcW w:w="868" w:type="dxa"/>
            <w:vAlign w:val="center"/>
          </w:tcPr>
          <w:p w:rsidR="00CA2D7D" w:rsidRDefault="00037412">
            <w:pPr>
              <w:jc w:val="center"/>
              <w:rPr>
                <w:b/>
                <w:noProof/>
                <w:sz w:val="20"/>
              </w:rPr>
            </w:pPr>
            <w:r>
              <w:rPr>
                <w:b/>
                <w:noProof/>
                <w:sz w:val="20"/>
              </w:rPr>
              <w:t>2024</w:t>
            </w:r>
          </w:p>
        </w:tc>
        <w:tc>
          <w:tcPr>
            <w:tcW w:w="868" w:type="dxa"/>
            <w:vAlign w:val="center"/>
          </w:tcPr>
          <w:p w:rsidR="00CA2D7D" w:rsidRDefault="00037412">
            <w:pPr>
              <w:jc w:val="center"/>
              <w:rPr>
                <w:b/>
                <w:noProof/>
                <w:sz w:val="18"/>
              </w:rPr>
            </w:pPr>
            <w:r>
              <w:rPr>
                <w:b/>
                <w:noProof/>
                <w:sz w:val="18"/>
              </w:rPr>
              <w:t>2025</w:t>
            </w:r>
          </w:p>
        </w:tc>
        <w:tc>
          <w:tcPr>
            <w:tcW w:w="868" w:type="dxa"/>
            <w:vAlign w:val="center"/>
          </w:tcPr>
          <w:p w:rsidR="00CA2D7D" w:rsidRDefault="00037412">
            <w:pPr>
              <w:jc w:val="center"/>
              <w:rPr>
                <w:b/>
                <w:noProof/>
                <w:sz w:val="18"/>
              </w:rPr>
            </w:pPr>
            <w:r>
              <w:rPr>
                <w:b/>
                <w:noProof/>
                <w:sz w:val="18"/>
              </w:rPr>
              <w:t>2026</w:t>
            </w:r>
          </w:p>
        </w:tc>
        <w:tc>
          <w:tcPr>
            <w:tcW w:w="868" w:type="dxa"/>
            <w:vAlign w:val="center"/>
          </w:tcPr>
          <w:p w:rsidR="00CA2D7D" w:rsidRDefault="00037412">
            <w:pPr>
              <w:jc w:val="center"/>
              <w:rPr>
                <w:b/>
                <w:noProof/>
                <w:sz w:val="18"/>
              </w:rPr>
            </w:pPr>
            <w:r>
              <w:rPr>
                <w:b/>
                <w:noProof/>
                <w:sz w:val="18"/>
              </w:rPr>
              <w:t>2027</w:t>
            </w:r>
          </w:p>
        </w:tc>
        <w:tc>
          <w:tcPr>
            <w:tcW w:w="1291" w:type="dxa"/>
            <w:vAlign w:val="center"/>
          </w:tcPr>
          <w:p w:rsidR="00CA2D7D" w:rsidRDefault="00037412">
            <w:pPr>
              <w:jc w:val="center"/>
              <w:rPr>
                <w:b/>
                <w:noProof/>
                <w:sz w:val="20"/>
              </w:rPr>
            </w:pPr>
            <w:r>
              <w:rPr>
                <w:b/>
                <w:noProof/>
                <w:sz w:val="20"/>
              </w:rPr>
              <w:t>SKUPAJ</w:t>
            </w:r>
          </w:p>
        </w:tc>
      </w:tr>
      <w:tr w:rsidR="00CA2D7D">
        <w:trPr>
          <w:trHeight w:val="313"/>
          <w:jc w:val="center"/>
        </w:trPr>
        <w:tc>
          <w:tcPr>
            <w:tcW w:w="6245" w:type="dxa"/>
            <w:gridSpan w:val="2"/>
            <w:vAlign w:val="center"/>
          </w:tcPr>
          <w:p w:rsidR="00CA2D7D" w:rsidRDefault="00037412">
            <w:pPr>
              <w:spacing w:before="20" w:after="20"/>
              <w:rPr>
                <w:noProof/>
              </w:rPr>
            </w:pPr>
            <w:r>
              <w:rPr>
                <w:noProof/>
                <w:sz w:val="22"/>
              </w:rPr>
              <w:t xml:space="preserve">Človeški viri </w:t>
            </w:r>
          </w:p>
        </w:tc>
        <w:tc>
          <w:tcPr>
            <w:tcW w:w="868" w:type="dxa"/>
            <w:vAlign w:val="center"/>
          </w:tcPr>
          <w:p w:rsidR="00CA2D7D" w:rsidRDefault="00CA2D7D">
            <w:pPr>
              <w:spacing w:before="20" w:after="20"/>
              <w:jc w:val="right"/>
              <w:rPr>
                <w:noProof/>
                <w:sz w:val="20"/>
              </w:rPr>
            </w:pPr>
          </w:p>
        </w:tc>
        <w:tc>
          <w:tcPr>
            <w:tcW w:w="868" w:type="dxa"/>
            <w:vAlign w:val="center"/>
          </w:tcPr>
          <w:p w:rsidR="00CA2D7D" w:rsidRDefault="00CA2D7D">
            <w:pPr>
              <w:spacing w:before="20" w:after="20"/>
              <w:jc w:val="right"/>
              <w:rPr>
                <w:noProof/>
                <w:sz w:val="20"/>
              </w:rPr>
            </w:pPr>
          </w:p>
        </w:tc>
        <w:tc>
          <w:tcPr>
            <w:tcW w:w="868" w:type="dxa"/>
            <w:vAlign w:val="center"/>
          </w:tcPr>
          <w:p w:rsidR="00CA2D7D" w:rsidRDefault="00CA2D7D">
            <w:pPr>
              <w:spacing w:before="20" w:after="20"/>
              <w:jc w:val="right"/>
              <w:rPr>
                <w:noProof/>
                <w:sz w:val="20"/>
              </w:rPr>
            </w:pPr>
          </w:p>
        </w:tc>
        <w:tc>
          <w:tcPr>
            <w:tcW w:w="868" w:type="dxa"/>
            <w:vAlign w:val="center"/>
          </w:tcPr>
          <w:p w:rsidR="00CA2D7D" w:rsidRDefault="00CA2D7D">
            <w:pPr>
              <w:spacing w:before="20" w:after="20"/>
              <w:jc w:val="right"/>
              <w:rPr>
                <w:noProof/>
                <w:sz w:val="20"/>
              </w:rPr>
            </w:pPr>
          </w:p>
        </w:tc>
        <w:tc>
          <w:tcPr>
            <w:tcW w:w="868" w:type="dxa"/>
            <w:vAlign w:val="center"/>
          </w:tcPr>
          <w:p w:rsidR="00CA2D7D" w:rsidRDefault="00CA2D7D">
            <w:pPr>
              <w:spacing w:before="20" w:after="20"/>
              <w:jc w:val="right"/>
              <w:rPr>
                <w:noProof/>
                <w:sz w:val="20"/>
              </w:rPr>
            </w:pPr>
          </w:p>
        </w:tc>
        <w:tc>
          <w:tcPr>
            <w:tcW w:w="868" w:type="dxa"/>
            <w:vAlign w:val="center"/>
          </w:tcPr>
          <w:p w:rsidR="00CA2D7D" w:rsidRDefault="00CA2D7D">
            <w:pPr>
              <w:spacing w:before="20" w:after="20"/>
              <w:jc w:val="right"/>
              <w:rPr>
                <w:noProof/>
                <w:sz w:val="20"/>
              </w:rPr>
            </w:pPr>
          </w:p>
        </w:tc>
        <w:tc>
          <w:tcPr>
            <w:tcW w:w="868" w:type="dxa"/>
            <w:vAlign w:val="center"/>
          </w:tcPr>
          <w:p w:rsidR="00CA2D7D" w:rsidRDefault="00CA2D7D">
            <w:pPr>
              <w:spacing w:before="20" w:after="20"/>
              <w:jc w:val="right"/>
              <w:rPr>
                <w:b/>
                <w:noProof/>
                <w:sz w:val="20"/>
              </w:rPr>
            </w:pPr>
          </w:p>
        </w:tc>
        <w:tc>
          <w:tcPr>
            <w:tcW w:w="1291" w:type="dxa"/>
            <w:vAlign w:val="center"/>
          </w:tcPr>
          <w:p w:rsidR="00CA2D7D" w:rsidRDefault="00CA2D7D">
            <w:pPr>
              <w:spacing w:before="20" w:after="20"/>
              <w:jc w:val="right"/>
              <w:rPr>
                <w:b/>
                <w:noProof/>
                <w:sz w:val="20"/>
              </w:rPr>
            </w:pPr>
          </w:p>
        </w:tc>
      </w:tr>
      <w:tr w:rsidR="00CA2D7D">
        <w:trPr>
          <w:trHeight w:val="351"/>
          <w:jc w:val="center"/>
        </w:trPr>
        <w:tc>
          <w:tcPr>
            <w:tcW w:w="6245" w:type="dxa"/>
            <w:gridSpan w:val="2"/>
            <w:vAlign w:val="center"/>
          </w:tcPr>
          <w:p w:rsidR="00CA2D7D" w:rsidRDefault="00037412">
            <w:pPr>
              <w:spacing w:before="20" w:after="20"/>
              <w:rPr>
                <w:noProof/>
              </w:rPr>
            </w:pPr>
            <w:r>
              <w:rPr>
                <w:noProof/>
                <w:sz w:val="22"/>
              </w:rPr>
              <w:t xml:space="preserve">Drugi upravni odhodki </w:t>
            </w:r>
          </w:p>
        </w:tc>
        <w:tc>
          <w:tcPr>
            <w:tcW w:w="868" w:type="dxa"/>
            <w:vAlign w:val="center"/>
          </w:tcPr>
          <w:p w:rsidR="00CA2D7D" w:rsidRDefault="00CA2D7D">
            <w:pPr>
              <w:spacing w:before="20" w:after="20"/>
              <w:jc w:val="right"/>
              <w:rPr>
                <w:b/>
                <w:noProof/>
                <w:sz w:val="20"/>
              </w:rPr>
            </w:pPr>
          </w:p>
        </w:tc>
        <w:tc>
          <w:tcPr>
            <w:tcW w:w="868" w:type="dxa"/>
            <w:vAlign w:val="center"/>
          </w:tcPr>
          <w:p w:rsidR="00CA2D7D" w:rsidRDefault="00CA2D7D">
            <w:pPr>
              <w:spacing w:before="20" w:after="20"/>
              <w:jc w:val="right"/>
              <w:rPr>
                <w:b/>
                <w:noProof/>
                <w:sz w:val="20"/>
              </w:rPr>
            </w:pPr>
          </w:p>
        </w:tc>
        <w:tc>
          <w:tcPr>
            <w:tcW w:w="868" w:type="dxa"/>
            <w:vAlign w:val="center"/>
          </w:tcPr>
          <w:p w:rsidR="00CA2D7D" w:rsidRDefault="00CA2D7D">
            <w:pPr>
              <w:spacing w:before="20" w:after="20"/>
              <w:jc w:val="right"/>
              <w:rPr>
                <w:b/>
                <w:noProof/>
                <w:sz w:val="20"/>
              </w:rPr>
            </w:pPr>
          </w:p>
        </w:tc>
        <w:tc>
          <w:tcPr>
            <w:tcW w:w="868" w:type="dxa"/>
            <w:vAlign w:val="center"/>
          </w:tcPr>
          <w:p w:rsidR="00CA2D7D" w:rsidRDefault="00CA2D7D">
            <w:pPr>
              <w:spacing w:before="20" w:after="20"/>
              <w:jc w:val="right"/>
              <w:rPr>
                <w:b/>
                <w:noProof/>
                <w:sz w:val="20"/>
              </w:rPr>
            </w:pPr>
          </w:p>
        </w:tc>
        <w:tc>
          <w:tcPr>
            <w:tcW w:w="868" w:type="dxa"/>
            <w:vAlign w:val="center"/>
          </w:tcPr>
          <w:p w:rsidR="00CA2D7D" w:rsidRDefault="00CA2D7D">
            <w:pPr>
              <w:spacing w:before="20" w:after="20"/>
              <w:jc w:val="right"/>
              <w:rPr>
                <w:b/>
                <w:noProof/>
                <w:sz w:val="20"/>
              </w:rPr>
            </w:pPr>
          </w:p>
        </w:tc>
        <w:tc>
          <w:tcPr>
            <w:tcW w:w="868" w:type="dxa"/>
            <w:vAlign w:val="center"/>
          </w:tcPr>
          <w:p w:rsidR="00CA2D7D" w:rsidRDefault="00CA2D7D">
            <w:pPr>
              <w:spacing w:before="20" w:after="20"/>
              <w:jc w:val="right"/>
              <w:rPr>
                <w:b/>
                <w:noProof/>
                <w:sz w:val="20"/>
              </w:rPr>
            </w:pPr>
          </w:p>
        </w:tc>
        <w:tc>
          <w:tcPr>
            <w:tcW w:w="868" w:type="dxa"/>
            <w:vAlign w:val="center"/>
          </w:tcPr>
          <w:p w:rsidR="00CA2D7D" w:rsidRDefault="00CA2D7D">
            <w:pPr>
              <w:spacing w:before="20" w:after="20"/>
              <w:jc w:val="right"/>
              <w:rPr>
                <w:b/>
                <w:noProof/>
                <w:sz w:val="20"/>
              </w:rPr>
            </w:pPr>
          </w:p>
        </w:tc>
        <w:tc>
          <w:tcPr>
            <w:tcW w:w="1291" w:type="dxa"/>
            <w:vAlign w:val="center"/>
          </w:tcPr>
          <w:p w:rsidR="00CA2D7D" w:rsidRDefault="00CA2D7D">
            <w:pPr>
              <w:spacing w:before="20" w:after="20"/>
              <w:jc w:val="right"/>
              <w:rPr>
                <w:b/>
                <w:noProof/>
                <w:sz w:val="20"/>
              </w:rPr>
            </w:pPr>
          </w:p>
        </w:tc>
      </w:tr>
      <w:tr w:rsidR="00CA2D7D">
        <w:trPr>
          <w:trHeight w:val="351"/>
          <w:jc w:val="center"/>
        </w:trPr>
        <w:tc>
          <w:tcPr>
            <w:tcW w:w="4199" w:type="dxa"/>
            <w:vAlign w:val="center"/>
          </w:tcPr>
          <w:p w:rsidR="00CA2D7D" w:rsidRDefault="00037412">
            <w:pPr>
              <w:spacing w:before="20" w:after="20"/>
              <w:jc w:val="left"/>
              <w:rPr>
                <w:b/>
                <w:noProof/>
                <w:sz w:val="22"/>
              </w:rPr>
            </w:pPr>
            <w:r>
              <w:rPr>
                <w:b/>
                <w:noProof/>
                <w:sz w:val="22"/>
              </w:rPr>
              <w:t>Odobritve iz RAZDELKA 7 večletnega finančnega okvira SKUPAJ</w:t>
            </w:r>
          </w:p>
        </w:tc>
        <w:tc>
          <w:tcPr>
            <w:tcW w:w="2046" w:type="dxa"/>
            <w:vAlign w:val="center"/>
          </w:tcPr>
          <w:p w:rsidR="00CA2D7D" w:rsidRDefault="00037412">
            <w:pPr>
              <w:spacing w:before="20" w:after="20"/>
              <w:rPr>
                <w:noProof/>
                <w:sz w:val="22"/>
              </w:rPr>
            </w:pPr>
            <w:r>
              <w:rPr>
                <w:noProof/>
                <w:sz w:val="18"/>
              </w:rPr>
              <w:t>(obveznosti skupaj = plačila skupaj)</w:t>
            </w:r>
          </w:p>
        </w:tc>
        <w:tc>
          <w:tcPr>
            <w:tcW w:w="868" w:type="dxa"/>
            <w:vAlign w:val="center"/>
          </w:tcPr>
          <w:p w:rsidR="00CA2D7D" w:rsidRDefault="00037412">
            <w:pPr>
              <w:spacing w:before="20" w:after="20"/>
              <w:jc w:val="right"/>
              <w:rPr>
                <w:b/>
                <w:noProof/>
                <w:sz w:val="20"/>
              </w:rPr>
            </w:pPr>
            <w:r>
              <w:rPr>
                <w:b/>
                <w:noProof/>
                <w:sz w:val="20"/>
              </w:rPr>
              <w:t>–</w:t>
            </w:r>
          </w:p>
        </w:tc>
        <w:tc>
          <w:tcPr>
            <w:tcW w:w="868" w:type="dxa"/>
            <w:vAlign w:val="center"/>
          </w:tcPr>
          <w:p w:rsidR="00CA2D7D" w:rsidRDefault="00037412">
            <w:pPr>
              <w:spacing w:before="20" w:after="20"/>
              <w:jc w:val="right"/>
              <w:rPr>
                <w:b/>
                <w:noProof/>
                <w:sz w:val="20"/>
              </w:rPr>
            </w:pPr>
            <w:r>
              <w:rPr>
                <w:b/>
                <w:noProof/>
                <w:sz w:val="20"/>
              </w:rPr>
              <w:t>–</w:t>
            </w:r>
          </w:p>
        </w:tc>
        <w:tc>
          <w:tcPr>
            <w:tcW w:w="868" w:type="dxa"/>
            <w:vAlign w:val="center"/>
          </w:tcPr>
          <w:p w:rsidR="00CA2D7D" w:rsidRDefault="00037412">
            <w:pPr>
              <w:spacing w:before="20" w:after="20"/>
              <w:jc w:val="right"/>
              <w:rPr>
                <w:b/>
                <w:noProof/>
                <w:sz w:val="20"/>
              </w:rPr>
            </w:pPr>
            <w:r>
              <w:rPr>
                <w:b/>
                <w:noProof/>
                <w:sz w:val="20"/>
              </w:rPr>
              <w:t>–</w:t>
            </w:r>
          </w:p>
        </w:tc>
        <w:tc>
          <w:tcPr>
            <w:tcW w:w="868" w:type="dxa"/>
            <w:vAlign w:val="center"/>
          </w:tcPr>
          <w:p w:rsidR="00CA2D7D" w:rsidRDefault="00037412">
            <w:pPr>
              <w:spacing w:before="20" w:after="20"/>
              <w:jc w:val="right"/>
              <w:rPr>
                <w:b/>
                <w:noProof/>
                <w:sz w:val="20"/>
              </w:rPr>
            </w:pPr>
            <w:r>
              <w:rPr>
                <w:b/>
                <w:noProof/>
                <w:sz w:val="20"/>
              </w:rPr>
              <w:t>–</w:t>
            </w:r>
          </w:p>
        </w:tc>
        <w:tc>
          <w:tcPr>
            <w:tcW w:w="868" w:type="dxa"/>
            <w:vAlign w:val="center"/>
          </w:tcPr>
          <w:p w:rsidR="00CA2D7D" w:rsidRDefault="00037412">
            <w:pPr>
              <w:spacing w:before="20" w:after="20"/>
              <w:jc w:val="right"/>
              <w:rPr>
                <w:b/>
                <w:noProof/>
                <w:sz w:val="20"/>
              </w:rPr>
            </w:pPr>
            <w:r>
              <w:rPr>
                <w:b/>
                <w:noProof/>
                <w:sz w:val="20"/>
              </w:rPr>
              <w:t>–</w:t>
            </w:r>
          </w:p>
        </w:tc>
        <w:tc>
          <w:tcPr>
            <w:tcW w:w="868" w:type="dxa"/>
            <w:vAlign w:val="center"/>
          </w:tcPr>
          <w:p w:rsidR="00CA2D7D" w:rsidRDefault="00037412">
            <w:pPr>
              <w:spacing w:before="20" w:after="20"/>
              <w:jc w:val="right"/>
              <w:rPr>
                <w:b/>
                <w:noProof/>
                <w:sz w:val="20"/>
              </w:rPr>
            </w:pPr>
            <w:r>
              <w:rPr>
                <w:b/>
                <w:noProof/>
                <w:sz w:val="20"/>
              </w:rPr>
              <w:t>–</w:t>
            </w:r>
          </w:p>
        </w:tc>
        <w:tc>
          <w:tcPr>
            <w:tcW w:w="868" w:type="dxa"/>
            <w:vAlign w:val="center"/>
          </w:tcPr>
          <w:p w:rsidR="00CA2D7D" w:rsidRDefault="00037412">
            <w:pPr>
              <w:spacing w:before="20" w:after="20"/>
              <w:jc w:val="right"/>
              <w:rPr>
                <w:b/>
                <w:noProof/>
                <w:sz w:val="20"/>
              </w:rPr>
            </w:pPr>
            <w:r>
              <w:rPr>
                <w:b/>
                <w:noProof/>
                <w:sz w:val="20"/>
              </w:rPr>
              <w:t>–</w:t>
            </w:r>
          </w:p>
        </w:tc>
        <w:tc>
          <w:tcPr>
            <w:tcW w:w="1291" w:type="dxa"/>
            <w:vAlign w:val="center"/>
          </w:tcPr>
          <w:p w:rsidR="00CA2D7D" w:rsidRDefault="00037412">
            <w:pPr>
              <w:spacing w:before="20" w:after="20"/>
              <w:jc w:val="right"/>
              <w:rPr>
                <w:b/>
                <w:noProof/>
                <w:sz w:val="20"/>
              </w:rPr>
            </w:pPr>
            <w:r>
              <w:rPr>
                <w:b/>
                <w:noProof/>
                <w:sz w:val="20"/>
              </w:rPr>
              <w:t>–</w:t>
            </w:r>
          </w:p>
        </w:tc>
      </w:tr>
    </w:tbl>
    <w:p w:rsidR="00CA2D7D" w:rsidRDefault="00CA2D7D">
      <w:pPr>
        <w:rPr>
          <w:noProof/>
        </w:rPr>
        <w:sectPr w:rsidR="00CA2D7D">
          <w:headerReference w:type="default" r:id="rId28"/>
          <w:footerReference w:type="default" r:id="rId29"/>
          <w:headerReference w:type="first" r:id="rId30"/>
          <w:footerReference w:type="first" r:id="rId31"/>
          <w:pgSz w:w="16840" w:h="11907" w:orient="landscape" w:code="9"/>
          <w:pgMar w:top="1134" w:right="1418" w:bottom="1134" w:left="1418" w:header="709" w:footer="709" w:gutter="0"/>
          <w:cols w:space="708"/>
          <w:docGrid w:linePitch="360"/>
        </w:sectPr>
      </w:pPr>
    </w:p>
    <w:p w:rsidR="00CA2D7D" w:rsidRDefault="00037412">
      <w:pPr>
        <w:pStyle w:val="ManualHeading3"/>
        <w:rPr>
          <w:bCs/>
          <w:noProof/>
          <w:szCs w:val="24"/>
        </w:rPr>
      </w:pPr>
      <w:bookmarkStart w:id="21" w:name="_Toc41814081"/>
      <w:r>
        <w:lastRenderedPageBreak/>
        <w:t>3.2.2.</w:t>
      </w:r>
      <w:r>
        <w:tab/>
      </w:r>
      <w:r>
        <w:rPr>
          <w:noProof/>
        </w:rPr>
        <w:t>Povzetek ocenjenih posledic za odobritve za upravne zadeve</w:t>
      </w:r>
      <w:bookmarkEnd w:id="21"/>
    </w:p>
    <w:p w:rsidR="00CA2D7D" w:rsidRDefault="00037412">
      <w:pPr>
        <w:pStyle w:val="ListDash1"/>
        <w:rPr>
          <w:noProof/>
        </w:rPr>
      </w:pPr>
      <w:r>
        <w:rPr>
          <w:noProof/>
        </w:rPr>
        <w:sym w:font="Wingdings" w:char="F0A8"/>
      </w:r>
      <w:r>
        <w:rPr>
          <w:noProof/>
        </w:rPr>
        <w:tab/>
        <w:t xml:space="preserve">Za predlog/pobudo niso potrebne odobritve za upravne zadeve. </w:t>
      </w:r>
    </w:p>
    <w:p w:rsidR="00CA2D7D" w:rsidRDefault="00037412">
      <w:pPr>
        <w:pStyle w:val="ListDash1"/>
        <w:rPr>
          <w:noProof/>
        </w:rPr>
      </w:pPr>
      <w:r>
        <w:rPr>
          <w:noProof/>
        </w:rPr>
        <w:t>X</w:t>
      </w:r>
      <w:r>
        <w:rPr>
          <w:noProof/>
        </w:rPr>
        <w:tab/>
        <w:t>Za predlog/pobudo so potrebne odobritve za upravne zadeve, kot je pojasnjeno v nadaljevanju:</w:t>
      </w:r>
    </w:p>
    <w:p w:rsidR="00CA2D7D" w:rsidRDefault="00037412">
      <w:pPr>
        <w:rPr>
          <w:noProof/>
          <w:sz w:val="20"/>
        </w:rPr>
      </w:pPr>
      <w:r>
        <w:rPr>
          <w:noProof/>
          <w:sz w:val="20"/>
        </w:rPr>
        <w:t>v mio. EUR (na tri decimalna mesta natančno)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rsidR="00CA2D7D" w:rsidTr="00CE278B">
        <w:trPr>
          <w:trHeight w:val="585"/>
        </w:trPr>
        <w:tc>
          <w:tcPr>
            <w:tcW w:w="932" w:type="pct"/>
            <w:vAlign w:val="center"/>
          </w:tcPr>
          <w:p w:rsidR="00CA2D7D" w:rsidRDefault="00037412">
            <w:pPr>
              <w:spacing w:before="60" w:after="60" w:line="200" w:lineRule="exact"/>
              <w:jc w:val="center"/>
              <w:rPr>
                <w:b/>
                <w:noProof/>
                <w:sz w:val="16"/>
                <w:szCs w:val="16"/>
              </w:rPr>
            </w:pPr>
            <w:r>
              <w:rPr>
                <w:b/>
                <w:noProof/>
                <w:sz w:val="16"/>
                <w:szCs w:val="16"/>
              </w:rPr>
              <w:t>Leta</w:t>
            </w:r>
          </w:p>
        </w:tc>
        <w:tc>
          <w:tcPr>
            <w:tcW w:w="508" w:type="pct"/>
            <w:vAlign w:val="center"/>
          </w:tcPr>
          <w:p w:rsidR="00CA2D7D" w:rsidRDefault="00037412">
            <w:pPr>
              <w:spacing w:before="60" w:after="60" w:line="200" w:lineRule="exact"/>
              <w:jc w:val="center"/>
              <w:rPr>
                <w:noProof/>
                <w:sz w:val="16"/>
                <w:szCs w:val="16"/>
              </w:rPr>
            </w:pPr>
            <w:r>
              <w:rPr>
                <w:b/>
                <w:noProof/>
                <w:sz w:val="20"/>
              </w:rPr>
              <w:t>2021</w:t>
            </w:r>
          </w:p>
        </w:tc>
        <w:tc>
          <w:tcPr>
            <w:tcW w:w="508" w:type="pct"/>
            <w:vAlign w:val="center"/>
          </w:tcPr>
          <w:p w:rsidR="00CA2D7D" w:rsidRDefault="00037412">
            <w:pPr>
              <w:spacing w:before="60" w:after="60" w:line="200" w:lineRule="exact"/>
              <w:jc w:val="center"/>
              <w:rPr>
                <w:noProof/>
                <w:sz w:val="16"/>
                <w:szCs w:val="16"/>
              </w:rPr>
            </w:pPr>
            <w:r>
              <w:rPr>
                <w:b/>
                <w:noProof/>
                <w:sz w:val="20"/>
              </w:rPr>
              <w:t>2022</w:t>
            </w:r>
          </w:p>
        </w:tc>
        <w:tc>
          <w:tcPr>
            <w:tcW w:w="508" w:type="pct"/>
            <w:vAlign w:val="center"/>
          </w:tcPr>
          <w:p w:rsidR="00CA2D7D" w:rsidRDefault="00037412">
            <w:pPr>
              <w:spacing w:before="60" w:after="60" w:line="200" w:lineRule="exact"/>
              <w:jc w:val="center"/>
              <w:rPr>
                <w:noProof/>
                <w:sz w:val="16"/>
                <w:szCs w:val="16"/>
              </w:rPr>
            </w:pPr>
            <w:r>
              <w:rPr>
                <w:b/>
                <w:noProof/>
                <w:sz w:val="20"/>
              </w:rPr>
              <w:t>2023</w:t>
            </w:r>
          </w:p>
        </w:tc>
        <w:tc>
          <w:tcPr>
            <w:tcW w:w="508" w:type="pct"/>
            <w:vAlign w:val="center"/>
          </w:tcPr>
          <w:p w:rsidR="00CA2D7D" w:rsidRDefault="00037412">
            <w:pPr>
              <w:spacing w:before="60" w:after="60" w:line="200" w:lineRule="exact"/>
              <w:jc w:val="center"/>
              <w:rPr>
                <w:noProof/>
                <w:sz w:val="16"/>
                <w:szCs w:val="16"/>
              </w:rPr>
            </w:pPr>
            <w:r>
              <w:rPr>
                <w:b/>
                <w:noProof/>
                <w:sz w:val="20"/>
              </w:rPr>
              <w:t>2024</w:t>
            </w:r>
          </w:p>
        </w:tc>
        <w:tc>
          <w:tcPr>
            <w:tcW w:w="508" w:type="pct"/>
            <w:vAlign w:val="center"/>
          </w:tcPr>
          <w:p w:rsidR="00CA2D7D" w:rsidRDefault="00037412">
            <w:pPr>
              <w:spacing w:line="200" w:lineRule="exact"/>
              <w:jc w:val="center"/>
              <w:rPr>
                <w:b/>
                <w:noProof/>
                <w:sz w:val="16"/>
                <w:szCs w:val="16"/>
              </w:rPr>
            </w:pPr>
            <w:r>
              <w:rPr>
                <w:b/>
                <w:noProof/>
                <w:sz w:val="18"/>
              </w:rPr>
              <w:t>2025</w:t>
            </w:r>
          </w:p>
        </w:tc>
        <w:tc>
          <w:tcPr>
            <w:tcW w:w="508" w:type="pct"/>
            <w:vAlign w:val="center"/>
          </w:tcPr>
          <w:p w:rsidR="00CA2D7D" w:rsidRDefault="00037412">
            <w:pPr>
              <w:spacing w:line="200" w:lineRule="exact"/>
              <w:jc w:val="center"/>
              <w:rPr>
                <w:b/>
                <w:noProof/>
                <w:sz w:val="16"/>
                <w:szCs w:val="16"/>
              </w:rPr>
            </w:pPr>
            <w:r>
              <w:rPr>
                <w:b/>
                <w:noProof/>
                <w:sz w:val="18"/>
              </w:rPr>
              <w:t>2026</w:t>
            </w:r>
          </w:p>
        </w:tc>
        <w:tc>
          <w:tcPr>
            <w:tcW w:w="508" w:type="pct"/>
            <w:vAlign w:val="center"/>
          </w:tcPr>
          <w:p w:rsidR="00CA2D7D" w:rsidRDefault="00037412">
            <w:pPr>
              <w:spacing w:line="200" w:lineRule="exact"/>
              <w:jc w:val="center"/>
              <w:rPr>
                <w:b/>
                <w:noProof/>
                <w:sz w:val="16"/>
                <w:szCs w:val="16"/>
              </w:rPr>
            </w:pPr>
            <w:r>
              <w:rPr>
                <w:b/>
                <w:noProof/>
                <w:sz w:val="18"/>
              </w:rPr>
              <w:t>2027</w:t>
            </w:r>
          </w:p>
        </w:tc>
        <w:tc>
          <w:tcPr>
            <w:tcW w:w="508" w:type="pct"/>
            <w:vAlign w:val="center"/>
          </w:tcPr>
          <w:p w:rsidR="00CA2D7D" w:rsidRDefault="00037412">
            <w:pPr>
              <w:spacing w:before="60" w:after="60" w:line="200" w:lineRule="exact"/>
              <w:jc w:val="center"/>
              <w:rPr>
                <w:b/>
                <w:noProof/>
                <w:sz w:val="16"/>
                <w:szCs w:val="16"/>
              </w:rPr>
            </w:pPr>
            <w:r>
              <w:rPr>
                <w:b/>
                <w:noProof/>
                <w:sz w:val="16"/>
              </w:rPr>
              <w:t>SKUPAJ</w:t>
            </w:r>
          </w:p>
        </w:tc>
      </w:tr>
    </w:tbl>
    <w:p w:rsidR="00CA2D7D" w:rsidRDefault="00CA2D7D">
      <w:pPr>
        <w:spacing w:line="200" w:lineRule="exact"/>
        <w:rPr>
          <w:noProof/>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rsidR="00CA2D7D" w:rsidTr="00CE278B">
        <w:trPr>
          <w:trHeight w:val="585"/>
        </w:trPr>
        <w:tc>
          <w:tcPr>
            <w:tcW w:w="932" w:type="pct"/>
            <w:shd w:val="clear" w:color="auto" w:fill="CCCCCC"/>
            <w:vAlign w:val="center"/>
          </w:tcPr>
          <w:p w:rsidR="00CA2D7D" w:rsidRDefault="00037412">
            <w:pPr>
              <w:spacing w:before="60" w:after="60" w:line="200" w:lineRule="exact"/>
              <w:jc w:val="center"/>
              <w:rPr>
                <w:b/>
                <w:noProof/>
                <w:sz w:val="16"/>
                <w:szCs w:val="16"/>
              </w:rPr>
            </w:pPr>
            <w:r>
              <w:rPr>
                <w:b/>
                <w:noProof/>
                <w:sz w:val="16"/>
              </w:rPr>
              <w:t>RAZDELEK 7</w:t>
            </w:r>
            <w:r>
              <w:rPr>
                <w:noProof/>
              </w:rPr>
              <w:t xml:space="preserve"> </w:t>
            </w:r>
            <w:r>
              <w:rPr>
                <w:noProof/>
              </w:rPr>
              <w:br/>
            </w:r>
            <w:r>
              <w:rPr>
                <w:b/>
                <w:noProof/>
                <w:sz w:val="16"/>
              </w:rPr>
              <w:t>večletnega finančnega okvira</w:t>
            </w: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b/>
                <w:noProof/>
                <w:sz w:val="16"/>
                <w:szCs w:val="16"/>
              </w:rPr>
            </w:pPr>
          </w:p>
        </w:tc>
        <w:tc>
          <w:tcPr>
            <w:tcW w:w="508" w:type="pct"/>
            <w:vAlign w:val="center"/>
          </w:tcPr>
          <w:p w:rsidR="00CA2D7D" w:rsidRDefault="00CA2D7D">
            <w:pPr>
              <w:spacing w:before="60" w:after="60" w:line="200" w:lineRule="exact"/>
              <w:jc w:val="right"/>
              <w:rPr>
                <w:b/>
                <w:noProof/>
                <w:sz w:val="16"/>
                <w:szCs w:val="16"/>
              </w:rPr>
            </w:pPr>
          </w:p>
        </w:tc>
      </w:tr>
      <w:tr w:rsidR="00CA2D7D" w:rsidTr="00CE278B">
        <w:trPr>
          <w:trHeight w:val="585"/>
        </w:trPr>
        <w:tc>
          <w:tcPr>
            <w:tcW w:w="932" w:type="pct"/>
            <w:vAlign w:val="center"/>
          </w:tcPr>
          <w:p w:rsidR="00CA2D7D" w:rsidRDefault="00037412">
            <w:pPr>
              <w:spacing w:before="60" w:after="60" w:line="200" w:lineRule="exact"/>
              <w:ind w:left="72"/>
              <w:jc w:val="left"/>
              <w:rPr>
                <w:noProof/>
                <w:sz w:val="16"/>
                <w:szCs w:val="16"/>
              </w:rPr>
            </w:pPr>
            <w:r>
              <w:rPr>
                <w:noProof/>
                <w:sz w:val="16"/>
              </w:rPr>
              <w:t xml:space="preserve">Človeški viri </w:t>
            </w: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b/>
                <w:noProof/>
                <w:sz w:val="16"/>
                <w:szCs w:val="16"/>
              </w:rPr>
            </w:pPr>
          </w:p>
        </w:tc>
        <w:tc>
          <w:tcPr>
            <w:tcW w:w="508" w:type="pct"/>
            <w:vAlign w:val="center"/>
          </w:tcPr>
          <w:p w:rsidR="00CA2D7D" w:rsidRDefault="00CA2D7D">
            <w:pPr>
              <w:spacing w:before="60" w:after="60" w:line="200" w:lineRule="exact"/>
              <w:jc w:val="right"/>
              <w:rPr>
                <w:b/>
                <w:noProof/>
                <w:sz w:val="16"/>
                <w:szCs w:val="16"/>
              </w:rPr>
            </w:pPr>
          </w:p>
        </w:tc>
        <w:bookmarkStart w:id="22" w:name="_GoBack"/>
        <w:bookmarkEnd w:id="22"/>
      </w:tr>
      <w:tr w:rsidR="00CA2D7D" w:rsidTr="00CE278B">
        <w:trPr>
          <w:trHeight w:val="585"/>
        </w:trPr>
        <w:tc>
          <w:tcPr>
            <w:tcW w:w="932" w:type="pct"/>
            <w:vAlign w:val="center"/>
          </w:tcPr>
          <w:p w:rsidR="00CA2D7D" w:rsidRDefault="00037412">
            <w:pPr>
              <w:spacing w:before="60" w:after="60" w:line="200" w:lineRule="exact"/>
              <w:ind w:left="72"/>
              <w:jc w:val="left"/>
              <w:rPr>
                <w:noProof/>
                <w:sz w:val="16"/>
                <w:szCs w:val="16"/>
              </w:rPr>
            </w:pPr>
            <w:r>
              <w:rPr>
                <w:noProof/>
                <w:sz w:val="16"/>
              </w:rPr>
              <w:t xml:space="preserve">Drugi upravni odhodki </w:t>
            </w:r>
          </w:p>
        </w:tc>
        <w:tc>
          <w:tcPr>
            <w:tcW w:w="508" w:type="pct"/>
            <w:vAlign w:val="center"/>
          </w:tcPr>
          <w:p w:rsidR="00CA2D7D" w:rsidRDefault="00CA2D7D">
            <w:pPr>
              <w:spacing w:before="60" w:after="60" w:line="200" w:lineRule="exact"/>
              <w:jc w:val="center"/>
              <w:rPr>
                <w:noProof/>
                <w:sz w:val="16"/>
                <w:szCs w:val="16"/>
              </w:rPr>
            </w:pPr>
          </w:p>
        </w:tc>
        <w:tc>
          <w:tcPr>
            <w:tcW w:w="508" w:type="pct"/>
            <w:vAlign w:val="center"/>
          </w:tcPr>
          <w:p w:rsidR="00CA2D7D" w:rsidRDefault="00CA2D7D">
            <w:pPr>
              <w:spacing w:before="60" w:after="60" w:line="200" w:lineRule="exact"/>
              <w:jc w:val="center"/>
              <w:rPr>
                <w:noProof/>
                <w:sz w:val="16"/>
                <w:szCs w:val="16"/>
              </w:rPr>
            </w:pPr>
          </w:p>
        </w:tc>
        <w:tc>
          <w:tcPr>
            <w:tcW w:w="508" w:type="pct"/>
            <w:vAlign w:val="center"/>
          </w:tcPr>
          <w:p w:rsidR="00CA2D7D" w:rsidRDefault="00CA2D7D">
            <w:pPr>
              <w:spacing w:before="60" w:after="60" w:line="200" w:lineRule="exact"/>
              <w:jc w:val="center"/>
              <w:rPr>
                <w:noProof/>
                <w:sz w:val="16"/>
                <w:szCs w:val="16"/>
              </w:rPr>
            </w:pPr>
          </w:p>
        </w:tc>
        <w:tc>
          <w:tcPr>
            <w:tcW w:w="508" w:type="pct"/>
            <w:vAlign w:val="center"/>
          </w:tcPr>
          <w:p w:rsidR="00CA2D7D" w:rsidRDefault="00CA2D7D">
            <w:pPr>
              <w:spacing w:before="60" w:after="60" w:line="200" w:lineRule="exact"/>
              <w:jc w:val="center"/>
              <w:rPr>
                <w:noProof/>
                <w:sz w:val="16"/>
                <w:szCs w:val="16"/>
              </w:rPr>
            </w:pPr>
          </w:p>
        </w:tc>
        <w:tc>
          <w:tcPr>
            <w:tcW w:w="508" w:type="pct"/>
            <w:vAlign w:val="center"/>
          </w:tcPr>
          <w:p w:rsidR="00CA2D7D" w:rsidRDefault="00CA2D7D">
            <w:pPr>
              <w:spacing w:before="60" w:after="60" w:line="200" w:lineRule="exact"/>
              <w:jc w:val="center"/>
              <w:rPr>
                <w:noProof/>
                <w:sz w:val="16"/>
                <w:szCs w:val="16"/>
              </w:rPr>
            </w:pPr>
          </w:p>
        </w:tc>
        <w:tc>
          <w:tcPr>
            <w:tcW w:w="508" w:type="pct"/>
            <w:vAlign w:val="center"/>
          </w:tcPr>
          <w:p w:rsidR="00CA2D7D" w:rsidRDefault="00CA2D7D">
            <w:pPr>
              <w:spacing w:before="60" w:after="60" w:line="200" w:lineRule="exact"/>
              <w:jc w:val="center"/>
              <w:rPr>
                <w:noProof/>
                <w:sz w:val="16"/>
                <w:szCs w:val="16"/>
              </w:rPr>
            </w:pPr>
          </w:p>
        </w:tc>
        <w:tc>
          <w:tcPr>
            <w:tcW w:w="508" w:type="pct"/>
            <w:vAlign w:val="center"/>
          </w:tcPr>
          <w:p w:rsidR="00CA2D7D" w:rsidRDefault="00CA2D7D">
            <w:pPr>
              <w:spacing w:before="60" w:after="60" w:line="200" w:lineRule="exact"/>
              <w:jc w:val="center"/>
              <w:rPr>
                <w:b/>
                <w:noProof/>
                <w:sz w:val="16"/>
                <w:szCs w:val="16"/>
              </w:rPr>
            </w:pPr>
          </w:p>
        </w:tc>
        <w:tc>
          <w:tcPr>
            <w:tcW w:w="508" w:type="pct"/>
            <w:vAlign w:val="center"/>
          </w:tcPr>
          <w:p w:rsidR="00CA2D7D" w:rsidRDefault="00CA2D7D">
            <w:pPr>
              <w:spacing w:before="60" w:after="60" w:line="200" w:lineRule="exact"/>
              <w:jc w:val="center"/>
              <w:rPr>
                <w:b/>
                <w:noProof/>
                <w:sz w:val="16"/>
                <w:szCs w:val="16"/>
              </w:rPr>
            </w:pPr>
          </w:p>
        </w:tc>
      </w:tr>
      <w:tr w:rsidR="00CA2D7D" w:rsidTr="00CE278B">
        <w:trPr>
          <w:trHeight w:val="585"/>
        </w:trPr>
        <w:tc>
          <w:tcPr>
            <w:tcW w:w="932" w:type="pct"/>
            <w:shd w:val="clear" w:color="auto" w:fill="CCCCCC"/>
            <w:vAlign w:val="center"/>
          </w:tcPr>
          <w:p w:rsidR="00CA2D7D" w:rsidRDefault="00037412">
            <w:pPr>
              <w:spacing w:before="60" w:after="60" w:line="200" w:lineRule="exact"/>
              <w:jc w:val="center"/>
              <w:rPr>
                <w:b/>
                <w:noProof/>
                <w:sz w:val="16"/>
                <w:szCs w:val="16"/>
              </w:rPr>
            </w:pPr>
            <w:r>
              <w:rPr>
                <w:b/>
                <w:noProof/>
                <w:sz w:val="16"/>
              </w:rPr>
              <w:t>Seštevek za RAZDELEK 7</w:t>
            </w:r>
            <w:r>
              <w:rPr>
                <w:noProof/>
              </w:rPr>
              <w:t xml:space="preserve"> </w:t>
            </w:r>
            <w:r>
              <w:rPr>
                <w:noProof/>
              </w:rPr>
              <w:br/>
            </w:r>
            <w:r>
              <w:rPr>
                <w:b/>
                <w:noProof/>
                <w:sz w:val="16"/>
              </w:rPr>
              <w:t xml:space="preserve">večletnega finančnega okvira </w:t>
            </w:r>
          </w:p>
        </w:tc>
        <w:tc>
          <w:tcPr>
            <w:tcW w:w="508" w:type="pct"/>
            <w:vAlign w:val="center"/>
          </w:tcPr>
          <w:p w:rsidR="00CA2D7D" w:rsidRDefault="00037412">
            <w:pPr>
              <w:spacing w:before="60" w:after="60" w:line="200" w:lineRule="exact"/>
              <w:jc w:val="center"/>
              <w:rPr>
                <w:noProof/>
                <w:sz w:val="16"/>
                <w:szCs w:val="16"/>
              </w:rPr>
            </w:pPr>
            <w:r>
              <w:rPr>
                <w:noProof/>
                <w:sz w:val="16"/>
                <w:szCs w:val="16"/>
              </w:rPr>
              <w:t>–</w:t>
            </w:r>
          </w:p>
        </w:tc>
        <w:tc>
          <w:tcPr>
            <w:tcW w:w="508" w:type="pct"/>
            <w:vAlign w:val="center"/>
          </w:tcPr>
          <w:p w:rsidR="00CA2D7D" w:rsidRDefault="00037412">
            <w:pPr>
              <w:spacing w:before="60" w:after="60" w:line="200" w:lineRule="exact"/>
              <w:jc w:val="center"/>
              <w:rPr>
                <w:noProof/>
                <w:sz w:val="16"/>
                <w:szCs w:val="16"/>
              </w:rPr>
            </w:pPr>
            <w:r>
              <w:rPr>
                <w:noProof/>
                <w:sz w:val="16"/>
                <w:szCs w:val="16"/>
              </w:rPr>
              <w:t>–</w:t>
            </w:r>
          </w:p>
        </w:tc>
        <w:tc>
          <w:tcPr>
            <w:tcW w:w="508" w:type="pct"/>
            <w:vAlign w:val="center"/>
          </w:tcPr>
          <w:p w:rsidR="00CA2D7D" w:rsidRDefault="00037412">
            <w:pPr>
              <w:spacing w:before="60" w:after="60" w:line="200" w:lineRule="exact"/>
              <w:jc w:val="center"/>
              <w:rPr>
                <w:noProof/>
                <w:sz w:val="16"/>
                <w:szCs w:val="16"/>
              </w:rPr>
            </w:pPr>
            <w:r>
              <w:rPr>
                <w:noProof/>
                <w:sz w:val="16"/>
                <w:szCs w:val="16"/>
              </w:rPr>
              <w:t>–</w:t>
            </w:r>
          </w:p>
        </w:tc>
        <w:tc>
          <w:tcPr>
            <w:tcW w:w="508" w:type="pct"/>
            <w:vAlign w:val="center"/>
          </w:tcPr>
          <w:p w:rsidR="00CA2D7D" w:rsidRDefault="00037412">
            <w:pPr>
              <w:spacing w:before="60" w:after="60" w:line="200" w:lineRule="exact"/>
              <w:jc w:val="center"/>
              <w:rPr>
                <w:noProof/>
                <w:sz w:val="16"/>
                <w:szCs w:val="16"/>
              </w:rPr>
            </w:pPr>
            <w:r>
              <w:rPr>
                <w:noProof/>
                <w:sz w:val="16"/>
                <w:szCs w:val="16"/>
              </w:rPr>
              <w:t>–</w:t>
            </w:r>
          </w:p>
        </w:tc>
        <w:tc>
          <w:tcPr>
            <w:tcW w:w="508" w:type="pct"/>
            <w:vAlign w:val="center"/>
          </w:tcPr>
          <w:p w:rsidR="00CA2D7D" w:rsidRDefault="00037412">
            <w:pPr>
              <w:spacing w:before="60" w:after="60" w:line="200" w:lineRule="exact"/>
              <w:jc w:val="center"/>
              <w:rPr>
                <w:noProof/>
                <w:sz w:val="16"/>
                <w:szCs w:val="16"/>
              </w:rPr>
            </w:pPr>
            <w:r>
              <w:rPr>
                <w:noProof/>
                <w:sz w:val="16"/>
                <w:szCs w:val="16"/>
              </w:rPr>
              <w:t>–</w:t>
            </w:r>
          </w:p>
        </w:tc>
        <w:tc>
          <w:tcPr>
            <w:tcW w:w="508" w:type="pct"/>
            <w:vAlign w:val="center"/>
          </w:tcPr>
          <w:p w:rsidR="00CA2D7D" w:rsidRDefault="00037412">
            <w:pPr>
              <w:spacing w:before="60" w:after="60" w:line="200" w:lineRule="exact"/>
              <w:jc w:val="center"/>
              <w:rPr>
                <w:noProof/>
                <w:sz w:val="16"/>
                <w:szCs w:val="16"/>
              </w:rPr>
            </w:pPr>
            <w:r>
              <w:rPr>
                <w:noProof/>
                <w:sz w:val="16"/>
                <w:szCs w:val="16"/>
              </w:rPr>
              <w:t>–</w:t>
            </w:r>
          </w:p>
        </w:tc>
        <w:tc>
          <w:tcPr>
            <w:tcW w:w="508" w:type="pct"/>
            <w:vAlign w:val="center"/>
          </w:tcPr>
          <w:p w:rsidR="00CA2D7D" w:rsidRDefault="00037412">
            <w:pPr>
              <w:spacing w:before="60" w:after="60" w:line="200" w:lineRule="exact"/>
              <w:jc w:val="center"/>
              <w:rPr>
                <w:b/>
                <w:noProof/>
                <w:sz w:val="16"/>
                <w:szCs w:val="16"/>
              </w:rPr>
            </w:pPr>
            <w:r>
              <w:rPr>
                <w:b/>
                <w:noProof/>
                <w:sz w:val="16"/>
                <w:szCs w:val="16"/>
              </w:rPr>
              <w:t>–</w:t>
            </w:r>
          </w:p>
        </w:tc>
        <w:tc>
          <w:tcPr>
            <w:tcW w:w="508" w:type="pct"/>
            <w:vAlign w:val="center"/>
          </w:tcPr>
          <w:p w:rsidR="00CA2D7D" w:rsidRDefault="00037412">
            <w:pPr>
              <w:spacing w:before="60" w:after="60" w:line="200" w:lineRule="exact"/>
              <w:jc w:val="center"/>
              <w:rPr>
                <w:b/>
                <w:noProof/>
                <w:sz w:val="16"/>
                <w:szCs w:val="16"/>
              </w:rPr>
            </w:pPr>
            <w:r>
              <w:rPr>
                <w:b/>
                <w:noProof/>
                <w:sz w:val="16"/>
                <w:szCs w:val="16"/>
              </w:rPr>
              <w:t>–</w:t>
            </w:r>
          </w:p>
        </w:tc>
      </w:tr>
    </w:tbl>
    <w:p w:rsidR="00CA2D7D" w:rsidRDefault="00CA2D7D">
      <w:pPr>
        <w:spacing w:line="200" w:lineRule="exact"/>
        <w:rPr>
          <w:noProof/>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rsidR="00CA2D7D" w:rsidTr="00CE278B">
        <w:trPr>
          <w:trHeight w:val="585"/>
        </w:trPr>
        <w:tc>
          <w:tcPr>
            <w:tcW w:w="932" w:type="pct"/>
            <w:shd w:val="clear" w:color="auto" w:fill="CCCCCC"/>
            <w:vAlign w:val="center"/>
          </w:tcPr>
          <w:p w:rsidR="00CA2D7D" w:rsidRDefault="00037412">
            <w:pPr>
              <w:spacing w:before="60" w:after="60" w:line="200" w:lineRule="exact"/>
              <w:jc w:val="center"/>
              <w:rPr>
                <w:noProof/>
                <w:sz w:val="16"/>
                <w:szCs w:val="16"/>
              </w:rPr>
            </w:pPr>
            <w:r>
              <w:rPr>
                <w:b/>
                <w:noProof/>
                <w:sz w:val="16"/>
              </w:rPr>
              <w:t>Odobritve zunaj RAZDELKA 7</w:t>
            </w:r>
            <w:r>
              <w:rPr>
                <w:rStyle w:val="FootnoteReference"/>
                <w:b/>
                <w:noProof/>
                <w:sz w:val="16"/>
              </w:rPr>
              <w:footnoteReference w:id="10"/>
            </w:r>
            <w:r>
              <w:rPr>
                <w:noProof/>
              </w:rPr>
              <w:t xml:space="preserve"> </w:t>
            </w:r>
            <w:r>
              <w:rPr>
                <w:noProof/>
              </w:rPr>
              <w:br/>
            </w:r>
            <w:r>
              <w:rPr>
                <w:b/>
                <w:noProof/>
                <w:sz w:val="16"/>
              </w:rPr>
              <w:t xml:space="preserve">večletnega finančnega okvira </w:t>
            </w:r>
          </w:p>
          <w:p w:rsidR="00CA2D7D" w:rsidRDefault="00CA2D7D">
            <w:pPr>
              <w:spacing w:before="0" w:after="0" w:line="200" w:lineRule="exact"/>
              <w:jc w:val="center"/>
              <w:rPr>
                <w:b/>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noProof/>
                <w:sz w:val="16"/>
                <w:szCs w:val="16"/>
              </w:rPr>
            </w:pPr>
          </w:p>
        </w:tc>
        <w:tc>
          <w:tcPr>
            <w:tcW w:w="508" w:type="pct"/>
            <w:vAlign w:val="center"/>
          </w:tcPr>
          <w:p w:rsidR="00CA2D7D" w:rsidRDefault="00CA2D7D">
            <w:pPr>
              <w:spacing w:before="60" w:after="60" w:line="200" w:lineRule="exact"/>
              <w:jc w:val="right"/>
              <w:rPr>
                <w:b/>
                <w:noProof/>
                <w:sz w:val="16"/>
                <w:szCs w:val="16"/>
              </w:rPr>
            </w:pPr>
          </w:p>
        </w:tc>
        <w:tc>
          <w:tcPr>
            <w:tcW w:w="508" w:type="pct"/>
            <w:vAlign w:val="center"/>
          </w:tcPr>
          <w:p w:rsidR="00CA2D7D" w:rsidRDefault="00CA2D7D">
            <w:pPr>
              <w:spacing w:before="60" w:after="60" w:line="200" w:lineRule="exact"/>
              <w:jc w:val="right"/>
              <w:rPr>
                <w:b/>
                <w:noProof/>
                <w:sz w:val="16"/>
                <w:szCs w:val="16"/>
              </w:rPr>
            </w:pPr>
          </w:p>
        </w:tc>
      </w:tr>
      <w:tr w:rsidR="00CA2D7D" w:rsidTr="00CE278B">
        <w:trPr>
          <w:trHeight w:val="585"/>
        </w:trPr>
        <w:tc>
          <w:tcPr>
            <w:tcW w:w="932" w:type="pct"/>
            <w:vAlign w:val="center"/>
          </w:tcPr>
          <w:p w:rsidR="00CA2D7D" w:rsidRDefault="00037412">
            <w:pPr>
              <w:spacing w:before="60" w:after="60" w:line="200" w:lineRule="exact"/>
              <w:ind w:left="72"/>
              <w:jc w:val="left"/>
              <w:rPr>
                <w:noProof/>
                <w:sz w:val="16"/>
              </w:rPr>
            </w:pPr>
            <w:r>
              <w:rPr>
                <w:noProof/>
                <w:sz w:val="16"/>
              </w:rPr>
              <w:t xml:space="preserve">Človeški viri – zunanji namenski prejemki (ne za raziskave) </w:t>
            </w:r>
          </w:p>
        </w:tc>
        <w:tc>
          <w:tcPr>
            <w:tcW w:w="508" w:type="pct"/>
            <w:vAlign w:val="center"/>
          </w:tcPr>
          <w:p w:rsidR="00CA2D7D" w:rsidRDefault="00037412">
            <w:pPr>
              <w:spacing w:before="60" w:after="60" w:line="200" w:lineRule="exact"/>
              <w:jc w:val="right"/>
              <w:rPr>
                <w:noProof/>
                <w:sz w:val="16"/>
                <w:szCs w:val="16"/>
              </w:rPr>
            </w:pPr>
            <w:r>
              <w:rPr>
                <w:noProof/>
                <w:sz w:val="16"/>
                <w:szCs w:val="16"/>
              </w:rPr>
              <w:t>4,000</w:t>
            </w:r>
          </w:p>
        </w:tc>
        <w:tc>
          <w:tcPr>
            <w:tcW w:w="508" w:type="pct"/>
            <w:vAlign w:val="center"/>
          </w:tcPr>
          <w:p w:rsidR="00CA2D7D" w:rsidRDefault="00037412">
            <w:pPr>
              <w:spacing w:before="60" w:after="60" w:line="200" w:lineRule="exact"/>
              <w:jc w:val="right"/>
              <w:rPr>
                <w:noProof/>
                <w:sz w:val="16"/>
                <w:szCs w:val="16"/>
              </w:rPr>
            </w:pPr>
            <w:r>
              <w:rPr>
                <w:noProof/>
                <w:sz w:val="16"/>
                <w:szCs w:val="16"/>
              </w:rPr>
              <w:t>6,000</w:t>
            </w:r>
          </w:p>
        </w:tc>
        <w:tc>
          <w:tcPr>
            <w:tcW w:w="508" w:type="pct"/>
            <w:vAlign w:val="center"/>
          </w:tcPr>
          <w:p w:rsidR="00CA2D7D" w:rsidRDefault="00037412">
            <w:pPr>
              <w:spacing w:before="60" w:after="60" w:line="200" w:lineRule="exact"/>
              <w:jc w:val="right"/>
              <w:rPr>
                <w:noProof/>
                <w:sz w:val="16"/>
                <w:szCs w:val="16"/>
              </w:rPr>
            </w:pPr>
            <w:r>
              <w:rPr>
                <w:noProof/>
                <w:sz w:val="16"/>
                <w:szCs w:val="16"/>
              </w:rPr>
              <w:t>6,000</w:t>
            </w:r>
          </w:p>
        </w:tc>
        <w:tc>
          <w:tcPr>
            <w:tcW w:w="508" w:type="pct"/>
            <w:vAlign w:val="center"/>
          </w:tcPr>
          <w:p w:rsidR="00CA2D7D" w:rsidRDefault="00037412">
            <w:pPr>
              <w:spacing w:before="60" w:after="60" w:line="200" w:lineRule="exact"/>
              <w:jc w:val="right"/>
              <w:rPr>
                <w:noProof/>
                <w:sz w:val="16"/>
                <w:szCs w:val="16"/>
              </w:rPr>
            </w:pPr>
            <w:r>
              <w:rPr>
                <w:noProof/>
                <w:sz w:val="16"/>
                <w:szCs w:val="16"/>
              </w:rPr>
              <w:t>6,000</w:t>
            </w:r>
          </w:p>
        </w:tc>
        <w:tc>
          <w:tcPr>
            <w:tcW w:w="508" w:type="pct"/>
            <w:vAlign w:val="center"/>
          </w:tcPr>
          <w:p w:rsidR="00CA2D7D" w:rsidRDefault="00037412">
            <w:pPr>
              <w:spacing w:before="60" w:after="60" w:line="200" w:lineRule="exact"/>
              <w:jc w:val="right"/>
              <w:rPr>
                <w:noProof/>
                <w:sz w:val="16"/>
                <w:szCs w:val="16"/>
              </w:rPr>
            </w:pPr>
            <w:r>
              <w:rPr>
                <w:noProof/>
                <w:sz w:val="16"/>
                <w:szCs w:val="16"/>
              </w:rPr>
              <w:t>4,000</w:t>
            </w:r>
          </w:p>
        </w:tc>
        <w:tc>
          <w:tcPr>
            <w:tcW w:w="508" w:type="pct"/>
            <w:vAlign w:val="center"/>
          </w:tcPr>
          <w:p w:rsidR="00CA2D7D" w:rsidRDefault="00037412">
            <w:pPr>
              <w:spacing w:before="60" w:after="60" w:line="200" w:lineRule="exact"/>
              <w:jc w:val="right"/>
              <w:rPr>
                <w:noProof/>
                <w:sz w:val="16"/>
                <w:szCs w:val="16"/>
              </w:rPr>
            </w:pPr>
            <w:r>
              <w:rPr>
                <w:noProof/>
                <w:sz w:val="16"/>
                <w:szCs w:val="16"/>
              </w:rPr>
              <w:t>2,400</w:t>
            </w:r>
          </w:p>
        </w:tc>
        <w:tc>
          <w:tcPr>
            <w:tcW w:w="508" w:type="pct"/>
            <w:vAlign w:val="center"/>
          </w:tcPr>
          <w:p w:rsidR="00CA2D7D" w:rsidRDefault="00037412">
            <w:pPr>
              <w:spacing w:before="60" w:after="60" w:line="200" w:lineRule="exact"/>
              <w:jc w:val="right"/>
              <w:rPr>
                <w:noProof/>
                <w:sz w:val="16"/>
                <w:szCs w:val="16"/>
              </w:rPr>
            </w:pPr>
            <w:r>
              <w:rPr>
                <w:noProof/>
                <w:sz w:val="16"/>
                <w:szCs w:val="16"/>
              </w:rPr>
              <w:t>0,800</w:t>
            </w:r>
          </w:p>
        </w:tc>
        <w:tc>
          <w:tcPr>
            <w:tcW w:w="508" w:type="pct"/>
            <w:vAlign w:val="center"/>
          </w:tcPr>
          <w:p w:rsidR="00CA2D7D" w:rsidRDefault="00037412">
            <w:pPr>
              <w:spacing w:before="60" w:after="60" w:line="200" w:lineRule="exact"/>
              <w:jc w:val="right"/>
              <w:rPr>
                <w:noProof/>
                <w:sz w:val="16"/>
                <w:szCs w:val="16"/>
              </w:rPr>
            </w:pPr>
            <w:r>
              <w:rPr>
                <w:noProof/>
                <w:sz w:val="16"/>
                <w:szCs w:val="16"/>
              </w:rPr>
              <w:t>29,200</w:t>
            </w:r>
          </w:p>
        </w:tc>
      </w:tr>
      <w:tr w:rsidR="00CA2D7D" w:rsidTr="00CE278B">
        <w:trPr>
          <w:trHeight w:val="585"/>
        </w:trPr>
        <w:tc>
          <w:tcPr>
            <w:tcW w:w="932" w:type="pct"/>
            <w:vAlign w:val="center"/>
          </w:tcPr>
          <w:p w:rsidR="00CA2D7D" w:rsidRDefault="00037412">
            <w:pPr>
              <w:spacing w:before="60" w:after="60" w:line="200" w:lineRule="exact"/>
              <w:ind w:left="72"/>
              <w:jc w:val="left"/>
              <w:rPr>
                <w:noProof/>
                <w:sz w:val="16"/>
              </w:rPr>
            </w:pPr>
            <w:r>
              <w:rPr>
                <w:noProof/>
                <w:sz w:val="16"/>
              </w:rPr>
              <w:t xml:space="preserve">Drugi upravni odhodki – zunanji namenski prejemki (ne za raziskave) </w:t>
            </w:r>
          </w:p>
        </w:tc>
        <w:tc>
          <w:tcPr>
            <w:tcW w:w="508" w:type="pct"/>
            <w:vAlign w:val="center"/>
          </w:tcPr>
          <w:p w:rsidR="00CA2D7D" w:rsidRDefault="00037412">
            <w:pPr>
              <w:spacing w:before="60" w:after="60" w:line="200" w:lineRule="exact"/>
              <w:jc w:val="right"/>
              <w:rPr>
                <w:noProof/>
                <w:sz w:val="16"/>
                <w:szCs w:val="16"/>
              </w:rPr>
            </w:pPr>
            <w:r>
              <w:rPr>
                <w:noProof/>
                <w:sz w:val="16"/>
                <w:szCs w:val="16"/>
              </w:rPr>
              <w:t>1,830</w:t>
            </w:r>
          </w:p>
          <w:p w:rsidR="00CA2D7D" w:rsidRDefault="00CA2D7D">
            <w:pPr>
              <w:spacing w:before="60" w:after="60" w:line="200" w:lineRule="exact"/>
              <w:jc w:val="right"/>
              <w:rPr>
                <w:noProof/>
                <w:sz w:val="16"/>
                <w:szCs w:val="16"/>
              </w:rPr>
            </w:pPr>
          </w:p>
        </w:tc>
        <w:tc>
          <w:tcPr>
            <w:tcW w:w="508" w:type="pct"/>
            <w:vAlign w:val="center"/>
          </w:tcPr>
          <w:p w:rsidR="00CA2D7D" w:rsidRDefault="00037412">
            <w:pPr>
              <w:spacing w:before="60" w:after="60" w:line="200" w:lineRule="exact"/>
              <w:jc w:val="right"/>
              <w:rPr>
                <w:noProof/>
                <w:sz w:val="16"/>
                <w:szCs w:val="16"/>
              </w:rPr>
            </w:pPr>
            <w:r>
              <w:rPr>
                <w:noProof/>
                <w:sz w:val="16"/>
                <w:szCs w:val="16"/>
              </w:rPr>
              <w:t>1,830</w:t>
            </w:r>
          </w:p>
          <w:p w:rsidR="00CA2D7D" w:rsidRDefault="00CA2D7D">
            <w:pPr>
              <w:spacing w:before="60" w:after="60" w:line="200" w:lineRule="exact"/>
              <w:jc w:val="right"/>
              <w:rPr>
                <w:noProof/>
                <w:sz w:val="16"/>
                <w:szCs w:val="16"/>
              </w:rPr>
            </w:pPr>
          </w:p>
        </w:tc>
        <w:tc>
          <w:tcPr>
            <w:tcW w:w="508" w:type="pct"/>
            <w:vAlign w:val="center"/>
          </w:tcPr>
          <w:p w:rsidR="00CA2D7D" w:rsidRDefault="00037412">
            <w:pPr>
              <w:spacing w:before="60" w:after="60" w:line="200" w:lineRule="exact"/>
              <w:jc w:val="right"/>
              <w:rPr>
                <w:noProof/>
                <w:sz w:val="16"/>
                <w:szCs w:val="16"/>
              </w:rPr>
            </w:pPr>
            <w:r>
              <w:rPr>
                <w:noProof/>
                <w:sz w:val="16"/>
                <w:szCs w:val="16"/>
              </w:rPr>
              <w:t>1,830</w:t>
            </w:r>
          </w:p>
          <w:p w:rsidR="00CA2D7D" w:rsidRDefault="00CA2D7D">
            <w:pPr>
              <w:spacing w:before="60" w:after="60" w:line="200" w:lineRule="exact"/>
              <w:jc w:val="right"/>
              <w:rPr>
                <w:noProof/>
                <w:sz w:val="16"/>
                <w:szCs w:val="16"/>
              </w:rPr>
            </w:pPr>
          </w:p>
        </w:tc>
        <w:tc>
          <w:tcPr>
            <w:tcW w:w="508" w:type="pct"/>
            <w:vAlign w:val="center"/>
          </w:tcPr>
          <w:p w:rsidR="00CA2D7D" w:rsidRDefault="00037412">
            <w:pPr>
              <w:spacing w:before="60" w:after="60" w:line="200" w:lineRule="exact"/>
              <w:jc w:val="right"/>
              <w:rPr>
                <w:noProof/>
                <w:sz w:val="16"/>
                <w:szCs w:val="16"/>
              </w:rPr>
            </w:pPr>
            <w:r>
              <w:rPr>
                <w:noProof/>
                <w:sz w:val="16"/>
                <w:szCs w:val="16"/>
              </w:rPr>
              <w:t>1,830</w:t>
            </w:r>
          </w:p>
          <w:p w:rsidR="00CA2D7D" w:rsidRDefault="00CA2D7D">
            <w:pPr>
              <w:spacing w:before="60" w:after="60" w:line="200" w:lineRule="exact"/>
              <w:jc w:val="right"/>
              <w:rPr>
                <w:noProof/>
                <w:sz w:val="16"/>
                <w:szCs w:val="16"/>
              </w:rPr>
            </w:pPr>
          </w:p>
        </w:tc>
        <w:tc>
          <w:tcPr>
            <w:tcW w:w="508" w:type="pct"/>
            <w:vAlign w:val="center"/>
          </w:tcPr>
          <w:p w:rsidR="00CA2D7D" w:rsidRDefault="00037412">
            <w:pPr>
              <w:spacing w:before="60" w:after="60" w:line="200" w:lineRule="exact"/>
              <w:jc w:val="right"/>
              <w:rPr>
                <w:noProof/>
                <w:sz w:val="16"/>
                <w:szCs w:val="16"/>
              </w:rPr>
            </w:pPr>
            <w:r>
              <w:rPr>
                <w:noProof/>
                <w:sz w:val="16"/>
                <w:szCs w:val="16"/>
              </w:rPr>
              <w:t>1,830</w:t>
            </w:r>
          </w:p>
          <w:p w:rsidR="00CA2D7D" w:rsidRDefault="00CA2D7D">
            <w:pPr>
              <w:spacing w:before="60" w:after="60" w:line="200" w:lineRule="exact"/>
              <w:jc w:val="right"/>
              <w:rPr>
                <w:noProof/>
                <w:sz w:val="16"/>
                <w:szCs w:val="16"/>
              </w:rPr>
            </w:pPr>
          </w:p>
        </w:tc>
        <w:tc>
          <w:tcPr>
            <w:tcW w:w="508" w:type="pct"/>
            <w:vAlign w:val="center"/>
          </w:tcPr>
          <w:p w:rsidR="00CA2D7D" w:rsidRDefault="00037412">
            <w:pPr>
              <w:spacing w:before="60" w:after="60" w:line="200" w:lineRule="exact"/>
              <w:jc w:val="right"/>
              <w:rPr>
                <w:noProof/>
                <w:sz w:val="16"/>
                <w:szCs w:val="16"/>
              </w:rPr>
            </w:pPr>
            <w:r>
              <w:rPr>
                <w:noProof/>
                <w:sz w:val="16"/>
                <w:szCs w:val="16"/>
              </w:rPr>
              <w:t>1,830</w:t>
            </w:r>
          </w:p>
          <w:p w:rsidR="00CA2D7D" w:rsidRDefault="00CA2D7D">
            <w:pPr>
              <w:spacing w:before="60" w:after="60" w:line="200" w:lineRule="exact"/>
              <w:jc w:val="right"/>
              <w:rPr>
                <w:noProof/>
                <w:sz w:val="16"/>
                <w:szCs w:val="16"/>
              </w:rPr>
            </w:pPr>
          </w:p>
        </w:tc>
        <w:tc>
          <w:tcPr>
            <w:tcW w:w="508" w:type="pct"/>
            <w:vAlign w:val="center"/>
          </w:tcPr>
          <w:p w:rsidR="00CA2D7D" w:rsidRDefault="00037412">
            <w:pPr>
              <w:spacing w:before="60" w:after="60" w:line="200" w:lineRule="exact"/>
              <w:jc w:val="right"/>
              <w:rPr>
                <w:noProof/>
                <w:sz w:val="16"/>
                <w:szCs w:val="16"/>
              </w:rPr>
            </w:pPr>
            <w:r>
              <w:rPr>
                <w:noProof/>
                <w:sz w:val="16"/>
                <w:szCs w:val="16"/>
              </w:rPr>
              <w:t>1,820</w:t>
            </w:r>
          </w:p>
          <w:p w:rsidR="00CA2D7D" w:rsidRDefault="00CA2D7D">
            <w:pPr>
              <w:spacing w:before="60" w:after="60" w:line="200" w:lineRule="exact"/>
              <w:jc w:val="right"/>
              <w:rPr>
                <w:noProof/>
                <w:sz w:val="16"/>
                <w:szCs w:val="16"/>
              </w:rPr>
            </w:pPr>
          </w:p>
        </w:tc>
        <w:tc>
          <w:tcPr>
            <w:tcW w:w="508" w:type="pct"/>
            <w:vAlign w:val="center"/>
          </w:tcPr>
          <w:p w:rsidR="00CA2D7D" w:rsidRDefault="00037412">
            <w:pPr>
              <w:spacing w:before="60" w:after="60" w:line="200" w:lineRule="exact"/>
              <w:jc w:val="right"/>
              <w:rPr>
                <w:noProof/>
                <w:sz w:val="16"/>
                <w:szCs w:val="16"/>
              </w:rPr>
            </w:pPr>
            <w:r>
              <w:rPr>
                <w:noProof/>
                <w:sz w:val="16"/>
                <w:szCs w:val="16"/>
              </w:rPr>
              <w:t xml:space="preserve">    12,800 </w:t>
            </w:r>
          </w:p>
          <w:p w:rsidR="00CA2D7D" w:rsidRDefault="00CA2D7D">
            <w:pPr>
              <w:spacing w:before="60" w:after="60" w:line="200" w:lineRule="exact"/>
              <w:jc w:val="right"/>
              <w:rPr>
                <w:noProof/>
                <w:sz w:val="16"/>
                <w:szCs w:val="16"/>
              </w:rPr>
            </w:pPr>
          </w:p>
        </w:tc>
      </w:tr>
      <w:tr w:rsidR="00CA2D7D" w:rsidTr="00CE278B">
        <w:trPr>
          <w:trHeight w:val="585"/>
        </w:trPr>
        <w:tc>
          <w:tcPr>
            <w:tcW w:w="932" w:type="pct"/>
            <w:vAlign w:val="center"/>
          </w:tcPr>
          <w:p w:rsidR="00CA2D7D" w:rsidRDefault="00037412">
            <w:pPr>
              <w:spacing w:before="60" w:after="60" w:line="200" w:lineRule="exact"/>
              <w:ind w:left="72"/>
              <w:jc w:val="left"/>
              <w:rPr>
                <w:noProof/>
                <w:sz w:val="16"/>
              </w:rPr>
            </w:pPr>
            <w:r>
              <w:rPr>
                <w:noProof/>
                <w:sz w:val="16"/>
              </w:rPr>
              <w:t>Seštevek – zunanji namenski prejemki (ne za raziskave)</w:t>
            </w:r>
          </w:p>
        </w:tc>
        <w:tc>
          <w:tcPr>
            <w:tcW w:w="508" w:type="pct"/>
            <w:vAlign w:val="center"/>
          </w:tcPr>
          <w:p w:rsidR="00CA2D7D" w:rsidRDefault="00037412">
            <w:pPr>
              <w:spacing w:before="60" w:after="60" w:line="200" w:lineRule="exact"/>
              <w:jc w:val="right"/>
              <w:rPr>
                <w:noProof/>
                <w:sz w:val="16"/>
                <w:szCs w:val="16"/>
              </w:rPr>
            </w:pPr>
            <w:r>
              <w:rPr>
                <w:noProof/>
                <w:sz w:val="16"/>
                <w:szCs w:val="16"/>
              </w:rPr>
              <w:t>5,830</w:t>
            </w:r>
          </w:p>
        </w:tc>
        <w:tc>
          <w:tcPr>
            <w:tcW w:w="508" w:type="pct"/>
            <w:vAlign w:val="center"/>
          </w:tcPr>
          <w:p w:rsidR="00CA2D7D" w:rsidRDefault="00037412">
            <w:pPr>
              <w:spacing w:before="60" w:after="60" w:line="200" w:lineRule="exact"/>
              <w:jc w:val="right"/>
              <w:rPr>
                <w:noProof/>
                <w:sz w:val="16"/>
                <w:szCs w:val="16"/>
              </w:rPr>
            </w:pPr>
            <w:r>
              <w:rPr>
                <w:noProof/>
                <w:sz w:val="16"/>
                <w:szCs w:val="16"/>
              </w:rPr>
              <w:t>7,830</w:t>
            </w:r>
          </w:p>
        </w:tc>
        <w:tc>
          <w:tcPr>
            <w:tcW w:w="508" w:type="pct"/>
            <w:vAlign w:val="center"/>
          </w:tcPr>
          <w:p w:rsidR="00CA2D7D" w:rsidRDefault="00037412">
            <w:pPr>
              <w:spacing w:before="60" w:after="60" w:line="200" w:lineRule="exact"/>
              <w:jc w:val="right"/>
              <w:rPr>
                <w:noProof/>
                <w:sz w:val="16"/>
                <w:szCs w:val="16"/>
              </w:rPr>
            </w:pPr>
            <w:r>
              <w:rPr>
                <w:noProof/>
                <w:sz w:val="16"/>
                <w:szCs w:val="16"/>
              </w:rPr>
              <w:t>7,830</w:t>
            </w:r>
          </w:p>
        </w:tc>
        <w:tc>
          <w:tcPr>
            <w:tcW w:w="508" w:type="pct"/>
            <w:vAlign w:val="center"/>
          </w:tcPr>
          <w:p w:rsidR="00CA2D7D" w:rsidRDefault="00037412">
            <w:pPr>
              <w:spacing w:before="60" w:after="60" w:line="200" w:lineRule="exact"/>
              <w:jc w:val="right"/>
              <w:rPr>
                <w:noProof/>
                <w:sz w:val="16"/>
                <w:szCs w:val="16"/>
              </w:rPr>
            </w:pPr>
            <w:r>
              <w:rPr>
                <w:noProof/>
                <w:sz w:val="16"/>
                <w:szCs w:val="16"/>
              </w:rPr>
              <w:t>7,830</w:t>
            </w:r>
          </w:p>
        </w:tc>
        <w:tc>
          <w:tcPr>
            <w:tcW w:w="508" w:type="pct"/>
            <w:vAlign w:val="center"/>
          </w:tcPr>
          <w:p w:rsidR="00CA2D7D" w:rsidRDefault="00037412">
            <w:pPr>
              <w:spacing w:before="60" w:after="60" w:line="200" w:lineRule="exact"/>
              <w:jc w:val="right"/>
              <w:rPr>
                <w:noProof/>
                <w:sz w:val="16"/>
                <w:szCs w:val="16"/>
              </w:rPr>
            </w:pPr>
            <w:r>
              <w:rPr>
                <w:noProof/>
                <w:sz w:val="16"/>
                <w:szCs w:val="16"/>
              </w:rPr>
              <w:t>5,830</w:t>
            </w:r>
          </w:p>
        </w:tc>
        <w:tc>
          <w:tcPr>
            <w:tcW w:w="508" w:type="pct"/>
            <w:vAlign w:val="center"/>
          </w:tcPr>
          <w:p w:rsidR="00CA2D7D" w:rsidRDefault="00037412">
            <w:pPr>
              <w:spacing w:before="60" w:after="60" w:line="200" w:lineRule="exact"/>
              <w:jc w:val="right"/>
              <w:rPr>
                <w:noProof/>
                <w:sz w:val="16"/>
                <w:szCs w:val="16"/>
              </w:rPr>
            </w:pPr>
            <w:r>
              <w:rPr>
                <w:noProof/>
                <w:sz w:val="16"/>
                <w:szCs w:val="16"/>
              </w:rPr>
              <w:t>4,230</w:t>
            </w:r>
          </w:p>
        </w:tc>
        <w:tc>
          <w:tcPr>
            <w:tcW w:w="508" w:type="pct"/>
            <w:vAlign w:val="center"/>
          </w:tcPr>
          <w:p w:rsidR="00CA2D7D" w:rsidRDefault="00037412">
            <w:pPr>
              <w:spacing w:before="60" w:after="60" w:line="200" w:lineRule="exact"/>
              <w:jc w:val="right"/>
              <w:rPr>
                <w:noProof/>
                <w:sz w:val="16"/>
                <w:szCs w:val="16"/>
              </w:rPr>
            </w:pPr>
            <w:r>
              <w:rPr>
                <w:noProof/>
                <w:sz w:val="16"/>
                <w:szCs w:val="16"/>
              </w:rPr>
              <w:t>2,620</w:t>
            </w:r>
          </w:p>
        </w:tc>
        <w:tc>
          <w:tcPr>
            <w:tcW w:w="508" w:type="pct"/>
            <w:vAlign w:val="center"/>
          </w:tcPr>
          <w:p w:rsidR="00CA2D7D" w:rsidRDefault="00037412">
            <w:pPr>
              <w:spacing w:before="60" w:after="60" w:line="200" w:lineRule="exact"/>
              <w:jc w:val="right"/>
              <w:rPr>
                <w:noProof/>
                <w:sz w:val="16"/>
                <w:szCs w:val="16"/>
              </w:rPr>
            </w:pPr>
            <w:r>
              <w:rPr>
                <w:noProof/>
                <w:sz w:val="16"/>
                <w:szCs w:val="16"/>
              </w:rPr>
              <w:t>42,000</w:t>
            </w:r>
          </w:p>
        </w:tc>
      </w:tr>
      <w:tr w:rsidR="00CA2D7D" w:rsidTr="00CE278B">
        <w:trPr>
          <w:trHeight w:val="585"/>
        </w:trPr>
        <w:tc>
          <w:tcPr>
            <w:tcW w:w="932" w:type="pct"/>
            <w:shd w:val="clear" w:color="auto" w:fill="CCCCCC"/>
            <w:vAlign w:val="center"/>
          </w:tcPr>
          <w:p w:rsidR="00CA2D7D" w:rsidRDefault="00037412">
            <w:pPr>
              <w:spacing w:before="60" w:after="60" w:line="200" w:lineRule="exact"/>
              <w:jc w:val="center"/>
              <w:rPr>
                <w:b/>
                <w:noProof/>
                <w:sz w:val="16"/>
                <w:szCs w:val="16"/>
              </w:rPr>
            </w:pPr>
            <w:r>
              <w:rPr>
                <w:b/>
                <w:noProof/>
                <w:sz w:val="16"/>
              </w:rPr>
              <w:t>Seštevek za odobritve</w:t>
            </w:r>
            <w:r>
              <w:rPr>
                <w:noProof/>
              </w:rPr>
              <w:br/>
            </w:r>
            <w:r>
              <w:rPr>
                <w:b/>
                <w:noProof/>
                <w:sz w:val="16"/>
              </w:rPr>
              <w:t>zunaj RAZDELKA 7</w:t>
            </w:r>
            <w:r>
              <w:rPr>
                <w:noProof/>
              </w:rPr>
              <w:t xml:space="preserve"> </w:t>
            </w:r>
            <w:r>
              <w:rPr>
                <w:noProof/>
              </w:rPr>
              <w:br/>
            </w:r>
            <w:r>
              <w:rPr>
                <w:b/>
                <w:noProof/>
                <w:sz w:val="16"/>
              </w:rPr>
              <w:t xml:space="preserve">večletnega finančnega okvira </w:t>
            </w:r>
          </w:p>
        </w:tc>
        <w:tc>
          <w:tcPr>
            <w:tcW w:w="508" w:type="pct"/>
            <w:vAlign w:val="center"/>
          </w:tcPr>
          <w:p w:rsidR="00CA2D7D" w:rsidRDefault="00037412">
            <w:pPr>
              <w:spacing w:before="60" w:after="60" w:line="200" w:lineRule="exact"/>
              <w:jc w:val="right"/>
              <w:rPr>
                <w:noProof/>
                <w:sz w:val="16"/>
                <w:szCs w:val="16"/>
              </w:rPr>
            </w:pPr>
            <w:r>
              <w:rPr>
                <w:noProof/>
                <w:sz w:val="16"/>
                <w:szCs w:val="16"/>
              </w:rPr>
              <w:t>5,830</w:t>
            </w:r>
          </w:p>
        </w:tc>
        <w:tc>
          <w:tcPr>
            <w:tcW w:w="508" w:type="pct"/>
            <w:vAlign w:val="center"/>
          </w:tcPr>
          <w:p w:rsidR="00CA2D7D" w:rsidRDefault="00037412">
            <w:pPr>
              <w:spacing w:before="60" w:after="60" w:line="200" w:lineRule="exact"/>
              <w:jc w:val="right"/>
              <w:rPr>
                <w:noProof/>
                <w:sz w:val="16"/>
                <w:szCs w:val="16"/>
              </w:rPr>
            </w:pPr>
            <w:r>
              <w:rPr>
                <w:noProof/>
                <w:sz w:val="16"/>
                <w:szCs w:val="16"/>
              </w:rPr>
              <w:t>7,830</w:t>
            </w:r>
          </w:p>
        </w:tc>
        <w:tc>
          <w:tcPr>
            <w:tcW w:w="508" w:type="pct"/>
            <w:vAlign w:val="center"/>
          </w:tcPr>
          <w:p w:rsidR="00CA2D7D" w:rsidRDefault="00037412">
            <w:pPr>
              <w:spacing w:before="60" w:after="60" w:line="200" w:lineRule="exact"/>
              <w:jc w:val="right"/>
              <w:rPr>
                <w:noProof/>
                <w:sz w:val="16"/>
                <w:szCs w:val="16"/>
              </w:rPr>
            </w:pPr>
            <w:r>
              <w:rPr>
                <w:noProof/>
                <w:sz w:val="16"/>
                <w:szCs w:val="16"/>
              </w:rPr>
              <w:t>7,830</w:t>
            </w:r>
          </w:p>
        </w:tc>
        <w:tc>
          <w:tcPr>
            <w:tcW w:w="508" w:type="pct"/>
            <w:vAlign w:val="center"/>
          </w:tcPr>
          <w:p w:rsidR="00CA2D7D" w:rsidRDefault="00037412">
            <w:pPr>
              <w:spacing w:before="60" w:after="60" w:line="200" w:lineRule="exact"/>
              <w:jc w:val="right"/>
              <w:rPr>
                <w:noProof/>
                <w:sz w:val="16"/>
                <w:szCs w:val="16"/>
              </w:rPr>
            </w:pPr>
            <w:r>
              <w:rPr>
                <w:noProof/>
                <w:sz w:val="16"/>
                <w:szCs w:val="16"/>
              </w:rPr>
              <w:t>7,830</w:t>
            </w:r>
          </w:p>
        </w:tc>
        <w:tc>
          <w:tcPr>
            <w:tcW w:w="508" w:type="pct"/>
            <w:vAlign w:val="center"/>
          </w:tcPr>
          <w:p w:rsidR="00CA2D7D" w:rsidRDefault="00037412">
            <w:pPr>
              <w:spacing w:before="60" w:after="60" w:line="200" w:lineRule="exact"/>
              <w:jc w:val="right"/>
              <w:rPr>
                <w:noProof/>
                <w:sz w:val="16"/>
                <w:szCs w:val="16"/>
              </w:rPr>
            </w:pPr>
            <w:r>
              <w:rPr>
                <w:noProof/>
                <w:sz w:val="16"/>
                <w:szCs w:val="16"/>
              </w:rPr>
              <w:t>5,830</w:t>
            </w:r>
          </w:p>
        </w:tc>
        <w:tc>
          <w:tcPr>
            <w:tcW w:w="508" w:type="pct"/>
            <w:vAlign w:val="center"/>
          </w:tcPr>
          <w:p w:rsidR="00CA2D7D" w:rsidRDefault="00037412">
            <w:pPr>
              <w:spacing w:before="60" w:after="60" w:line="200" w:lineRule="exact"/>
              <w:jc w:val="right"/>
              <w:rPr>
                <w:noProof/>
                <w:sz w:val="16"/>
                <w:szCs w:val="16"/>
              </w:rPr>
            </w:pPr>
            <w:r>
              <w:rPr>
                <w:noProof/>
                <w:sz w:val="16"/>
                <w:szCs w:val="16"/>
              </w:rPr>
              <w:t>4,230</w:t>
            </w:r>
          </w:p>
        </w:tc>
        <w:tc>
          <w:tcPr>
            <w:tcW w:w="508" w:type="pct"/>
            <w:vAlign w:val="center"/>
          </w:tcPr>
          <w:p w:rsidR="00CA2D7D" w:rsidRDefault="00037412">
            <w:pPr>
              <w:spacing w:before="60" w:after="60" w:line="200" w:lineRule="exact"/>
              <w:jc w:val="right"/>
              <w:rPr>
                <w:b/>
                <w:noProof/>
                <w:sz w:val="16"/>
                <w:szCs w:val="16"/>
              </w:rPr>
            </w:pPr>
            <w:r>
              <w:rPr>
                <w:noProof/>
                <w:sz w:val="16"/>
                <w:szCs w:val="16"/>
              </w:rPr>
              <w:t>2,620</w:t>
            </w:r>
          </w:p>
        </w:tc>
        <w:tc>
          <w:tcPr>
            <w:tcW w:w="508" w:type="pct"/>
            <w:vAlign w:val="center"/>
          </w:tcPr>
          <w:p w:rsidR="00CA2D7D" w:rsidRDefault="00037412">
            <w:pPr>
              <w:spacing w:before="60" w:after="60" w:line="200" w:lineRule="exact"/>
              <w:jc w:val="right"/>
              <w:rPr>
                <w:b/>
                <w:noProof/>
                <w:sz w:val="16"/>
                <w:szCs w:val="16"/>
              </w:rPr>
            </w:pPr>
            <w:r>
              <w:rPr>
                <w:noProof/>
                <w:sz w:val="16"/>
                <w:szCs w:val="16"/>
              </w:rPr>
              <w:t>42,000</w:t>
            </w:r>
          </w:p>
        </w:tc>
      </w:tr>
    </w:tbl>
    <w:p w:rsidR="00CA2D7D" w:rsidRDefault="00CA2D7D">
      <w:pPr>
        <w:spacing w:line="200" w:lineRule="exact"/>
        <w:rPr>
          <w:noProof/>
          <w:sz w:val="16"/>
          <w:szCs w:val="16"/>
        </w:rPr>
      </w:pPr>
    </w:p>
    <w:tbl>
      <w:tblPr>
        <w:tblW w:w="5000" w:type="pct"/>
        <w:tblLook w:val="01E0" w:firstRow="1" w:lastRow="1" w:firstColumn="1" w:lastColumn="1" w:noHBand="0" w:noVBand="0"/>
      </w:tblPr>
      <w:tblGrid>
        <w:gridCol w:w="1734"/>
        <w:gridCol w:w="945"/>
        <w:gridCol w:w="944"/>
        <w:gridCol w:w="944"/>
        <w:gridCol w:w="944"/>
        <w:gridCol w:w="944"/>
        <w:gridCol w:w="944"/>
        <w:gridCol w:w="944"/>
        <w:gridCol w:w="944"/>
      </w:tblGrid>
      <w:tr w:rsidR="00CA2D7D" w:rsidTr="00CE278B">
        <w:trPr>
          <w:trHeight w:val="585"/>
        </w:trPr>
        <w:tc>
          <w:tcPr>
            <w:tcW w:w="932" w:type="pct"/>
            <w:tcBorders>
              <w:top w:val="single" w:sz="12" w:space="0" w:color="auto"/>
              <w:left w:val="single" w:sz="12" w:space="0" w:color="auto"/>
              <w:bottom w:val="single" w:sz="12" w:space="0" w:color="auto"/>
              <w:right w:val="single" w:sz="2" w:space="0" w:color="auto"/>
            </w:tcBorders>
            <w:vAlign w:val="center"/>
          </w:tcPr>
          <w:p w:rsidR="00CA2D7D" w:rsidRDefault="00037412">
            <w:pPr>
              <w:spacing w:before="60" w:after="60" w:line="200" w:lineRule="exact"/>
              <w:jc w:val="center"/>
              <w:rPr>
                <w:noProof/>
                <w:sz w:val="16"/>
                <w:szCs w:val="16"/>
              </w:rPr>
            </w:pPr>
            <w:r>
              <w:rPr>
                <w:b/>
                <w:noProof/>
                <w:sz w:val="16"/>
              </w:rPr>
              <w:t>SKUPAJ</w:t>
            </w:r>
          </w:p>
        </w:tc>
        <w:tc>
          <w:tcPr>
            <w:tcW w:w="508" w:type="pct"/>
            <w:tcBorders>
              <w:top w:val="single" w:sz="12" w:space="0" w:color="auto"/>
              <w:left w:val="single" w:sz="2" w:space="0" w:color="auto"/>
              <w:bottom w:val="single" w:sz="12" w:space="0" w:color="auto"/>
              <w:right w:val="single" w:sz="2" w:space="0" w:color="auto"/>
            </w:tcBorders>
            <w:vAlign w:val="center"/>
          </w:tcPr>
          <w:p w:rsidR="00CA2D7D" w:rsidRDefault="00037412">
            <w:pPr>
              <w:spacing w:before="60" w:after="60" w:line="200" w:lineRule="exact"/>
              <w:jc w:val="right"/>
              <w:rPr>
                <w:b/>
                <w:noProof/>
                <w:sz w:val="16"/>
                <w:szCs w:val="16"/>
              </w:rPr>
            </w:pPr>
            <w:r>
              <w:rPr>
                <w:b/>
                <w:noProof/>
                <w:sz w:val="16"/>
                <w:szCs w:val="16"/>
              </w:rPr>
              <w:t>5,830</w:t>
            </w:r>
          </w:p>
        </w:tc>
        <w:tc>
          <w:tcPr>
            <w:tcW w:w="508" w:type="pct"/>
            <w:tcBorders>
              <w:top w:val="single" w:sz="12" w:space="0" w:color="auto"/>
              <w:left w:val="single" w:sz="2" w:space="0" w:color="auto"/>
              <w:bottom w:val="single" w:sz="12" w:space="0" w:color="auto"/>
              <w:right w:val="single" w:sz="2" w:space="0" w:color="auto"/>
            </w:tcBorders>
            <w:vAlign w:val="center"/>
          </w:tcPr>
          <w:p w:rsidR="00CA2D7D" w:rsidRDefault="00037412">
            <w:pPr>
              <w:spacing w:before="60" w:after="60" w:line="200" w:lineRule="exact"/>
              <w:jc w:val="right"/>
              <w:rPr>
                <w:b/>
                <w:noProof/>
                <w:sz w:val="16"/>
                <w:szCs w:val="16"/>
              </w:rPr>
            </w:pPr>
            <w:r>
              <w:rPr>
                <w:b/>
                <w:noProof/>
                <w:sz w:val="16"/>
                <w:szCs w:val="16"/>
              </w:rPr>
              <w:t>7,830</w:t>
            </w:r>
          </w:p>
        </w:tc>
        <w:tc>
          <w:tcPr>
            <w:tcW w:w="508" w:type="pct"/>
            <w:tcBorders>
              <w:top w:val="single" w:sz="12" w:space="0" w:color="auto"/>
              <w:left w:val="single" w:sz="2" w:space="0" w:color="auto"/>
              <w:bottom w:val="single" w:sz="12" w:space="0" w:color="auto"/>
              <w:right w:val="single" w:sz="2" w:space="0" w:color="auto"/>
            </w:tcBorders>
            <w:vAlign w:val="center"/>
          </w:tcPr>
          <w:p w:rsidR="00CA2D7D" w:rsidRDefault="00037412">
            <w:pPr>
              <w:spacing w:before="60" w:after="60" w:line="200" w:lineRule="exact"/>
              <w:jc w:val="right"/>
              <w:rPr>
                <w:b/>
                <w:noProof/>
                <w:sz w:val="16"/>
                <w:szCs w:val="16"/>
              </w:rPr>
            </w:pPr>
            <w:r>
              <w:rPr>
                <w:b/>
                <w:noProof/>
                <w:sz w:val="16"/>
                <w:szCs w:val="16"/>
              </w:rPr>
              <w:t>7,830</w:t>
            </w:r>
          </w:p>
        </w:tc>
        <w:tc>
          <w:tcPr>
            <w:tcW w:w="508" w:type="pct"/>
            <w:tcBorders>
              <w:top w:val="single" w:sz="12" w:space="0" w:color="auto"/>
              <w:left w:val="single" w:sz="2" w:space="0" w:color="auto"/>
              <w:bottom w:val="single" w:sz="12" w:space="0" w:color="auto"/>
              <w:right w:val="single" w:sz="2" w:space="0" w:color="auto"/>
            </w:tcBorders>
            <w:vAlign w:val="center"/>
          </w:tcPr>
          <w:p w:rsidR="00CA2D7D" w:rsidRDefault="00037412">
            <w:pPr>
              <w:spacing w:before="60" w:after="60" w:line="200" w:lineRule="exact"/>
              <w:jc w:val="right"/>
              <w:rPr>
                <w:b/>
                <w:noProof/>
                <w:sz w:val="16"/>
                <w:szCs w:val="16"/>
              </w:rPr>
            </w:pPr>
            <w:r>
              <w:rPr>
                <w:b/>
                <w:noProof/>
                <w:sz w:val="16"/>
                <w:szCs w:val="16"/>
              </w:rPr>
              <w:t>7,830</w:t>
            </w:r>
          </w:p>
        </w:tc>
        <w:tc>
          <w:tcPr>
            <w:tcW w:w="508" w:type="pct"/>
            <w:tcBorders>
              <w:top w:val="single" w:sz="12" w:space="0" w:color="auto"/>
              <w:left w:val="single" w:sz="2" w:space="0" w:color="auto"/>
              <w:bottom w:val="single" w:sz="12" w:space="0" w:color="auto"/>
              <w:right w:val="single" w:sz="2" w:space="0" w:color="auto"/>
            </w:tcBorders>
            <w:vAlign w:val="center"/>
          </w:tcPr>
          <w:p w:rsidR="00CA2D7D" w:rsidRDefault="00037412">
            <w:pPr>
              <w:spacing w:before="60" w:after="60" w:line="200" w:lineRule="exact"/>
              <w:jc w:val="right"/>
              <w:rPr>
                <w:b/>
                <w:noProof/>
                <w:sz w:val="16"/>
                <w:szCs w:val="16"/>
              </w:rPr>
            </w:pPr>
            <w:r>
              <w:rPr>
                <w:b/>
                <w:noProof/>
                <w:sz w:val="16"/>
                <w:szCs w:val="16"/>
              </w:rPr>
              <w:t>5,830</w:t>
            </w:r>
          </w:p>
        </w:tc>
        <w:tc>
          <w:tcPr>
            <w:tcW w:w="508" w:type="pct"/>
            <w:tcBorders>
              <w:top w:val="single" w:sz="12" w:space="0" w:color="auto"/>
              <w:left w:val="single" w:sz="2" w:space="0" w:color="auto"/>
              <w:bottom w:val="single" w:sz="12" w:space="0" w:color="auto"/>
              <w:right w:val="single" w:sz="2" w:space="0" w:color="auto"/>
            </w:tcBorders>
            <w:vAlign w:val="center"/>
          </w:tcPr>
          <w:p w:rsidR="00CA2D7D" w:rsidRDefault="00037412">
            <w:pPr>
              <w:spacing w:before="60" w:after="60" w:line="200" w:lineRule="exact"/>
              <w:jc w:val="right"/>
              <w:rPr>
                <w:b/>
                <w:noProof/>
                <w:sz w:val="16"/>
                <w:szCs w:val="16"/>
              </w:rPr>
            </w:pPr>
            <w:r>
              <w:rPr>
                <w:b/>
                <w:noProof/>
                <w:sz w:val="16"/>
                <w:szCs w:val="16"/>
              </w:rPr>
              <w:t>4,230</w:t>
            </w:r>
          </w:p>
        </w:tc>
        <w:tc>
          <w:tcPr>
            <w:tcW w:w="508" w:type="pct"/>
            <w:tcBorders>
              <w:top w:val="single" w:sz="12" w:space="0" w:color="auto"/>
              <w:left w:val="single" w:sz="2" w:space="0" w:color="auto"/>
              <w:bottom w:val="single" w:sz="12" w:space="0" w:color="auto"/>
              <w:right w:val="single" w:sz="2" w:space="0" w:color="auto"/>
            </w:tcBorders>
            <w:vAlign w:val="center"/>
          </w:tcPr>
          <w:p w:rsidR="00CA2D7D" w:rsidRDefault="00037412">
            <w:pPr>
              <w:spacing w:before="60" w:after="60" w:line="200" w:lineRule="exact"/>
              <w:jc w:val="right"/>
              <w:rPr>
                <w:b/>
                <w:noProof/>
                <w:sz w:val="16"/>
                <w:szCs w:val="16"/>
              </w:rPr>
            </w:pPr>
            <w:r>
              <w:rPr>
                <w:b/>
                <w:noProof/>
                <w:sz w:val="16"/>
                <w:szCs w:val="16"/>
              </w:rPr>
              <w:t>2,620</w:t>
            </w:r>
          </w:p>
        </w:tc>
        <w:tc>
          <w:tcPr>
            <w:tcW w:w="508" w:type="pct"/>
            <w:tcBorders>
              <w:top w:val="single" w:sz="12" w:space="0" w:color="auto"/>
              <w:left w:val="single" w:sz="2" w:space="0" w:color="auto"/>
              <w:bottom w:val="single" w:sz="12" w:space="0" w:color="auto"/>
              <w:right w:val="single" w:sz="12" w:space="0" w:color="auto"/>
            </w:tcBorders>
            <w:vAlign w:val="center"/>
          </w:tcPr>
          <w:p w:rsidR="00CA2D7D" w:rsidRDefault="00037412">
            <w:pPr>
              <w:spacing w:before="60" w:after="60" w:line="200" w:lineRule="exact"/>
              <w:jc w:val="right"/>
              <w:rPr>
                <w:b/>
                <w:noProof/>
                <w:sz w:val="16"/>
                <w:szCs w:val="16"/>
              </w:rPr>
            </w:pPr>
            <w:r>
              <w:rPr>
                <w:b/>
                <w:noProof/>
                <w:sz w:val="16"/>
                <w:szCs w:val="16"/>
              </w:rPr>
              <w:t>42,000</w:t>
            </w:r>
          </w:p>
        </w:tc>
      </w:tr>
    </w:tbl>
    <w:p w:rsidR="00CA2D7D" w:rsidRDefault="00037412">
      <w:pPr>
        <w:rPr>
          <w:noProof/>
          <w:sz w:val="18"/>
        </w:r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postopku letne dodelitve virov glede na proračunske omejitve. Dodatno osebje bo le zunanje osebje in se bo financiralo izključno iz namenskih prejemkov.</w:t>
      </w:r>
    </w:p>
    <w:p w:rsidR="00CA2D7D" w:rsidRDefault="00037412">
      <w:pPr>
        <w:pStyle w:val="ManualHeading4"/>
        <w:rPr>
          <w:bCs/>
          <w:noProof/>
          <w:szCs w:val="24"/>
        </w:rPr>
      </w:pPr>
      <w:r>
        <w:lastRenderedPageBreak/>
        <w:t>3.2.2.1.</w:t>
      </w:r>
      <w:r>
        <w:tab/>
      </w:r>
      <w:r>
        <w:rPr>
          <w:noProof/>
        </w:rPr>
        <w:t>Ocenjene potrebe po človeških virih</w:t>
      </w:r>
    </w:p>
    <w:p w:rsidR="00CA2D7D" w:rsidRDefault="00037412">
      <w:pPr>
        <w:pStyle w:val="ListDash1"/>
        <w:rPr>
          <w:noProof/>
        </w:rPr>
      </w:pPr>
      <w:r>
        <w:rPr>
          <w:noProof/>
        </w:rPr>
        <w:sym w:font="Wingdings" w:char="F0A8"/>
      </w:r>
      <w:r>
        <w:rPr>
          <w:noProof/>
        </w:rPr>
        <w:tab/>
        <w:t xml:space="preserve">Za predlog/pobudo niso potrebni človeški viri. </w:t>
      </w:r>
    </w:p>
    <w:p w:rsidR="00CA2D7D" w:rsidRDefault="00037412">
      <w:pPr>
        <w:pStyle w:val="ListDash1"/>
        <w:rPr>
          <w:noProof/>
        </w:rPr>
      </w:pPr>
      <w:r>
        <w:rPr>
          <w:noProof/>
        </w:rPr>
        <w:sym w:font="Wingdings" w:char="F0FE"/>
      </w:r>
      <w:r>
        <w:rPr>
          <w:noProof/>
        </w:rPr>
        <w:tab/>
        <w:t>Za predlog/pobudo so potrebni človeški viri, kot je pojasnjeno v nadaljevanju:</w:t>
      </w:r>
    </w:p>
    <w:p w:rsidR="00CA2D7D" w:rsidRDefault="00037412">
      <w:pPr>
        <w:spacing w:after="60"/>
        <w:jc w:val="right"/>
        <w:rPr>
          <w:i/>
          <w:noProof/>
          <w:sz w:val="20"/>
        </w:rPr>
      </w:pPr>
      <w:r>
        <w:rPr>
          <w:i/>
          <w:noProof/>
          <w:sz w:val="20"/>
        </w:rPr>
        <w:t>ocena, izražena v ekvivalentu polnega delovnega časa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CA2D7D">
        <w:trPr>
          <w:trHeight w:val="289"/>
        </w:trPr>
        <w:tc>
          <w:tcPr>
            <w:tcW w:w="1472" w:type="pct"/>
            <w:gridSpan w:val="2"/>
            <w:vAlign w:val="center"/>
          </w:tcPr>
          <w:p w:rsidR="00CA2D7D" w:rsidRDefault="00037412">
            <w:pPr>
              <w:pStyle w:val="Text1"/>
              <w:spacing w:before="40" w:after="40"/>
              <w:ind w:left="0"/>
              <w:jc w:val="center"/>
              <w:rPr>
                <w:i/>
                <w:noProof/>
                <w:sz w:val="16"/>
                <w:szCs w:val="16"/>
              </w:rPr>
            </w:pPr>
            <w:r>
              <w:rPr>
                <w:b/>
                <w:noProof/>
                <w:sz w:val="16"/>
                <w:szCs w:val="16"/>
              </w:rPr>
              <w:t>Leta</w:t>
            </w:r>
          </w:p>
        </w:tc>
        <w:tc>
          <w:tcPr>
            <w:tcW w:w="466" w:type="pct"/>
            <w:shd w:val="clear" w:color="auto" w:fill="auto"/>
            <w:vAlign w:val="center"/>
          </w:tcPr>
          <w:p w:rsidR="00CA2D7D" w:rsidRDefault="00037412">
            <w:pPr>
              <w:spacing w:before="20" w:after="20"/>
              <w:jc w:val="center"/>
              <w:rPr>
                <w:b/>
                <w:noProof/>
                <w:sz w:val="16"/>
                <w:szCs w:val="16"/>
              </w:rPr>
            </w:pPr>
            <w:r>
              <w:rPr>
                <w:b/>
                <w:noProof/>
                <w:sz w:val="20"/>
              </w:rPr>
              <w:t>2021</w:t>
            </w:r>
          </w:p>
        </w:tc>
        <w:tc>
          <w:tcPr>
            <w:tcW w:w="534" w:type="pct"/>
            <w:shd w:val="clear" w:color="auto" w:fill="auto"/>
            <w:vAlign w:val="center"/>
          </w:tcPr>
          <w:p w:rsidR="00CA2D7D" w:rsidRDefault="00037412">
            <w:pPr>
              <w:spacing w:before="20" w:after="20"/>
              <w:jc w:val="center"/>
              <w:rPr>
                <w:b/>
                <w:noProof/>
                <w:sz w:val="20"/>
              </w:rPr>
            </w:pPr>
            <w:r>
              <w:rPr>
                <w:b/>
                <w:noProof/>
                <w:sz w:val="20"/>
              </w:rPr>
              <w:t>2022</w:t>
            </w:r>
          </w:p>
        </w:tc>
        <w:tc>
          <w:tcPr>
            <w:tcW w:w="466" w:type="pct"/>
            <w:shd w:val="clear" w:color="auto" w:fill="auto"/>
            <w:vAlign w:val="center"/>
          </w:tcPr>
          <w:p w:rsidR="00CA2D7D" w:rsidRDefault="00037412">
            <w:pPr>
              <w:spacing w:before="20" w:after="20"/>
              <w:jc w:val="center"/>
              <w:rPr>
                <w:b/>
                <w:noProof/>
                <w:sz w:val="20"/>
              </w:rPr>
            </w:pPr>
            <w:r>
              <w:rPr>
                <w:b/>
                <w:noProof/>
                <w:sz w:val="20"/>
              </w:rPr>
              <w:t>2023</w:t>
            </w:r>
          </w:p>
        </w:tc>
        <w:tc>
          <w:tcPr>
            <w:tcW w:w="534" w:type="pct"/>
            <w:shd w:val="clear" w:color="auto" w:fill="auto"/>
            <w:vAlign w:val="center"/>
          </w:tcPr>
          <w:p w:rsidR="00CA2D7D" w:rsidRDefault="00037412">
            <w:pPr>
              <w:spacing w:before="20" w:after="20"/>
              <w:jc w:val="center"/>
              <w:rPr>
                <w:b/>
                <w:noProof/>
                <w:sz w:val="20"/>
              </w:rPr>
            </w:pPr>
            <w:r>
              <w:rPr>
                <w:b/>
                <w:noProof/>
                <w:sz w:val="20"/>
              </w:rPr>
              <w:t>2024</w:t>
            </w:r>
          </w:p>
        </w:tc>
        <w:tc>
          <w:tcPr>
            <w:tcW w:w="533" w:type="pct"/>
            <w:shd w:val="clear" w:color="auto" w:fill="auto"/>
            <w:vAlign w:val="center"/>
          </w:tcPr>
          <w:p w:rsidR="00CA2D7D" w:rsidRDefault="00037412">
            <w:pPr>
              <w:jc w:val="center"/>
              <w:rPr>
                <w:b/>
                <w:noProof/>
                <w:sz w:val="20"/>
              </w:rPr>
            </w:pPr>
            <w:r>
              <w:rPr>
                <w:b/>
                <w:noProof/>
                <w:sz w:val="20"/>
              </w:rPr>
              <w:t>2025</w:t>
            </w:r>
          </w:p>
        </w:tc>
        <w:tc>
          <w:tcPr>
            <w:tcW w:w="468" w:type="pct"/>
            <w:shd w:val="clear" w:color="auto" w:fill="auto"/>
            <w:vAlign w:val="center"/>
          </w:tcPr>
          <w:p w:rsidR="00CA2D7D" w:rsidRDefault="00037412">
            <w:pPr>
              <w:jc w:val="center"/>
              <w:rPr>
                <w:b/>
                <w:noProof/>
                <w:sz w:val="20"/>
              </w:rPr>
            </w:pPr>
            <w:r>
              <w:rPr>
                <w:b/>
                <w:noProof/>
                <w:sz w:val="20"/>
              </w:rPr>
              <w:t>2026</w:t>
            </w:r>
          </w:p>
        </w:tc>
        <w:tc>
          <w:tcPr>
            <w:tcW w:w="527" w:type="pct"/>
            <w:shd w:val="clear" w:color="auto" w:fill="auto"/>
            <w:vAlign w:val="center"/>
          </w:tcPr>
          <w:p w:rsidR="00CA2D7D" w:rsidRDefault="00037412">
            <w:pPr>
              <w:jc w:val="center"/>
              <w:rPr>
                <w:b/>
                <w:noProof/>
                <w:sz w:val="20"/>
              </w:rPr>
            </w:pPr>
            <w:r>
              <w:rPr>
                <w:b/>
                <w:noProof/>
                <w:sz w:val="20"/>
              </w:rPr>
              <w:t>2027</w:t>
            </w:r>
          </w:p>
        </w:tc>
      </w:tr>
      <w:tr w:rsidR="00CA2D7D">
        <w:trPr>
          <w:trHeight w:val="289"/>
        </w:trPr>
        <w:tc>
          <w:tcPr>
            <w:tcW w:w="5000" w:type="pct"/>
            <w:gridSpan w:val="9"/>
          </w:tcPr>
          <w:p w:rsidR="00CA2D7D" w:rsidRDefault="00037412">
            <w:pPr>
              <w:jc w:val="left"/>
              <w:rPr>
                <w:noProof/>
                <w:sz w:val="16"/>
                <w:szCs w:val="16"/>
              </w:rPr>
            </w:pPr>
            <w:r>
              <w:rPr>
                <w:b/>
                <w:noProof/>
                <w:sz w:val="16"/>
              </w:rPr>
              <w:sym w:font="Wingdings" w:char="F09F"/>
            </w:r>
            <w:r>
              <w:rPr>
                <w:b/>
                <w:noProof/>
                <w:sz w:val="16"/>
              </w:rPr>
              <w:t xml:space="preserve"> Delovna mesta v skladu s kadrovskim načrtom (uradniki in začasni uslužbenci)</w:t>
            </w:r>
          </w:p>
        </w:tc>
      </w:tr>
      <w:tr w:rsidR="00CA2D7D">
        <w:trPr>
          <w:trHeight w:val="289"/>
        </w:trPr>
        <w:tc>
          <w:tcPr>
            <w:tcW w:w="1472" w:type="pct"/>
            <w:gridSpan w:val="2"/>
          </w:tcPr>
          <w:p w:rsidR="00CA2D7D" w:rsidRDefault="00037412">
            <w:pPr>
              <w:pStyle w:val="Text1"/>
              <w:spacing w:beforeLines="20" w:before="48" w:afterLines="20" w:after="48"/>
              <w:ind w:left="134"/>
              <w:jc w:val="left"/>
              <w:rPr>
                <w:b/>
                <w:noProof/>
                <w:sz w:val="16"/>
                <w:szCs w:val="16"/>
              </w:rPr>
            </w:pPr>
            <w:r>
              <w:rPr>
                <w:noProof/>
                <w:sz w:val="16"/>
              </w:rPr>
              <w:t>Sedež in predstavništva Komisije</w:t>
            </w:r>
          </w:p>
        </w:tc>
        <w:tc>
          <w:tcPr>
            <w:tcW w:w="466" w:type="pct"/>
            <w:shd w:val="clear" w:color="auto" w:fill="auto"/>
            <w:vAlign w:val="center"/>
          </w:tcPr>
          <w:p w:rsidR="00CA2D7D" w:rsidRDefault="00CA2D7D">
            <w:pPr>
              <w:spacing w:beforeLines="20" w:before="48" w:afterLines="20" w:after="48"/>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466" w:type="pct"/>
            <w:shd w:val="clear" w:color="auto" w:fill="auto"/>
            <w:vAlign w:val="center"/>
          </w:tcPr>
          <w:p w:rsidR="00CA2D7D" w:rsidRDefault="00CA2D7D">
            <w:pPr>
              <w:spacing w:beforeLines="20" w:before="48" w:afterLines="20" w:after="48"/>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533" w:type="pct"/>
            <w:shd w:val="clear" w:color="auto" w:fill="auto"/>
            <w:vAlign w:val="center"/>
          </w:tcPr>
          <w:p w:rsidR="00CA2D7D" w:rsidRDefault="00CA2D7D">
            <w:pPr>
              <w:spacing w:beforeLines="20" w:before="48" w:afterLines="20" w:after="48"/>
              <w:jc w:val="center"/>
              <w:rPr>
                <w:noProof/>
                <w:sz w:val="16"/>
                <w:szCs w:val="16"/>
              </w:rPr>
            </w:pPr>
          </w:p>
        </w:tc>
        <w:tc>
          <w:tcPr>
            <w:tcW w:w="468" w:type="pct"/>
            <w:shd w:val="clear" w:color="auto" w:fill="auto"/>
            <w:vAlign w:val="center"/>
          </w:tcPr>
          <w:p w:rsidR="00CA2D7D" w:rsidRDefault="00CA2D7D">
            <w:pPr>
              <w:spacing w:beforeLines="20" w:before="48" w:afterLines="20" w:after="48"/>
              <w:jc w:val="center"/>
              <w:rPr>
                <w:noProof/>
                <w:sz w:val="16"/>
                <w:szCs w:val="16"/>
              </w:rPr>
            </w:pPr>
          </w:p>
        </w:tc>
        <w:tc>
          <w:tcPr>
            <w:tcW w:w="527" w:type="pct"/>
            <w:shd w:val="clear" w:color="auto" w:fill="auto"/>
            <w:vAlign w:val="center"/>
          </w:tcPr>
          <w:p w:rsidR="00CA2D7D" w:rsidRDefault="00CA2D7D">
            <w:pPr>
              <w:spacing w:beforeLines="20" w:before="48" w:afterLines="20" w:after="48"/>
              <w:jc w:val="center"/>
              <w:rPr>
                <w:noProof/>
                <w:sz w:val="16"/>
                <w:szCs w:val="16"/>
              </w:rPr>
            </w:pPr>
          </w:p>
        </w:tc>
      </w:tr>
      <w:tr w:rsidR="00CA2D7D">
        <w:trPr>
          <w:trHeight w:val="289"/>
        </w:trPr>
        <w:tc>
          <w:tcPr>
            <w:tcW w:w="1472" w:type="pct"/>
            <w:gridSpan w:val="2"/>
          </w:tcPr>
          <w:p w:rsidR="00CA2D7D" w:rsidRDefault="00037412">
            <w:pPr>
              <w:pStyle w:val="Text1"/>
              <w:spacing w:beforeLines="20" w:before="48" w:afterLines="20" w:after="48"/>
              <w:ind w:left="134"/>
              <w:jc w:val="left"/>
              <w:rPr>
                <w:noProof/>
                <w:sz w:val="16"/>
                <w:szCs w:val="16"/>
              </w:rPr>
            </w:pPr>
            <w:r>
              <w:rPr>
                <w:noProof/>
                <w:sz w:val="16"/>
              </w:rPr>
              <w:t>Delegacije</w:t>
            </w:r>
          </w:p>
        </w:tc>
        <w:tc>
          <w:tcPr>
            <w:tcW w:w="466" w:type="pct"/>
            <w:shd w:val="clear" w:color="auto" w:fill="auto"/>
            <w:vAlign w:val="center"/>
          </w:tcPr>
          <w:p w:rsidR="00CA2D7D" w:rsidRDefault="00CA2D7D">
            <w:pPr>
              <w:spacing w:beforeLines="20" w:before="48" w:afterLines="20" w:after="48"/>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466" w:type="pct"/>
            <w:shd w:val="clear" w:color="auto" w:fill="auto"/>
            <w:vAlign w:val="center"/>
          </w:tcPr>
          <w:p w:rsidR="00CA2D7D" w:rsidRDefault="00CA2D7D">
            <w:pPr>
              <w:spacing w:beforeLines="20" w:before="48" w:afterLines="20" w:after="48"/>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533" w:type="pct"/>
            <w:shd w:val="clear" w:color="auto" w:fill="auto"/>
            <w:vAlign w:val="center"/>
          </w:tcPr>
          <w:p w:rsidR="00CA2D7D" w:rsidRDefault="00CA2D7D">
            <w:pPr>
              <w:spacing w:beforeLines="20" w:before="48" w:afterLines="20" w:after="48"/>
              <w:jc w:val="center"/>
              <w:rPr>
                <w:noProof/>
                <w:sz w:val="16"/>
                <w:szCs w:val="16"/>
              </w:rPr>
            </w:pPr>
          </w:p>
        </w:tc>
        <w:tc>
          <w:tcPr>
            <w:tcW w:w="468" w:type="pct"/>
            <w:shd w:val="clear" w:color="auto" w:fill="auto"/>
            <w:vAlign w:val="center"/>
          </w:tcPr>
          <w:p w:rsidR="00CA2D7D" w:rsidRDefault="00CA2D7D">
            <w:pPr>
              <w:spacing w:beforeLines="20" w:before="48" w:afterLines="20" w:after="48"/>
              <w:jc w:val="center"/>
              <w:rPr>
                <w:noProof/>
                <w:sz w:val="16"/>
                <w:szCs w:val="16"/>
              </w:rPr>
            </w:pPr>
          </w:p>
        </w:tc>
        <w:tc>
          <w:tcPr>
            <w:tcW w:w="527" w:type="pct"/>
            <w:shd w:val="clear" w:color="auto" w:fill="auto"/>
            <w:vAlign w:val="center"/>
          </w:tcPr>
          <w:p w:rsidR="00CA2D7D" w:rsidRDefault="00CA2D7D">
            <w:pPr>
              <w:spacing w:beforeLines="20" w:before="48" w:afterLines="20" w:after="48"/>
              <w:jc w:val="center"/>
              <w:rPr>
                <w:noProof/>
                <w:sz w:val="16"/>
                <w:szCs w:val="16"/>
              </w:rPr>
            </w:pPr>
          </w:p>
        </w:tc>
      </w:tr>
      <w:tr w:rsidR="00CA2D7D">
        <w:trPr>
          <w:trHeight w:val="289"/>
        </w:trPr>
        <w:tc>
          <w:tcPr>
            <w:tcW w:w="1472" w:type="pct"/>
            <w:gridSpan w:val="2"/>
          </w:tcPr>
          <w:p w:rsidR="00CA2D7D" w:rsidRDefault="00037412">
            <w:pPr>
              <w:pStyle w:val="Text1"/>
              <w:spacing w:beforeLines="20" w:before="48" w:afterLines="20" w:after="48"/>
              <w:ind w:left="134"/>
              <w:jc w:val="left"/>
              <w:rPr>
                <w:noProof/>
                <w:sz w:val="16"/>
                <w:szCs w:val="16"/>
              </w:rPr>
            </w:pPr>
            <w:r>
              <w:rPr>
                <w:noProof/>
                <w:sz w:val="16"/>
              </w:rPr>
              <w:t>Raziskave</w:t>
            </w:r>
          </w:p>
        </w:tc>
        <w:tc>
          <w:tcPr>
            <w:tcW w:w="466" w:type="pct"/>
            <w:shd w:val="clear" w:color="auto" w:fill="auto"/>
            <w:vAlign w:val="center"/>
          </w:tcPr>
          <w:p w:rsidR="00CA2D7D" w:rsidRDefault="00CA2D7D">
            <w:pPr>
              <w:spacing w:beforeLines="20" w:before="48" w:afterLines="20" w:after="48"/>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466" w:type="pct"/>
            <w:shd w:val="clear" w:color="auto" w:fill="auto"/>
            <w:vAlign w:val="center"/>
          </w:tcPr>
          <w:p w:rsidR="00CA2D7D" w:rsidRDefault="00CA2D7D">
            <w:pPr>
              <w:spacing w:beforeLines="20" w:before="48" w:afterLines="20" w:after="48"/>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533" w:type="pct"/>
            <w:shd w:val="clear" w:color="auto" w:fill="auto"/>
            <w:vAlign w:val="center"/>
          </w:tcPr>
          <w:p w:rsidR="00CA2D7D" w:rsidRDefault="00CA2D7D">
            <w:pPr>
              <w:spacing w:beforeLines="20" w:before="48" w:afterLines="20" w:after="48"/>
              <w:jc w:val="center"/>
              <w:rPr>
                <w:noProof/>
                <w:sz w:val="16"/>
                <w:szCs w:val="16"/>
              </w:rPr>
            </w:pPr>
          </w:p>
        </w:tc>
        <w:tc>
          <w:tcPr>
            <w:tcW w:w="468" w:type="pct"/>
            <w:shd w:val="clear" w:color="auto" w:fill="auto"/>
            <w:vAlign w:val="center"/>
          </w:tcPr>
          <w:p w:rsidR="00CA2D7D" w:rsidRDefault="00CA2D7D">
            <w:pPr>
              <w:spacing w:beforeLines="20" w:before="48" w:afterLines="20" w:after="48"/>
              <w:jc w:val="center"/>
              <w:rPr>
                <w:noProof/>
                <w:sz w:val="16"/>
                <w:szCs w:val="16"/>
              </w:rPr>
            </w:pPr>
          </w:p>
        </w:tc>
        <w:tc>
          <w:tcPr>
            <w:tcW w:w="527" w:type="pct"/>
            <w:shd w:val="clear" w:color="auto" w:fill="auto"/>
            <w:vAlign w:val="center"/>
          </w:tcPr>
          <w:p w:rsidR="00CA2D7D" w:rsidRDefault="00CA2D7D">
            <w:pPr>
              <w:spacing w:beforeLines="20" w:before="48" w:afterLines="20" w:after="48"/>
              <w:jc w:val="center"/>
              <w:rPr>
                <w:noProof/>
                <w:sz w:val="16"/>
                <w:szCs w:val="16"/>
              </w:rPr>
            </w:pPr>
          </w:p>
        </w:tc>
      </w:tr>
      <w:tr w:rsidR="00CA2D7D">
        <w:trPr>
          <w:trHeight w:val="293"/>
        </w:trPr>
        <w:tc>
          <w:tcPr>
            <w:tcW w:w="5000" w:type="pct"/>
            <w:gridSpan w:val="9"/>
          </w:tcPr>
          <w:p w:rsidR="00CA2D7D" w:rsidRDefault="00037412">
            <w:pPr>
              <w:pStyle w:val="Text1"/>
              <w:spacing w:before="60" w:after="60"/>
              <w:ind w:left="0"/>
              <w:jc w:val="left"/>
              <w:rPr>
                <w:b/>
                <w:noProof/>
                <w:sz w:val="16"/>
                <w:szCs w:val="16"/>
              </w:rPr>
            </w:pPr>
            <w:r>
              <w:rPr>
                <w:b/>
                <w:noProof/>
                <w:sz w:val="16"/>
              </w:rPr>
              <w:sym w:font="Wingdings" w:char="F09F"/>
            </w:r>
            <w:r>
              <w:rPr>
                <w:b/>
                <w:noProof/>
                <w:sz w:val="16"/>
              </w:rPr>
              <w:t xml:space="preserve"> Zunanji sodelavci (v ekvivalentu polnega delovnega časa: EPDČ) – PU, LU, NNS, ZU in MSD</w:t>
            </w:r>
            <w:r>
              <w:rPr>
                <w:noProof/>
                <w:sz w:val="16"/>
              </w:rPr>
              <w:t xml:space="preserve"> </w:t>
            </w:r>
            <w:r>
              <w:rPr>
                <w:rStyle w:val="FootnoteReference"/>
                <w:noProof/>
                <w:sz w:val="16"/>
              </w:rPr>
              <w:footnoteReference w:id="11"/>
            </w:r>
          </w:p>
          <w:p w:rsidR="00CA2D7D" w:rsidRDefault="00037412">
            <w:pPr>
              <w:pStyle w:val="Text1"/>
              <w:spacing w:before="0" w:after="0"/>
              <w:ind w:left="0"/>
              <w:jc w:val="left"/>
              <w:rPr>
                <w:noProof/>
                <w:sz w:val="16"/>
                <w:szCs w:val="16"/>
              </w:rPr>
            </w:pPr>
            <w:r>
              <w:rPr>
                <w:noProof/>
                <w:sz w:val="16"/>
                <w:szCs w:val="16"/>
              </w:rPr>
              <w:t>Razdelek 7</w:t>
            </w:r>
          </w:p>
        </w:tc>
      </w:tr>
      <w:tr w:rsidR="00CA2D7D">
        <w:trPr>
          <w:trHeight w:val="485"/>
        </w:trPr>
        <w:tc>
          <w:tcPr>
            <w:tcW w:w="735" w:type="pct"/>
            <w:vMerge w:val="restart"/>
            <w:vAlign w:val="center"/>
          </w:tcPr>
          <w:p w:rsidR="00CA2D7D" w:rsidRDefault="00037412">
            <w:pPr>
              <w:pStyle w:val="Text1"/>
              <w:spacing w:beforeLines="20" w:before="48" w:afterLines="20" w:after="48"/>
              <w:ind w:left="136"/>
              <w:jc w:val="left"/>
              <w:rPr>
                <w:b/>
                <w:noProof/>
                <w:sz w:val="16"/>
                <w:szCs w:val="16"/>
              </w:rPr>
            </w:pPr>
            <w:r>
              <w:rPr>
                <w:noProof/>
                <w:sz w:val="16"/>
                <w:szCs w:val="16"/>
              </w:rPr>
              <w:t>Financirano iz RAZDELKA 7 večletnega finančnega okvira</w:t>
            </w:r>
            <w:r>
              <w:rPr>
                <w:b/>
                <w:noProof/>
                <w:sz w:val="16"/>
              </w:rPr>
              <w:t xml:space="preserve"> </w:t>
            </w:r>
          </w:p>
        </w:tc>
        <w:tc>
          <w:tcPr>
            <w:tcW w:w="737" w:type="pct"/>
            <w:vAlign w:val="center"/>
          </w:tcPr>
          <w:p w:rsidR="00CA2D7D" w:rsidRDefault="00037412">
            <w:pPr>
              <w:pStyle w:val="Text1"/>
              <w:spacing w:beforeLines="20" w:before="48" w:afterLines="20" w:after="48"/>
              <w:ind w:left="136"/>
              <w:jc w:val="left"/>
              <w:rPr>
                <w:b/>
                <w:noProof/>
                <w:sz w:val="16"/>
                <w:szCs w:val="16"/>
              </w:rPr>
            </w:pPr>
            <w:r>
              <w:rPr>
                <w:noProof/>
                <w:sz w:val="16"/>
              </w:rPr>
              <w:t>– na sedežu</w:t>
            </w:r>
          </w:p>
        </w:tc>
        <w:tc>
          <w:tcPr>
            <w:tcW w:w="466" w:type="pct"/>
            <w:shd w:val="clear" w:color="auto" w:fill="auto"/>
            <w:vAlign w:val="center"/>
          </w:tcPr>
          <w:p w:rsidR="00CA2D7D" w:rsidRDefault="00CA2D7D">
            <w:pPr>
              <w:spacing w:beforeLines="20" w:before="48" w:afterLines="20" w:after="48"/>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466" w:type="pct"/>
            <w:shd w:val="clear" w:color="auto" w:fill="auto"/>
            <w:vAlign w:val="center"/>
          </w:tcPr>
          <w:p w:rsidR="00CA2D7D" w:rsidRDefault="00CA2D7D">
            <w:pPr>
              <w:spacing w:beforeLines="20" w:before="48" w:afterLines="20" w:after="48"/>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533" w:type="pct"/>
            <w:shd w:val="clear" w:color="auto" w:fill="auto"/>
            <w:vAlign w:val="center"/>
          </w:tcPr>
          <w:p w:rsidR="00CA2D7D" w:rsidRDefault="00CA2D7D">
            <w:pPr>
              <w:spacing w:beforeLines="20" w:before="48" w:afterLines="20" w:after="48"/>
              <w:jc w:val="center"/>
              <w:rPr>
                <w:noProof/>
                <w:sz w:val="16"/>
                <w:szCs w:val="16"/>
              </w:rPr>
            </w:pPr>
          </w:p>
        </w:tc>
        <w:tc>
          <w:tcPr>
            <w:tcW w:w="468" w:type="pct"/>
            <w:shd w:val="clear" w:color="auto" w:fill="auto"/>
            <w:vAlign w:val="center"/>
          </w:tcPr>
          <w:p w:rsidR="00CA2D7D" w:rsidRDefault="00CA2D7D">
            <w:pPr>
              <w:spacing w:beforeLines="20" w:before="48" w:afterLines="20" w:after="48"/>
              <w:jc w:val="center"/>
              <w:rPr>
                <w:noProof/>
                <w:sz w:val="16"/>
                <w:szCs w:val="16"/>
              </w:rPr>
            </w:pPr>
          </w:p>
        </w:tc>
        <w:tc>
          <w:tcPr>
            <w:tcW w:w="527" w:type="pct"/>
            <w:shd w:val="clear" w:color="auto" w:fill="auto"/>
            <w:vAlign w:val="center"/>
          </w:tcPr>
          <w:p w:rsidR="00CA2D7D" w:rsidRDefault="00CA2D7D">
            <w:pPr>
              <w:spacing w:beforeLines="20" w:before="48" w:afterLines="20" w:after="48"/>
              <w:jc w:val="center"/>
              <w:rPr>
                <w:noProof/>
                <w:sz w:val="16"/>
                <w:szCs w:val="16"/>
              </w:rPr>
            </w:pPr>
          </w:p>
        </w:tc>
      </w:tr>
      <w:tr w:rsidR="00CA2D7D">
        <w:trPr>
          <w:trHeight w:val="289"/>
        </w:trPr>
        <w:tc>
          <w:tcPr>
            <w:tcW w:w="735" w:type="pct"/>
            <w:vMerge/>
            <w:vAlign w:val="center"/>
          </w:tcPr>
          <w:p w:rsidR="00CA2D7D" w:rsidRDefault="00CA2D7D">
            <w:pPr>
              <w:pStyle w:val="Text1"/>
              <w:spacing w:beforeLines="20" w:before="48" w:afterLines="20" w:after="48"/>
              <w:ind w:left="136"/>
              <w:jc w:val="left"/>
              <w:rPr>
                <w:noProof/>
                <w:sz w:val="16"/>
                <w:szCs w:val="16"/>
              </w:rPr>
            </w:pPr>
          </w:p>
        </w:tc>
        <w:tc>
          <w:tcPr>
            <w:tcW w:w="737" w:type="pct"/>
            <w:vAlign w:val="center"/>
          </w:tcPr>
          <w:p w:rsidR="00CA2D7D" w:rsidRDefault="00037412">
            <w:pPr>
              <w:pStyle w:val="Text1"/>
              <w:spacing w:beforeLines="20" w:before="48" w:afterLines="20" w:after="48"/>
              <w:ind w:left="136"/>
              <w:jc w:val="left"/>
              <w:rPr>
                <w:noProof/>
                <w:sz w:val="16"/>
                <w:szCs w:val="16"/>
              </w:rPr>
            </w:pPr>
            <w:r>
              <w:rPr>
                <w:noProof/>
                <w:sz w:val="16"/>
              </w:rPr>
              <w:t xml:space="preserve">– na delegacijah </w:t>
            </w:r>
          </w:p>
        </w:tc>
        <w:tc>
          <w:tcPr>
            <w:tcW w:w="466" w:type="pct"/>
            <w:shd w:val="clear" w:color="auto" w:fill="auto"/>
            <w:vAlign w:val="center"/>
          </w:tcPr>
          <w:p w:rsidR="00CA2D7D" w:rsidRDefault="00CA2D7D">
            <w:pPr>
              <w:spacing w:beforeLines="20" w:before="48" w:afterLines="20" w:after="48"/>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466" w:type="pct"/>
            <w:shd w:val="clear" w:color="auto" w:fill="auto"/>
            <w:vAlign w:val="center"/>
          </w:tcPr>
          <w:p w:rsidR="00CA2D7D" w:rsidRDefault="00CA2D7D">
            <w:pPr>
              <w:spacing w:beforeLines="20" w:before="48" w:afterLines="20" w:after="48"/>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533" w:type="pct"/>
            <w:shd w:val="clear" w:color="auto" w:fill="auto"/>
            <w:vAlign w:val="center"/>
          </w:tcPr>
          <w:p w:rsidR="00CA2D7D" w:rsidRDefault="00CA2D7D">
            <w:pPr>
              <w:spacing w:beforeLines="20" w:before="48" w:afterLines="20" w:after="48"/>
              <w:jc w:val="center"/>
              <w:rPr>
                <w:noProof/>
                <w:sz w:val="16"/>
                <w:szCs w:val="16"/>
              </w:rPr>
            </w:pPr>
          </w:p>
        </w:tc>
        <w:tc>
          <w:tcPr>
            <w:tcW w:w="468" w:type="pct"/>
            <w:shd w:val="clear" w:color="auto" w:fill="auto"/>
            <w:vAlign w:val="center"/>
          </w:tcPr>
          <w:p w:rsidR="00CA2D7D" w:rsidRDefault="00CA2D7D">
            <w:pPr>
              <w:spacing w:beforeLines="20" w:before="48" w:afterLines="20" w:after="48"/>
              <w:jc w:val="center"/>
              <w:rPr>
                <w:noProof/>
                <w:sz w:val="16"/>
                <w:szCs w:val="16"/>
              </w:rPr>
            </w:pPr>
          </w:p>
        </w:tc>
        <w:tc>
          <w:tcPr>
            <w:tcW w:w="527" w:type="pct"/>
            <w:shd w:val="clear" w:color="auto" w:fill="auto"/>
            <w:vAlign w:val="center"/>
          </w:tcPr>
          <w:p w:rsidR="00CA2D7D" w:rsidRDefault="00CA2D7D">
            <w:pPr>
              <w:spacing w:beforeLines="20" w:before="48" w:afterLines="20" w:after="48"/>
              <w:jc w:val="center"/>
              <w:rPr>
                <w:noProof/>
                <w:sz w:val="16"/>
                <w:szCs w:val="16"/>
              </w:rPr>
            </w:pPr>
          </w:p>
        </w:tc>
      </w:tr>
      <w:tr w:rsidR="00CA2D7D">
        <w:trPr>
          <w:trHeight w:val="370"/>
        </w:trPr>
        <w:tc>
          <w:tcPr>
            <w:tcW w:w="735" w:type="pct"/>
            <w:vMerge w:val="restart"/>
            <w:vAlign w:val="center"/>
          </w:tcPr>
          <w:p w:rsidR="00CA2D7D" w:rsidRDefault="00037412">
            <w:pPr>
              <w:pStyle w:val="Text1"/>
              <w:spacing w:beforeLines="20" w:before="48" w:afterLines="20" w:after="48"/>
              <w:ind w:left="136"/>
              <w:jc w:val="left"/>
              <w:rPr>
                <w:b/>
                <w:noProof/>
                <w:sz w:val="16"/>
                <w:szCs w:val="16"/>
              </w:rPr>
            </w:pPr>
            <w:r>
              <w:rPr>
                <w:noProof/>
                <w:sz w:val="16"/>
                <w:szCs w:val="16"/>
              </w:rPr>
              <w:t>Financirano iz sredstev programa</w:t>
            </w:r>
            <w:r>
              <w:rPr>
                <w:b/>
                <w:noProof/>
                <w:sz w:val="16"/>
                <w:szCs w:val="16"/>
              </w:rPr>
              <w:t xml:space="preserve"> </w:t>
            </w:r>
            <w:r>
              <w:rPr>
                <w:rStyle w:val="FootnoteReference"/>
                <w:b/>
                <w:noProof/>
                <w:sz w:val="16"/>
              </w:rPr>
              <w:footnoteReference w:id="12"/>
            </w:r>
          </w:p>
        </w:tc>
        <w:tc>
          <w:tcPr>
            <w:tcW w:w="737" w:type="pct"/>
            <w:shd w:val="clear" w:color="auto" w:fill="auto"/>
            <w:vAlign w:val="center"/>
          </w:tcPr>
          <w:p w:rsidR="00CA2D7D" w:rsidRDefault="00037412">
            <w:pPr>
              <w:pStyle w:val="Text1"/>
              <w:spacing w:beforeLines="20" w:before="48" w:afterLines="20" w:after="48"/>
              <w:ind w:left="136"/>
              <w:jc w:val="left"/>
              <w:rPr>
                <w:b/>
                <w:noProof/>
                <w:sz w:val="16"/>
                <w:szCs w:val="16"/>
              </w:rPr>
            </w:pPr>
            <w:r>
              <w:rPr>
                <w:noProof/>
                <w:sz w:val="16"/>
              </w:rPr>
              <w:t>– na sedežu</w:t>
            </w:r>
          </w:p>
        </w:tc>
        <w:tc>
          <w:tcPr>
            <w:tcW w:w="466" w:type="pct"/>
            <w:shd w:val="clear" w:color="auto" w:fill="auto"/>
            <w:vAlign w:val="center"/>
          </w:tcPr>
          <w:p w:rsidR="00CA2D7D" w:rsidRDefault="00CA2D7D">
            <w:pPr>
              <w:pStyle w:val="Text1"/>
              <w:spacing w:beforeLines="20" w:before="48" w:afterLines="20" w:after="48"/>
              <w:ind w:left="0"/>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466" w:type="pct"/>
            <w:shd w:val="clear" w:color="auto" w:fill="auto"/>
            <w:vAlign w:val="center"/>
          </w:tcPr>
          <w:p w:rsidR="00CA2D7D" w:rsidRDefault="00CA2D7D">
            <w:pPr>
              <w:spacing w:beforeLines="20" w:before="48" w:afterLines="20" w:after="48"/>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533" w:type="pct"/>
            <w:shd w:val="clear" w:color="auto" w:fill="auto"/>
            <w:vAlign w:val="center"/>
          </w:tcPr>
          <w:p w:rsidR="00CA2D7D" w:rsidRDefault="00CA2D7D">
            <w:pPr>
              <w:spacing w:beforeLines="20" w:before="48" w:afterLines="20" w:after="48"/>
              <w:jc w:val="center"/>
              <w:rPr>
                <w:noProof/>
                <w:sz w:val="16"/>
                <w:szCs w:val="16"/>
              </w:rPr>
            </w:pPr>
          </w:p>
        </w:tc>
        <w:tc>
          <w:tcPr>
            <w:tcW w:w="468" w:type="pct"/>
            <w:shd w:val="clear" w:color="auto" w:fill="auto"/>
            <w:vAlign w:val="center"/>
          </w:tcPr>
          <w:p w:rsidR="00CA2D7D" w:rsidRDefault="00CA2D7D">
            <w:pPr>
              <w:spacing w:beforeLines="20" w:before="48" w:afterLines="20" w:after="48"/>
              <w:jc w:val="center"/>
              <w:rPr>
                <w:noProof/>
                <w:sz w:val="16"/>
                <w:szCs w:val="16"/>
              </w:rPr>
            </w:pPr>
          </w:p>
        </w:tc>
        <w:tc>
          <w:tcPr>
            <w:tcW w:w="527" w:type="pct"/>
            <w:shd w:val="clear" w:color="auto" w:fill="auto"/>
            <w:vAlign w:val="center"/>
          </w:tcPr>
          <w:p w:rsidR="00CA2D7D" w:rsidRDefault="00CA2D7D">
            <w:pPr>
              <w:spacing w:beforeLines="20" w:before="48" w:afterLines="20" w:after="48"/>
              <w:jc w:val="center"/>
              <w:rPr>
                <w:noProof/>
                <w:sz w:val="16"/>
                <w:szCs w:val="16"/>
              </w:rPr>
            </w:pPr>
          </w:p>
        </w:tc>
      </w:tr>
      <w:tr w:rsidR="00CA2D7D">
        <w:trPr>
          <w:trHeight w:val="289"/>
        </w:trPr>
        <w:tc>
          <w:tcPr>
            <w:tcW w:w="735" w:type="pct"/>
            <w:vMerge/>
          </w:tcPr>
          <w:p w:rsidR="00CA2D7D" w:rsidRDefault="00CA2D7D">
            <w:pPr>
              <w:pStyle w:val="Text1"/>
              <w:spacing w:beforeLines="20" w:before="48" w:afterLines="20" w:after="48"/>
              <w:ind w:left="136"/>
              <w:jc w:val="left"/>
              <w:rPr>
                <w:b/>
                <w:noProof/>
                <w:sz w:val="16"/>
                <w:szCs w:val="16"/>
              </w:rPr>
            </w:pPr>
          </w:p>
        </w:tc>
        <w:tc>
          <w:tcPr>
            <w:tcW w:w="737" w:type="pct"/>
            <w:shd w:val="clear" w:color="auto" w:fill="auto"/>
            <w:vAlign w:val="center"/>
          </w:tcPr>
          <w:p w:rsidR="00CA2D7D" w:rsidRDefault="00037412">
            <w:pPr>
              <w:pStyle w:val="Text1"/>
              <w:spacing w:beforeLines="20" w:before="48" w:afterLines="20" w:after="48"/>
              <w:ind w:left="136"/>
              <w:jc w:val="left"/>
              <w:rPr>
                <w:b/>
                <w:noProof/>
                <w:sz w:val="16"/>
                <w:szCs w:val="16"/>
              </w:rPr>
            </w:pPr>
            <w:r>
              <w:rPr>
                <w:noProof/>
                <w:sz w:val="16"/>
              </w:rPr>
              <w:t xml:space="preserve">– na delegacijah </w:t>
            </w:r>
          </w:p>
        </w:tc>
        <w:tc>
          <w:tcPr>
            <w:tcW w:w="466" w:type="pct"/>
            <w:shd w:val="clear" w:color="auto" w:fill="auto"/>
            <w:vAlign w:val="center"/>
          </w:tcPr>
          <w:p w:rsidR="00CA2D7D" w:rsidRDefault="00CA2D7D">
            <w:pPr>
              <w:pStyle w:val="Text1"/>
              <w:spacing w:beforeLines="20" w:before="48" w:afterLines="20" w:after="48"/>
              <w:ind w:left="0"/>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466" w:type="pct"/>
            <w:shd w:val="clear" w:color="auto" w:fill="auto"/>
            <w:vAlign w:val="center"/>
          </w:tcPr>
          <w:p w:rsidR="00CA2D7D" w:rsidRDefault="00CA2D7D">
            <w:pPr>
              <w:spacing w:beforeLines="20" w:before="48" w:afterLines="20" w:after="48"/>
              <w:jc w:val="center"/>
              <w:rPr>
                <w:noProof/>
                <w:sz w:val="16"/>
                <w:szCs w:val="16"/>
              </w:rPr>
            </w:pPr>
          </w:p>
        </w:tc>
        <w:tc>
          <w:tcPr>
            <w:tcW w:w="534" w:type="pct"/>
            <w:shd w:val="clear" w:color="auto" w:fill="auto"/>
            <w:vAlign w:val="center"/>
          </w:tcPr>
          <w:p w:rsidR="00CA2D7D" w:rsidRDefault="00CA2D7D">
            <w:pPr>
              <w:spacing w:beforeLines="20" w:before="48" w:afterLines="20" w:after="48"/>
              <w:jc w:val="center"/>
              <w:rPr>
                <w:noProof/>
                <w:sz w:val="16"/>
                <w:szCs w:val="16"/>
              </w:rPr>
            </w:pPr>
          </w:p>
        </w:tc>
        <w:tc>
          <w:tcPr>
            <w:tcW w:w="533" w:type="pct"/>
            <w:shd w:val="clear" w:color="auto" w:fill="auto"/>
            <w:vAlign w:val="center"/>
          </w:tcPr>
          <w:p w:rsidR="00CA2D7D" w:rsidRDefault="00CA2D7D">
            <w:pPr>
              <w:spacing w:beforeLines="20" w:before="48" w:afterLines="20" w:after="48"/>
              <w:jc w:val="center"/>
              <w:rPr>
                <w:noProof/>
                <w:sz w:val="16"/>
                <w:szCs w:val="16"/>
              </w:rPr>
            </w:pPr>
          </w:p>
        </w:tc>
        <w:tc>
          <w:tcPr>
            <w:tcW w:w="468" w:type="pct"/>
            <w:shd w:val="clear" w:color="auto" w:fill="auto"/>
            <w:vAlign w:val="center"/>
          </w:tcPr>
          <w:p w:rsidR="00CA2D7D" w:rsidRDefault="00CA2D7D">
            <w:pPr>
              <w:spacing w:beforeLines="20" w:before="48" w:afterLines="20" w:after="48"/>
              <w:jc w:val="center"/>
              <w:rPr>
                <w:noProof/>
                <w:sz w:val="16"/>
                <w:szCs w:val="16"/>
              </w:rPr>
            </w:pPr>
          </w:p>
        </w:tc>
        <w:tc>
          <w:tcPr>
            <w:tcW w:w="527" w:type="pct"/>
            <w:shd w:val="clear" w:color="auto" w:fill="auto"/>
            <w:vAlign w:val="center"/>
          </w:tcPr>
          <w:p w:rsidR="00CA2D7D" w:rsidRDefault="00CA2D7D">
            <w:pPr>
              <w:spacing w:beforeLines="20" w:before="48" w:afterLines="20" w:after="48"/>
              <w:jc w:val="center"/>
              <w:rPr>
                <w:noProof/>
                <w:sz w:val="16"/>
                <w:szCs w:val="16"/>
              </w:rPr>
            </w:pPr>
          </w:p>
        </w:tc>
      </w:tr>
      <w:tr w:rsidR="00CA2D7D">
        <w:trPr>
          <w:trHeight w:val="289"/>
        </w:trPr>
        <w:tc>
          <w:tcPr>
            <w:tcW w:w="1472" w:type="pct"/>
            <w:gridSpan w:val="2"/>
          </w:tcPr>
          <w:p w:rsidR="00CA2D7D" w:rsidRDefault="00037412">
            <w:pPr>
              <w:pStyle w:val="Text1"/>
              <w:spacing w:beforeLines="20" w:before="48" w:afterLines="20" w:after="48"/>
              <w:ind w:left="136"/>
              <w:jc w:val="left"/>
              <w:rPr>
                <w:noProof/>
                <w:sz w:val="16"/>
                <w:szCs w:val="16"/>
              </w:rPr>
            </w:pPr>
            <w:r>
              <w:rPr>
                <w:noProof/>
                <w:sz w:val="16"/>
              </w:rPr>
              <w:t xml:space="preserve">Drugo: zunanji namenski prejemki (raziskave) </w:t>
            </w:r>
          </w:p>
        </w:tc>
        <w:tc>
          <w:tcPr>
            <w:tcW w:w="466" w:type="pct"/>
            <w:tcBorders>
              <w:bottom w:val="double" w:sz="4" w:space="0" w:color="auto"/>
            </w:tcBorders>
            <w:shd w:val="clear" w:color="auto" w:fill="auto"/>
            <w:vAlign w:val="center"/>
          </w:tcPr>
          <w:p w:rsidR="00CA2D7D" w:rsidRDefault="00CA2D7D">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CA2D7D" w:rsidRDefault="00CA2D7D">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CA2D7D" w:rsidRDefault="00CA2D7D">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CA2D7D" w:rsidRDefault="00CA2D7D">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CA2D7D" w:rsidRDefault="00CA2D7D">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CA2D7D" w:rsidRDefault="00CA2D7D">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CA2D7D" w:rsidRDefault="00CA2D7D">
            <w:pPr>
              <w:spacing w:beforeLines="20" w:before="48" w:afterLines="20" w:after="48"/>
              <w:jc w:val="center"/>
              <w:rPr>
                <w:noProof/>
                <w:sz w:val="16"/>
                <w:szCs w:val="16"/>
              </w:rPr>
            </w:pPr>
          </w:p>
        </w:tc>
      </w:tr>
      <w:tr w:rsidR="00CA2D7D">
        <w:trPr>
          <w:trHeight w:val="289"/>
        </w:trPr>
        <w:tc>
          <w:tcPr>
            <w:tcW w:w="1472" w:type="pct"/>
            <w:gridSpan w:val="2"/>
            <w:tcBorders>
              <w:bottom w:val="double" w:sz="4" w:space="0" w:color="auto"/>
            </w:tcBorders>
          </w:tcPr>
          <w:p w:rsidR="00CA2D7D" w:rsidRDefault="00037412">
            <w:pPr>
              <w:pStyle w:val="Text1"/>
              <w:spacing w:beforeLines="20" w:before="48" w:afterLines="20" w:after="48"/>
              <w:ind w:left="134"/>
              <w:jc w:val="left"/>
              <w:rPr>
                <w:noProof/>
                <w:sz w:val="16"/>
                <w:szCs w:val="16"/>
              </w:rPr>
            </w:pPr>
            <w:r>
              <w:rPr>
                <w:noProof/>
                <w:sz w:val="16"/>
              </w:rPr>
              <w:t xml:space="preserve">Drugo: zunanji namenski prejemki (ne za raziskave) </w:t>
            </w:r>
          </w:p>
        </w:tc>
        <w:tc>
          <w:tcPr>
            <w:tcW w:w="466" w:type="pct"/>
            <w:tcBorders>
              <w:bottom w:val="double" w:sz="4" w:space="0" w:color="auto"/>
            </w:tcBorders>
            <w:shd w:val="clear" w:color="auto" w:fill="auto"/>
            <w:vAlign w:val="center"/>
          </w:tcPr>
          <w:p w:rsidR="00CA2D7D" w:rsidRDefault="00037412">
            <w:pPr>
              <w:spacing w:beforeLines="20" w:before="48" w:afterLines="20" w:after="48"/>
              <w:jc w:val="center"/>
              <w:rPr>
                <w:noProof/>
                <w:sz w:val="16"/>
                <w:szCs w:val="16"/>
              </w:rPr>
            </w:pPr>
            <w:r>
              <w:rPr>
                <w:noProof/>
                <w:sz w:val="16"/>
                <w:szCs w:val="16"/>
              </w:rPr>
              <w:t>50</w:t>
            </w:r>
          </w:p>
        </w:tc>
        <w:tc>
          <w:tcPr>
            <w:tcW w:w="534" w:type="pct"/>
            <w:tcBorders>
              <w:bottom w:val="double" w:sz="4" w:space="0" w:color="auto"/>
            </w:tcBorders>
            <w:shd w:val="clear" w:color="auto" w:fill="auto"/>
            <w:vAlign w:val="center"/>
          </w:tcPr>
          <w:p w:rsidR="00CA2D7D" w:rsidRDefault="00037412">
            <w:pPr>
              <w:spacing w:beforeLines="20" w:before="48" w:afterLines="20" w:after="48"/>
              <w:jc w:val="center"/>
              <w:rPr>
                <w:noProof/>
                <w:sz w:val="16"/>
                <w:szCs w:val="16"/>
              </w:rPr>
            </w:pPr>
            <w:r>
              <w:rPr>
                <w:noProof/>
                <w:sz w:val="16"/>
                <w:szCs w:val="16"/>
              </w:rPr>
              <w:t>75</w:t>
            </w:r>
          </w:p>
        </w:tc>
        <w:tc>
          <w:tcPr>
            <w:tcW w:w="466" w:type="pct"/>
            <w:tcBorders>
              <w:bottom w:val="double" w:sz="4" w:space="0" w:color="auto"/>
            </w:tcBorders>
            <w:shd w:val="clear" w:color="auto" w:fill="auto"/>
            <w:vAlign w:val="center"/>
          </w:tcPr>
          <w:p w:rsidR="00CA2D7D" w:rsidRDefault="00037412">
            <w:pPr>
              <w:spacing w:beforeLines="20" w:before="48" w:afterLines="20" w:after="48"/>
              <w:jc w:val="center"/>
              <w:rPr>
                <w:noProof/>
                <w:sz w:val="16"/>
                <w:szCs w:val="16"/>
              </w:rPr>
            </w:pPr>
            <w:r>
              <w:rPr>
                <w:noProof/>
                <w:sz w:val="16"/>
                <w:szCs w:val="16"/>
              </w:rPr>
              <w:t>75</w:t>
            </w:r>
          </w:p>
        </w:tc>
        <w:tc>
          <w:tcPr>
            <w:tcW w:w="534" w:type="pct"/>
            <w:tcBorders>
              <w:bottom w:val="double" w:sz="4" w:space="0" w:color="auto"/>
            </w:tcBorders>
            <w:shd w:val="clear" w:color="auto" w:fill="auto"/>
            <w:vAlign w:val="center"/>
          </w:tcPr>
          <w:p w:rsidR="00CA2D7D" w:rsidRDefault="00037412">
            <w:pPr>
              <w:spacing w:beforeLines="20" w:before="48" w:afterLines="20" w:after="48"/>
              <w:jc w:val="center"/>
              <w:rPr>
                <w:noProof/>
                <w:sz w:val="16"/>
                <w:szCs w:val="16"/>
              </w:rPr>
            </w:pPr>
            <w:r>
              <w:rPr>
                <w:noProof/>
                <w:sz w:val="16"/>
                <w:szCs w:val="16"/>
              </w:rPr>
              <w:t>75</w:t>
            </w:r>
          </w:p>
        </w:tc>
        <w:tc>
          <w:tcPr>
            <w:tcW w:w="533" w:type="pct"/>
            <w:tcBorders>
              <w:bottom w:val="double" w:sz="4" w:space="0" w:color="auto"/>
            </w:tcBorders>
            <w:shd w:val="clear" w:color="auto" w:fill="auto"/>
            <w:vAlign w:val="center"/>
          </w:tcPr>
          <w:p w:rsidR="00CA2D7D" w:rsidRDefault="00037412">
            <w:pPr>
              <w:spacing w:beforeLines="20" w:before="48" w:afterLines="20" w:after="48"/>
              <w:jc w:val="center"/>
              <w:rPr>
                <w:noProof/>
                <w:sz w:val="16"/>
                <w:szCs w:val="16"/>
              </w:rPr>
            </w:pPr>
            <w:r>
              <w:rPr>
                <w:noProof/>
                <w:sz w:val="16"/>
                <w:szCs w:val="16"/>
              </w:rPr>
              <w:t>50</w:t>
            </w:r>
          </w:p>
        </w:tc>
        <w:tc>
          <w:tcPr>
            <w:tcW w:w="468" w:type="pct"/>
            <w:tcBorders>
              <w:bottom w:val="double" w:sz="4" w:space="0" w:color="auto"/>
            </w:tcBorders>
            <w:shd w:val="clear" w:color="auto" w:fill="auto"/>
            <w:vAlign w:val="center"/>
          </w:tcPr>
          <w:p w:rsidR="00CA2D7D" w:rsidRDefault="00037412">
            <w:pPr>
              <w:spacing w:beforeLines="20" w:before="48" w:afterLines="20" w:after="48"/>
              <w:jc w:val="center"/>
              <w:rPr>
                <w:noProof/>
                <w:sz w:val="16"/>
                <w:szCs w:val="16"/>
              </w:rPr>
            </w:pPr>
            <w:r>
              <w:rPr>
                <w:noProof/>
                <w:sz w:val="16"/>
                <w:szCs w:val="16"/>
              </w:rPr>
              <w:t>30</w:t>
            </w:r>
          </w:p>
        </w:tc>
        <w:tc>
          <w:tcPr>
            <w:tcW w:w="527" w:type="pct"/>
            <w:tcBorders>
              <w:bottom w:val="double" w:sz="4" w:space="0" w:color="auto"/>
            </w:tcBorders>
            <w:shd w:val="clear" w:color="auto" w:fill="auto"/>
            <w:vAlign w:val="center"/>
          </w:tcPr>
          <w:p w:rsidR="00CA2D7D" w:rsidRDefault="00037412">
            <w:pPr>
              <w:spacing w:beforeLines="20" w:before="48" w:afterLines="20" w:after="48"/>
              <w:jc w:val="center"/>
              <w:rPr>
                <w:noProof/>
                <w:sz w:val="16"/>
                <w:szCs w:val="16"/>
              </w:rPr>
            </w:pPr>
            <w:r>
              <w:rPr>
                <w:noProof/>
                <w:sz w:val="16"/>
                <w:szCs w:val="16"/>
              </w:rPr>
              <w:t>10</w:t>
            </w:r>
          </w:p>
        </w:tc>
      </w:tr>
      <w:tr w:rsidR="00CA2D7D">
        <w:trPr>
          <w:trHeight w:val="289"/>
        </w:trPr>
        <w:tc>
          <w:tcPr>
            <w:tcW w:w="1472" w:type="pct"/>
            <w:gridSpan w:val="2"/>
            <w:tcBorders>
              <w:top w:val="double" w:sz="4" w:space="0" w:color="auto"/>
            </w:tcBorders>
          </w:tcPr>
          <w:p w:rsidR="00CA2D7D" w:rsidRDefault="00037412">
            <w:pPr>
              <w:pStyle w:val="Text1"/>
              <w:spacing w:beforeLines="20" w:before="48" w:afterLines="20" w:after="48"/>
              <w:ind w:left="136"/>
              <w:jc w:val="left"/>
              <w:rPr>
                <w:noProof/>
                <w:sz w:val="16"/>
                <w:szCs w:val="16"/>
              </w:rPr>
            </w:pPr>
            <w:r>
              <w:rPr>
                <w:b/>
                <w:noProof/>
                <w:sz w:val="16"/>
              </w:rPr>
              <w:t>SKUPAJ</w:t>
            </w:r>
          </w:p>
        </w:tc>
        <w:tc>
          <w:tcPr>
            <w:tcW w:w="466" w:type="pct"/>
            <w:tcBorders>
              <w:top w:val="double" w:sz="4" w:space="0" w:color="auto"/>
            </w:tcBorders>
            <w:shd w:val="clear" w:color="auto" w:fill="auto"/>
            <w:vAlign w:val="center"/>
          </w:tcPr>
          <w:p w:rsidR="00CA2D7D" w:rsidRDefault="00037412">
            <w:pPr>
              <w:spacing w:beforeLines="20" w:before="48" w:afterLines="20" w:after="48"/>
              <w:jc w:val="center"/>
              <w:rPr>
                <w:b/>
                <w:noProof/>
                <w:sz w:val="16"/>
                <w:szCs w:val="16"/>
              </w:rPr>
            </w:pPr>
            <w:r>
              <w:rPr>
                <w:b/>
                <w:noProof/>
                <w:sz w:val="16"/>
                <w:szCs w:val="16"/>
              </w:rPr>
              <w:t>50</w:t>
            </w:r>
          </w:p>
        </w:tc>
        <w:tc>
          <w:tcPr>
            <w:tcW w:w="534" w:type="pct"/>
            <w:tcBorders>
              <w:top w:val="double" w:sz="4" w:space="0" w:color="auto"/>
            </w:tcBorders>
            <w:shd w:val="clear" w:color="auto" w:fill="auto"/>
            <w:vAlign w:val="center"/>
          </w:tcPr>
          <w:p w:rsidR="00CA2D7D" w:rsidRDefault="00037412">
            <w:pPr>
              <w:spacing w:beforeLines="20" w:before="48" w:afterLines="20" w:after="48"/>
              <w:jc w:val="center"/>
              <w:rPr>
                <w:b/>
                <w:noProof/>
                <w:sz w:val="16"/>
                <w:szCs w:val="16"/>
              </w:rPr>
            </w:pPr>
            <w:r>
              <w:rPr>
                <w:b/>
                <w:noProof/>
                <w:sz w:val="16"/>
                <w:szCs w:val="16"/>
              </w:rPr>
              <w:t>75</w:t>
            </w:r>
          </w:p>
        </w:tc>
        <w:tc>
          <w:tcPr>
            <w:tcW w:w="466" w:type="pct"/>
            <w:tcBorders>
              <w:top w:val="double" w:sz="4" w:space="0" w:color="auto"/>
            </w:tcBorders>
            <w:shd w:val="clear" w:color="auto" w:fill="auto"/>
            <w:vAlign w:val="center"/>
          </w:tcPr>
          <w:p w:rsidR="00CA2D7D" w:rsidRDefault="00037412">
            <w:pPr>
              <w:spacing w:beforeLines="20" w:before="48" w:afterLines="20" w:after="48"/>
              <w:jc w:val="center"/>
              <w:rPr>
                <w:b/>
                <w:noProof/>
                <w:sz w:val="16"/>
                <w:szCs w:val="16"/>
              </w:rPr>
            </w:pPr>
            <w:r>
              <w:rPr>
                <w:b/>
                <w:noProof/>
                <w:sz w:val="16"/>
                <w:szCs w:val="16"/>
              </w:rPr>
              <w:t>75</w:t>
            </w:r>
          </w:p>
        </w:tc>
        <w:tc>
          <w:tcPr>
            <w:tcW w:w="534" w:type="pct"/>
            <w:tcBorders>
              <w:top w:val="double" w:sz="4" w:space="0" w:color="auto"/>
            </w:tcBorders>
            <w:shd w:val="clear" w:color="auto" w:fill="auto"/>
            <w:vAlign w:val="center"/>
          </w:tcPr>
          <w:p w:rsidR="00CA2D7D" w:rsidRDefault="00037412">
            <w:pPr>
              <w:spacing w:beforeLines="20" w:before="48" w:afterLines="20" w:after="48"/>
              <w:jc w:val="center"/>
              <w:rPr>
                <w:b/>
                <w:noProof/>
                <w:sz w:val="16"/>
                <w:szCs w:val="16"/>
              </w:rPr>
            </w:pPr>
            <w:r>
              <w:rPr>
                <w:b/>
                <w:noProof/>
                <w:sz w:val="16"/>
                <w:szCs w:val="16"/>
              </w:rPr>
              <w:t>75</w:t>
            </w:r>
          </w:p>
        </w:tc>
        <w:tc>
          <w:tcPr>
            <w:tcW w:w="533" w:type="pct"/>
            <w:tcBorders>
              <w:top w:val="double" w:sz="4" w:space="0" w:color="auto"/>
            </w:tcBorders>
            <w:shd w:val="clear" w:color="auto" w:fill="auto"/>
            <w:vAlign w:val="center"/>
          </w:tcPr>
          <w:p w:rsidR="00CA2D7D" w:rsidRDefault="00037412">
            <w:pPr>
              <w:spacing w:beforeLines="20" w:before="48" w:afterLines="20" w:after="48"/>
              <w:jc w:val="center"/>
              <w:rPr>
                <w:b/>
                <w:noProof/>
                <w:sz w:val="16"/>
                <w:szCs w:val="16"/>
              </w:rPr>
            </w:pPr>
            <w:r>
              <w:rPr>
                <w:b/>
                <w:noProof/>
                <w:sz w:val="16"/>
                <w:szCs w:val="16"/>
              </w:rPr>
              <w:t>50</w:t>
            </w:r>
          </w:p>
        </w:tc>
        <w:tc>
          <w:tcPr>
            <w:tcW w:w="468" w:type="pct"/>
            <w:tcBorders>
              <w:top w:val="double" w:sz="4" w:space="0" w:color="auto"/>
            </w:tcBorders>
            <w:shd w:val="clear" w:color="auto" w:fill="auto"/>
            <w:vAlign w:val="center"/>
          </w:tcPr>
          <w:p w:rsidR="00CA2D7D" w:rsidRDefault="00037412">
            <w:pPr>
              <w:spacing w:beforeLines="20" w:before="48" w:afterLines="20" w:after="48"/>
              <w:jc w:val="center"/>
              <w:rPr>
                <w:b/>
                <w:noProof/>
                <w:sz w:val="16"/>
                <w:szCs w:val="16"/>
              </w:rPr>
            </w:pPr>
            <w:r>
              <w:rPr>
                <w:b/>
                <w:noProof/>
                <w:sz w:val="16"/>
                <w:szCs w:val="16"/>
              </w:rPr>
              <w:t>30</w:t>
            </w:r>
          </w:p>
        </w:tc>
        <w:tc>
          <w:tcPr>
            <w:tcW w:w="527" w:type="pct"/>
            <w:tcBorders>
              <w:top w:val="double" w:sz="4" w:space="0" w:color="auto"/>
            </w:tcBorders>
            <w:shd w:val="clear" w:color="auto" w:fill="auto"/>
            <w:vAlign w:val="center"/>
          </w:tcPr>
          <w:p w:rsidR="00CA2D7D" w:rsidRDefault="00037412">
            <w:pPr>
              <w:spacing w:beforeLines="20" w:before="48" w:afterLines="20" w:after="48"/>
              <w:jc w:val="center"/>
              <w:rPr>
                <w:b/>
                <w:noProof/>
                <w:sz w:val="16"/>
                <w:szCs w:val="16"/>
              </w:rPr>
            </w:pPr>
            <w:r>
              <w:rPr>
                <w:b/>
                <w:noProof/>
                <w:sz w:val="16"/>
                <w:szCs w:val="16"/>
              </w:rPr>
              <w:t>10</w:t>
            </w:r>
          </w:p>
        </w:tc>
      </w:tr>
    </w:tbl>
    <w:p w:rsidR="00CA2D7D" w:rsidRDefault="00037412">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r>
        <w:rPr>
          <w:noProof/>
        </w:rPr>
        <w:t xml:space="preserve"> </w:t>
      </w:r>
      <w:r>
        <w:rPr>
          <w:noProof/>
          <w:sz w:val="18"/>
        </w:rPr>
        <w:t>Dodatno osebje bo le zunanje osebje in se bo financiralo izključno iz namenskih prejemkov.</w:t>
      </w:r>
    </w:p>
    <w:p w:rsidR="00CA2D7D" w:rsidRDefault="00037412">
      <w:pPr>
        <w:rPr>
          <w:noProof/>
          <w:sz w:val="20"/>
        </w:rPr>
      </w:pPr>
      <w:r>
        <w:rPr>
          <w:noProof/>
          <w:sz w:val="20"/>
        </w:rPr>
        <w:t>Opis nalog: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69"/>
        <w:gridCol w:w="3810"/>
        <w:gridCol w:w="3808"/>
      </w:tblGrid>
      <w:tr w:rsidR="00CA2D7D" w:rsidTr="00CE278B">
        <w:tc>
          <w:tcPr>
            <w:tcW w:w="899" w:type="pct"/>
          </w:tcPr>
          <w:p w:rsidR="00CA2D7D" w:rsidRDefault="00037412">
            <w:pPr>
              <w:spacing w:before="60" w:after="60"/>
              <w:rPr>
                <w:noProof/>
                <w:sz w:val="20"/>
              </w:rPr>
            </w:pPr>
            <w:r>
              <w:rPr>
                <w:noProof/>
                <w:sz w:val="20"/>
              </w:rPr>
              <w:t>Zunanji sodelavci</w:t>
            </w:r>
          </w:p>
        </w:tc>
        <w:tc>
          <w:tcPr>
            <w:tcW w:w="2051" w:type="pct"/>
          </w:tcPr>
          <w:p w:rsidR="00CA2D7D" w:rsidRDefault="00037412">
            <w:pPr>
              <w:rPr>
                <w:noProof/>
                <w:sz w:val="20"/>
              </w:rPr>
            </w:pPr>
            <w:r>
              <w:rPr>
                <w:noProof/>
                <w:sz w:val="20"/>
              </w:rPr>
              <w:t xml:space="preserve">Zunanje osebje bo pomagalo uradnikom in začasnim uslužbencem, da prispevajo k realizaciji ukrepov iz uredbe ERI, ki se bodo izvajali v skladu z uredbo o humanitarni pomoči. </w:t>
            </w:r>
          </w:p>
        </w:tc>
        <w:tc>
          <w:tcPr>
            <w:tcW w:w="2051" w:type="pct"/>
          </w:tcPr>
          <w:p w:rsidR="00CA2D7D" w:rsidRDefault="00CA2D7D">
            <w:pPr>
              <w:rPr>
                <w:noProof/>
                <w:sz w:val="20"/>
              </w:rPr>
            </w:pPr>
          </w:p>
        </w:tc>
      </w:tr>
    </w:tbl>
    <w:p w:rsidR="00CA2D7D" w:rsidRDefault="00CA2D7D">
      <w:pPr>
        <w:rPr>
          <w:noProof/>
        </w:rPr>
        <w:sectPr w:rsidR="00CA2D7D">
          <w:headerReference w:type="default" r:id="rId32"/>
          <w:footerReference w:type="default" r:id="rId33"/>
          <w:headerReference w:type="first" r:id="rId34"/>
          <w:footerReference w:type="first" r:id="rId35"/>
          <w:pgSz w:w="11907" w:h="16840"/>
          <w:pgMar w:top="1134" w:right="1418" w:bottom="1134" w:left="1418" w:header="709" w:footer="709" w:gutter="0"/>
          <w:cols w:space="708"/>
          <w:docGrid w:linePitch="360"/>
        </w:sectPr>
      </w:pPr>
    </w:p>
    <w:p w:rsidR="00CA2D7D" w:rsidRDefault="00CA2D7D">
      <w:pPr>
        <w:rPr>
          <w:noProof/>
        </w:rPr>
      </w:pPr>
    </w:p>
    <w:p w:rsidR="00CA2D7D" w:rsidRDefault="00037412">
      <w:pPr>
        <w:pStyle w:val="ManualHeading2"/>
        <w:rPr>
          <w:bCs/>
          <w:noProof/>
          <w:szCs w:val="24"/>
        </w:rPr>
      </w:pPr>
      <w:bookmarkStart w:id="23" w:name="_Toc41814082"/>
      <w:r>
        <w:t>3.3.</w:t>
      </w:r>
      <w:r>
        <w:tab/>
      </w:r>
      <w:r>
        <w:rPr>
          <w:noProof/>
        </w:rPr>
        <w:t>Ocenjene posledice za prihodke</w:t>
      </w:r>
      <w:bookmarkEnd w:id="23"/>
      <w:r>
        <w:rPr>
          <w:noProof/>
        </w:rPr>
        <w:t xml:space="preserve"> </w:t>
      </w:r>
    </w:p>
    <w:p w:rsidR="00CA2D7D" w:rsidRDefault="00037412">
      <w:pPr>
        <w:pStyle w:val="ListDash1"/>
        <w:rPr>
          <w:noProof/>
        </w:rPr>
      </w:pPr>
      <w:r>
        <w:rPr>
          <w:noProof/>
        </w:rPr>
        <w:t>X</w:t>
      </w:r>
      <w:r>
        <w:rPr>
          <w:noProof/>
        </w:rPr>
        <w:tab/>
        <w:t>Predlog/pobuda nima finančnih posledic za prihodke.</w:t>
      </w:r>
    </w:p>
    <w:p w:rsidR="00CA2D7D" w:rsidRDefault="00037412">
      <w:pPr>
        <w:pStyle w:val="ListDash1"/>
        <w:rPr>
          <w:noProof/>
        </w:rPr>
      </w:pPr>
      <w:r>
        <w:rPr>
          <w:noProof/>
        </w:rPr>
        <w:sym w:font="Wingdings" w:char="F0A8"/>
      </w:r>
      <w:r>
        <w:rPr>
          <w:noProof/>
        </w:rPr>
        <w:tab/>
        <w:t>Predlog/pobuda ima finančne posledice, kot je pojasnjeno v nadaljevanju:</w:t>
      </w:r>
    </w:p>
    <w:p w:rsidR="00CA2D7D" w:rsidRDefault="00037412">
      <w:pPr>
        <w:pStyle w:val="ListNumberLevel3"/>
        <w:rPr>
          <w:noProof/>
        </w:rPr>
      </w:pPr>
      <w:r>
        <w:rPr>
          <w:noProof/>
        </w:rPr>
        <w:sym w:font="Wingdings" w:char="F0A8"/>
      </w:r>
      <w:r>
        <w:rPr>
          <w:noProof/>
        </w:rPr>
        <w:tab/>
        <w:t xml:space="preserve">za lastna sredstva, </w:t>
      </w:r>
    </w:p>
    <w:p w:rsidR="00CA2D7D" w:rsidRDefault="00037412">
      <w:pPr>
        <w:pStyle w:val="ListNumberLevel3"/>
        <w:rPr>
          <w:noProof/>
        </w:rPr>
      </w:pPr>
      <w:r>
        <w:rPr>
          <w:noProof/>
        </w:rPr>
        <w:sym w:font="Wingdings" w:char="F0A8"/>
      </w:r>
      <w:r>
        <w:rPr>
          <w:noProof/>
        </w:rPr>
        <w:tab/>
        <w:t>za druge prihodke.</w:t>
      </w:r>
    </w:p>
    <w:p w:rsidR="00CA2D7D" w:rsidRDefault="00037412">
      <w:pPr>
        <w:rPr>
          <w:noProof/>
        </w:rPr>
      </w:pPr>
      <w:r>
        <w:rPr>
          <w:noProof/>
        </w:rPr>
        <w:t xml:space="preserve">navedite, ali so prihodki dodeljeni za odhodkovne vrstice </w:t>
      </w:r>
      <w:r>
        <w:rPr>
          <w:noProof/>
        </w:rPr>
        <w:sym w:font="Wingdings" w:char="F0A8"/>
      </w:r>
      <w:r>
        <w:rPr>
          <w:noProof/>
        </w:rPr>
        <w:tab/>
      </w:r>
    </w:p>
    <w:p w:rsidR="00CA2D7D" w:rsidRDefault="00037412">
      <w:pPr>
        <w:jc w:val="right"/>
        <w:rPr>
          <w:i/>
          <w:noProof/>
          <w:sz w:val="20"/>
        </w:rPr>
      </w:pPr>
      <w:r>
        <w:rPr>
          <w:noProof/>
        </w:rPr>
        <w:t>v mio. EUR (na tri decimalna mesta natančno)</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CA2D7D">
        <w:trPr>
          <w:trHeight w:val="388"/>
          <w:jc w:val="center"/>
        </w:trPr>
        <w:tc>
          <w:tcPr>
            <w:tcW w:w="2144" w:type="dxa"/>
            <w:vMerge w:val="restart"/>
            <w:vAlign w:val="center"/>
          </w:tcPr>
          <w:p w:rsidR="00CA2D7D" w:rsidRDefault="00037412">
            <w:pPr>
              <w:spacing w:before="40" w:after="40"/>
              <w:rPr>
                <w:noProof/>
                <w:sz w:val="18"/>
              </w:rPr>
            </w:pPr>
            <w:r>
              <w:rPr>
                <w:noProof/>
                <w:sz w:val="18"/>
              </w:rPr>
              <w:t>Prihodkovna proračunska vrstica</w:t>
            </w:r>
          </w:p>
        </w:tc>
        <w:tc>
          <w:tcPr>
            <w:tcW w:w="7200" w:type="dxa"/>
            <w:gridSpan w:val="7"/>
            <w:vAlign w:val="center"/>
          </w:tcPr>
          <w:p w:rsidR="00CA2D7D" w:rsidRDefault="00037412">
            <w:pPr>
              <w:jc w:val="center"/>
              <w:rPr>
                <w:noProof/>
                <w:sz w:val="18"/>
              </w:rPr>
            </w:pPr>
            <w:r>
              <w:rPr>
                <w:noProof/>
                <w:sz w:val="18"/>
              </w:rPr>
              <w:t>Posledice predloga/pobude</w:t>
            </w:r>
          </w:p>
        </w:tc>
      </w:tr>
      <w:tr w:rsidR="00CA2D7D">
        <w:trPr>
          <w:trHeight w:val="388"/>
          <w:jc w:val="center"/>
        </w:trPr>
        <w:tc>
          <w:tcPr>
            <w:tcW w:w="2144" w:type="dxa"/>
            <w:vMerge/>
          </w:tcPr>
          <w:p w:rsidR="00CA2D7D" w:rsidRDefault="00CA2D7D">
            <w:pPr>
              <w:spacing w:before="40" w:after="40"/>
              <w:rPr>
                <w:noProof/>
                <w:sz w:val="18"/>
              </w:rPr>
            </w:pPr>
          </w:p>
        </w:tc>
        <w:tc>
          <w:tcPr>
            <w:tcW w:w="1080" w:type="dxa"/>
            <w:vAlign w:val="center"/>
          </w:tcPr>
          <w:p w:rsidR="00CA2D7D" w:rsidRDefault="00037412">
            <w:pPr>
              <w:jc w:val="center"/>
              <w:rPr>
                <w:noProof/>
                <w:sz w:val="18"/>
              </w:rPr>
            </w:pPr>
            <w:r>
              <w:rPr>
                <w:b/>
                <w:noProof/>
                <w:sz w:val="20"/>
              </w:rPr>
              <w:t>2021</w:t>
            </w:r>
          </w:p>
        </w:tc>
        <w:tc>
          <w:tcPr>
            <w:tcW w:w="900" w:type="dxa"/>
            <w:vAlign w:val="center"/>
          </w:tcPr>
          <w:p w:rsidR="00CA2D7D" w:rsidRDefault="00037412">
            <w:pPr>
              <w:jc w:val="center"/>
              <w:rPr>
                <w:b/>
                <w:noProof/>
                <w:sz w:val="20"/>
              </w:rPr>
            </w:pPr>
            <w:r>
              <w:rPr>
                <w:b/>
                <w:noProof/>
                <w:sz w:val="20"/>
              </w:rPr>
              <w:t>2022</w:t>
            </w:r>
          </w:p>
        </w:tc>
        <w:tc>
          <w:tcPr>
            <w:tcW w:w="900" w:type="dxa"/>
            <w:vAlign w:val="center"/>
          </w:tcPr>
          <w:p w:rsidR="00CA2D7D" w:rsidRDefault="00037412">
            <w:pPr>
              <w:jc w:val="center"/>
              <w:rPr>
                <w:b/>
                <w:noProof/>
                <w:sz w:val="20"/>
              </w:rPr>
            </w:pPr>
            <w:r>
              <w:rPr>
                <w:b/>
                <w:noProof/>
                <w:sz w:val="20"/>
              </w:rPr>
              <w:t>2023</w:t>
            </w:r>
          </w:p>
        </w:tc>
        <w:tc>
          <w:tcPr>
            <w:tcW w:w="1080" w:type="dxa"/>
            <w:vAlign w:val="center"/>
          </w:tcPr>
          <w:p w:rsidR="00CA2D7D" w:rsidRDefault="00037412">
            <w:pPr>
              <w:jc w:val="center"/>
              <w:rPr>
                <w:b/>
                <w:noProof/>
                <w:sz w:val="20"/>
              </w:rPr>
            </w:pPr>
            <w:r>
              <w:rPr>
                <w:b/>
                <w:noProof/>
                <w:sz w:val="20"/>
              </w:rPr>
              <w:t>2024</w:t>
            </w:r>
          </w:p>
        </w:tc>
        <w:tc>
          <w:tcPr>
            <w:tcW w:w="1080" w:type="dxa"/>
            <w:vAlign w:val="center"/>
          </w:tcPr>
          <w:p w:rsidR="00CA2D7D" w:rsidRDefault="00037412">
            <w:pPr>
              <w:jc w:val="center"/>
              <w:rPr>
                <w:b/>
                <w:noProof/>
                <w:sz w:val="20"/>
              </w:rPr>
            </w:pPr>
            <w:r>
              <w:rPr>
                <w:b/>
                <w:noProof/>
                <w:sz w:val="20"/>
              </w:rPr>
              <w:t>2025</w:t>
            </w:r>
          </w:p>
        </w:tc>
        <w:tc>
          <w:tcPr>
            <w:tcW w:w="1080" w:type="dxa"/>
            <w:vAlign w:val="center"/>
          </w:tcPr>
          <w:p w:rsidR="00CA2D7D" w:rsidRDefault="00037412">
            <w:pPr>
              <w:jc w:val="center"/>
              <w:rPr>
                <w:b/>
                <w:noProof/>
                <w:sz w:val="20"/>
              </w:rPr>
            </w:pPr>
            <w:r>
              <w:rPr>
                <w:b/>
                <w:noProof/>
                <w:sz w:val="20"/>
              </w:rPr>
              <w:t>2026</w:t>
            </w:r>
          </w:p>
        </w:tc>
        <w:tc>
          <w:tcPr>
            <w:tcW w:w="1080" w:type="dxa"/>
            <w:vAlign w:val="center"/>
          </w:tcPr>
          <w:p w:rsidR="00CA2D7D" w:rsidRDefault="00037412">
            <w:pPr>
              <w:jc w:val="center"/>
              <w:rPr>
                <w:b/>
                <w:noProof/>
                <w:sz w:val="20"/>
              </w:rPr>
            </w:pPr>
            <w:r>
              <w:rPr>
                <w:b/>
                <w:noProof/>
                <w:sz w:val="20"/>
              </w:rPr>
              <w:t>2027</w:t>
            </w:r>
          </w:p>
        </w:tc>
      </w:tr>
      <w:tr w:rsidR="00CA2D7D">
        <w:trPr>
          <w:trHeight w:val="388"/>
          <w:jc w:val="center"/>
        </w:trPr>
        <w:tc>
          <w:tcPr>
            <w:tcW w:w="2144" w:type="dxa"/>
            <w:vAlign w:val="center"/>
          </w:tcPr>
          <w:p w:rsidR="00CA2D7D" w:rsidRDefault="00037412">
            <w:pPr>
              <w:spacing w:before="40" w:after="40"/>
              <w:rPr>
                <w:noProof/>
                <w:sz w:val="18"/>
              </w:rPr>
            </w:pPr>
            <w:r>
              <w:rPr>
                <w:noProof/>
                <w:sz w:val="18"/>
              </w:rPr>
              <w:t>Člen ………….</w:t>
            </w:r>
          </w:p>
        </w:tc>
        <w:tc>
          <w:tcPr>
            <w:tcW w:w="1080" w:type="dxa"/>
          </w:tcPr>
          <w:p w:rsidR="00CA2D7D" w:rsidRDefault="00CA2D7D">
            <w:pPr>
              <w:spacing w:beforeLines="40" w:before="96" w:afterLines="40" w:after="96"/>
              <w:jc w:val="center"/>
              <w:rPr>
                <w:noProof/>
                <w:sz w:val="18"/>
              </w:rPr>
            </w:pPr>
          </w:p>
        </w:tc>
        <w:tc>
          <w:tcPr>
            <w:tcW w:w="900" w:type="dxa"/>
          </w:tcPr>
          <w:p w:rsidR="00CA2D7D" w:rsidRDefault="00CA2D7D">
            <w:pPr>
              <w:spacing w:beforeLines="40" w:before="96" w:afterLines="40" w:after="96"/>
              <w:jc w:val="center"/>
              <w:rPr>
                <w:noProof/>
                <w:sz w:val="18"/>
              </w:rPr>
            </w:pPr>
          </w:p>
        </w:tc>
        <w:tc>
          <w:tcPr>
            <w:tcW w:w="900" w:type="dxa"/>
          </w:tcPr>
          <w:p w:rsidR="00CA2D7D" w:rsidRDefault="00CA2D7D">
            <w:pPr>
              <w:spacing w:beforeLines="40" w:before="96" w:afterLines="40" w:after="96"/>
              <w:jc w:val="center"/>
              <w:rPr>
                <w:noProof/>
                <w:sz w:val="18"/>
              </w:rPr>
            </w:pPr>
          </w:p>
        </w:tc>
        <w:tc>
          <w:tcPr>
            <w:tcW w:w="1080" w:type="dxa"/>
          </w:tcPr>
          <w:p w:rsidR="00CA2D7D" w:rsidRDefault="00CA2D7D">
            <w:pPr>
              <w:spacing w:beforeLines="40" w:before="96" w:afterLines="40" w:after="96"/>
              <w:jc w:val="center"/>
              <w:rPr>
                <w:noProof/>
                <w:sz w:val="18"/>
              </w:rPr>
            </w:pPr>
          </w:p>
        </w:tc>
        <w:tc>
          <w:tcPr>
            <w:tcW w:w="1080" w:type="dxa"/>
          </w:tcPr>
          <w:p w:rsidR="00CA2D7D" w:rsidRDefault="00CA2D7D">
            <w:pPr>
              <w:spacing w:beforeLines="40" w:before="96" w:afterLines="40" w:after="96"/>
              <w:jc w:val="center"/>
              <w:rPr>
                <w:noProof/>
                <w:sz w:val="18"/>
              </w:rPr>
            </w:pPr>
          </w:p>
        </w:tc>
        <w:tc>
          <w:tcPr>
            <w:tcW w:w="1080" w:type="dxa"/>
          </w:tcPr>
          <w:p w:rsidR="00CA2D7D" w:rsidRDefault="00CA2D7D">
            <w:pPr>
              <w:spacing w:beforeLines="40" w:before="96" w:afterLines="40" w:after="96"/>
              <w:jc w:val="center"/>
              <w:rPr>
                <w:noProof/>
                <w:sz w:val="18"/>
              </w:rPr>
            </w:pPr>
          </w:p>
        </w:tc>
        <w:tc>
          <w:tcPr>
            <w:tcW w:w="1080" w:type="dxa"/>
          </w:tcPr>
          <w:p w:rsidR="00CA2D7D" w:rsidRDefault="00CA2D7D">
            <w:pPr>
              <w:spacing w:beforeLines="40" w:before="96" w:afterLines="40" w:after="96"/>
              <w:jc w:val="center"/>
              <w:rPr>
                <w:noProof/>
                <w:sz w:val="18"/>
              </w:rPr>
            </w:pPr>
          </w:p>
        </w:tc>
      </w:tr>
    </w:tbl>
    <w:p w:rsidR="00CA2D7D" w:rsidRDefault="00037412">
      <w:pPr>
        <w:pStyle w:val="Text1"/>
        <w:rPr>
          <w:noProof/>
          <w:sz w:val="20"/>
        </w:rPr>
      </w:pPr>
      <w:r>
        <w:rPr>
          <w:noProof/>
          <w:sz w:val="20"/>
        </w:rPr>
        <w:t>Za namenske prejemke navedite zadevne odhodkovne proračunske vrstice.</w:t>
      </w:r>
    </w:p>
    <w:p w:rsidR="00CA2D7D" w:rsidRDefault="00CA2D7D">
      <w:pPr>
        <w:pStyle w:val="Text1"/>
        <w:rPr>
          <w:noProof/>
        </w:rPr>
      </w:pPr>
    </w:p>
    <w:p w:rsidR="00CA2D7D" w:rsidRDefault="00037412">
      <w:pPr>
        <w:pStyle w:val="Text1"/>
        <w:rPr>
          <w:rStyle w:val="CommentReference"/>
          <w:noProof/>
        </w:rPr>
      </w:pPr>
      <w:r>
        <w:rPr>
          <w:noProof/>
          <w:sz w:val="20"/>
        </w:rPr>
        <w:t>Druge opombe (npr. metoda/formula za izračun posledic za prihodke ali druge informacije).</w:t>
      </w:r>
      <w:r>
        <w:rPr>
          <w:noProof/>
        </w:rPr>
        <w:t xml:space="preserve"> </w:t>
      </w:r>
    </w:p>
    <w:sectPr w:rsidR="00CA2D7D">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D7D" w:rsidRDefault="00037412">
      <w:pPr>
        <w:spacing w:before="0" w:after="0"/>
      </w:pPr>
      <w:r>
        <w:separator/>
      </w:r>
    </w:p>
  </w:endnote>
  <w:endnote w:type="continuationSeparator" w:id="0">
    <w:p w:rsidR="00CA2D7D" w:rsidRDefault="00037412">
      <w:pPr>
        <w:spacing w:before="0" w:after="0"/>
      </w:pPr>
      <w:r>
        <w:continuationSeparator/>
      </w:r>
    </w:p>
  </w:endnote>
  <w:endnote w:type="continuationNotice" w:id="1">
    <w:p w:rsidR="00CA2D7D" w:rsidRDefault="00CA2D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2" w:rsidRPr="00037412" w:rsidRDefault="00037412" w:rsidP="0003741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7D" w:rsidRDefault="00CA2D7D">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7D" w:rsidRDefault="00037412">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CE278B">
      <w:rPr>
        <w:noProof/>
      </w:rPr>
      <w:t>10</w:t>
    </w:r>
    <w:r>
      <w:fldChar w:fldCharType="end"/>
    </w:r>
    <w:r>
      <w:tab/>
    </w:r>
    <w:r>
      <w:tab/>
    </w:r>
    <w:r>
      <w:rPr>
        <w:rFonts w:ascii="Arial" w:hAnsi="Arial" w:cs="Arial"/>
        <w:b/>
        <w:sz w:val="48"/>
      </w:rPr>
      <w:t>SL</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7D" w:rsidRDefault="00CA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37412" w:rsidRPr="00D94637" w:rsidTr="00037412">
      <w:trPr>
        <w:jc w:val="center"/>
      </w:trPr>
      <w:tc>
        <w:tcPr>
          <w:tcW w:w="5000" w:type="pct"/>
          <w:gridSpan w:val="7"/>
          <w:shd w:val="clear" w:color="auto" w:fill="auto"/>
          <w:tcMar>
            <w:top w:w="57" w:type="dxa"/>
          </w:tcMar>
        </w:tcPr>
        <w:p w:rsidR="00037412" w:rsidRPr="00D94637" w:rsidRDefault="00037412" w:rsidP="00D94637">
          <w:pPr>
            <w:pStyle w:val="FooterText"/>
            <w:pBdr>
              <w:top w:val="single" w:sz="4" w:space="1" w:color="auto"/>
            </w:pBdr>
            <w:spacing w:before="200"/>
            <w:rPr>
              <w:sz w:val="2"/>
              <w:szCs w:val="2"/>
            </w:rPr>
          </w:pPr>
          <w:bookmarkStart w:id="1" w:name="FOOTER_STANDARD"/>
        </w:p>
      </w:tc>
    </w:tr>
    <w:tr w:rsidR="00037412" w:rsidRPr="00B310DC" w:rsidTr="00037412">
      <w:trPr>
        <w:jc w:val="center"/>
      </w:trPr>
      <w:tc>
        <w:tcPr>
          <w:tcW w:w="2500" w:type="pct"/>
          <w:gridSpan w:val="2"/>
          <w:shd w:val="clear" w:color="auto" w:fill="auto"/>
          <w:tcMar>
            <w:top w:w="0" w:type="dxa"/>
          </w:tcMar>
        </w:tcPr>
        <w:p w:rsidR="00037412" w:rsidRPr="00AD7BF2" w:rsidRDefault="00037412" w:rsidP="004F54B2">
          <w:pPr>
            <w:pStyle w:val="FooterText"/>
          </w:pPr>
          <w:r>
            <w:t>8292/20</w:t>
          </w:r>
          <w:r w:rsidRPr="002511D8">
            <w:t xml:space="preserve"> </w:t>
          </w:r>
        </w:p>
      </w:tc>
      <w:tc>
        <w:tcPr>
          <w:tcW w:w="625" w:type="pct"/>
          <w:shd w:val="clear" w:color="auto" w:fill="auto"/>
          <w:tcMar>
            <w:top w:w="0" w:type="dxa"/>
          </w:tcMar>
        </w:tcPr>
        <w:p w:rsidR="00037412" w:rsidRPr="00AD7BF2" w:rsidRDefault="00037412" w:rsidP="00D94637">
          <w:pPr>
            <w:pStyle w:val="FooterText"/>
            <w:jc w:val="center"/>
          </w:pPr>
        </w:p>
      </w:tc>
      <w:tc>
        <w:tcPr>
          <w:tcW w:w="1286" w:type="pct"/>
          <w:gridSpan w:val="3"/>
          <w:shd w:val="clear" w:color="auto" w:fill="auto"/>
          <w:tcMar>
            <w:top w:w="0" w:type="dxa"/>
          </w:tcMar>
        </w:tcPr>
        <w:p w:rsidR="00037412" w:rsidRPr="002511D8" w:rsidRDefault="00037412" w:rsidP="00D94637">
          <w:pPr>
            <w:pStyle w:val="FooterText"/>
            <w:jc w:val="center"/>
          </w:pPr>
          <w:r>
            <w:t>fh</w:t>
          </w:r>
        </w:p>
      </w:tc>
      <w:tc>
        <w:tcPr>
          <w:tcW w:w="589" w:type="pct"/>
          <w:shd w:val="clear" w:color="auto" w:fill="auto"/>
          <w:tcMar>
            <w:top w:w="0" w:type="dxa"/>
          </w:tcMar>
        </w:tcPr>
        <w:p w:rsidR="00037412" w:rsidRPr="00B310DC" w:rsidRDefault="00037412" w:rsidP="00037412">
          <w:pPr>
            <w:pStyle w:val="FooterText"/>
            <w:jc w:val="right"/>
          </w:pPr>
          <w:r>
            <w:fldChar w:fldCharType="begin"/>
          </w:r>
          <w:r>
            <w:instrText xml:space="preserve"> PAGE  \* MERGEFORMAT </w:instrText>
          </w:r>
          <w:r>
            <w:fldChar w:fldCharType="separate"/>
          </w:r>
          <w:r w:rsidR="00913D2E">
            <w:rPr>
              <w:noProof/>
            </w:rPr>
            <w:t>0</w:t>
          </w:r>
          <w:r>
            <w:fldChar w:fldCharType="end"/>
          </w:r>
        </w:p>
      </w:tc>
    </w:tr>
    <w:tr w:rsidR="00037412" w:rsidRPr="00D94637" w:rsidTr="00037412">
      <w:trPr>
        <w:jc w:val="center"/>
      </w:trPr>
      <w:tc>
        <w:tcPr>
          <w:tcW w:w="1774" w:type="pct"/>
          <w:shd w:val="clear" w:color="auto" w:fill="auto"/>
        </w:tcPr>
        <w:p w:rsidR="00037412" w:rsidRPr="00AD7BF2" w:rsidRDefault="00037412" w:rsidP="00D94637">
          <w:pPr>
            <w:pStyle w:val="FooterText"/>
            <w:spacing w:before="40"/>
          </w:pPr>
        </w:p>
      </w:tc>
      <w:tc>
        <w:tcPr>
          <w:tcW w:w="1455" w:type="pct"/>
          <w:gridSpan w:val="3"/>
          <w:shd w:val="clear" w:color="auto" w:fill="auto"/>
        </w:tcPr>
        <w:p w:rsidR="00037412" w:rsidRPr="00AD7BF2" w:rsidRDefault="00037412" w:rsidP="00D204D6">
          <w:pPr>
            <w:pStyle w:val="FooterText"/>
            <w:spacing w:before="40"/>
            <w:jc w:val="center"/>
          </w:pPr>
          <w:r>
            <w:t>RELEX.2.C</w:t>
          </w:r>
        </w:p>
      </w:tc>
      <w:tc>
        <w:tcPr>
          <w:tcW w:w="742" w:type="pct"/>
          <w:shd w:val="clear" w:color="auto" w:fill="auto"/>
        </w:tcPr>
        <w:p w:rsidR="00037412" w:rsidRPr="00D94637" w:rsidRDefault="00037412" w:rsidP="002F0099">
          <w:pPr>
            <w:pStyle w:val="FooterText"/>
            <w:jc w:val="center"/>
            <w:rPr>
              <w:b/>
              <w:position w:val="-4"/>
              <w:sz w:val="36"/>
            </w:rPr>
          </w:pPr>
        </w:p>
      </w:tc>
      <w:tc>
        <w:tcPr>
          <w:tcW w:w="1029" w:type="pct"/>
          <w:gridSpan w:val="2"/>
          <w:shd w:val="clear" w:color="auto" w:fill="auto"/>
        </w:tcPr>
        <w:p w:rsidR="00037412" w:rsidRPr="000310C2" w:rsidRDefault="00037412" w:rsidP="00D94637">
          <w:pPr>
            <w:pStyle w:val="FooterText"/>
            <w:jc w:val="right"/>
            <w:rPr>
              <w:spacing w:val="-20"/>
              <w:sz w:val="16"/>
            </w:rPr>
          </w:pPr>
          <w:r>
            <w:rPr>
              <w:b/>
              <w:spacing w:val="-20"/>
              <w:position w:val="-4"/>
              <w:sz w:val="36"/>
            </w:rPr>
            <w:t>SL</w:t>
          </w:r>
        </w:p>
      </w:tc>
    </w:tr>
    <w:bookmarkEnd w:id="1"/>
  </w:tbl>
  <w:p w:rsidR="00CA2D7D" w:rsidRPr="00037412" w:rsidRDefault="00CA2D7D" w:rsidP="00037412">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37412" w:rsidRPr="00D94637" w:rsidTr="00037412">
      <w:trPr>
        <w:jc w:val="center"/>
      </w:trPr>
      <w:tc>
        <w:tcPr>
          <w:tcW w:w="5000" w:type="pct"/>
          <w:gridSpan w:val="7"/>
          <w:shd w:val="clear" w:color="auto" w:fill="auto"/>
          <w:tcMar>
            <w:top w:w="57" w:type="dxa"/>
          </w:tcMar>
        </w:tcPr>
        <w:p w:rsidR="00037412" w:rsidRPr="00D94637" w:rsidRDefault="00037412" w:rsidP="00D94637">
          <w:pPr>
            <w:pStyle w:val="FooterText"/>
            <w:pBdr>
              <w:top w:val="single" w:sz="4" w:space="1" w:color="auto"/>
            </w:pBdr>
            <w:spacing w:before="200"/>
            <w:rPr>
              <w:sz w:val="2"/>
              <w:szCs w:val="2"/>
            </w:rPr>
          </w:pPr>
        </w:p>
      </w:tc>
    </w:tr>
    <w:tr w:rsidR="00037412" w:rsidRPr="00B310DC" w:rsidTr="00037412">
      <w:trPr>
        <w:jc w:val="center"/>
      </w:trPr>
      <w:tc>
        <w:tcPr>
          <w:tcW w:w="2500" w:type="pct"/>
          <w:gridSpan w:val="2"/>
          <w:shd w:val="clear" w:color="auto" w:fill="auto"/>
          <w:tcMar>
            <w:top w:w="0" w:type="dxa"/>
          </w:tcMar>
        </w:tcPr>
        <w:p w:rsidR="00037412" w:rsidRPr="00AD7BF2" w:rsidRDefault="00037412" w:rsidP="004F54B2">
          <w:pPr>
            <w:pStyle w:val="FooterText"/>
          </w:pPr>
          <w:r>
            <w:t>8292/20</w:t>
          </w:r>
          <w:r w:rsidRPr="002511D8">
            <w:t xml:space="preserve"> </w:t>
          </w:r>
        </w:p>
      </w:tc>
      <w:tc>
        <w:tcPr>
          <w:tcW w:w="625" w:type="pct"/>
          <w:shd w:val="clear" w:color="auto" w:fill="auto"/>
          <w:tcMar>
            <w:top w:w="0" w:type="dxa"/>
          </w:tcMar>
        </w:tcPr>
        <w:p w:rsidR="00037412" w:rsidRPr="00AD7BF2" w:rsidRDefault="00037412" w:rsidP="00D94637">
          <w:pPr>
            <w:pStyle w:val="FooterText"/>
            <w:jc w:val="center"/>
          </w:pPr>
        </w:p>
      </w:tc>
      <w:tc>
        <w:tcPr>
          <w:tcW w:w="1286" w:type="pct"/>
          <w:gridSpan w:val="3"/>
          <w:shd w:val="clear" w:color="auto" w:fill="auto"/>
          <w:tcMar>
            <w:top w:w="0" w:type="dxa"/>
          </w:tcMar>
        </w:tcPr>
        <w:p w:rsidR="00037412" w:rsidRPr="002511D8" w:rsidRDefault="00037412" w:rsidP="00D94637">
          <w:pPr>
            <w:pStyle w:val="FooterText"/>
            <w:jc w:val="center"/>
          </w:pPr>
          <w:r>
            <w:t>fh</w:t>
          </w:r>
        </w:p>
      </w:tc>
      <w:tc>
        <w:tcPr>
          <w:tcW w:w="589" w:type="pct"/>
          <w:shd w:val="clear" w:color="auto" w:fill="auto"/>
          <w:tcMar>
            <w:top w:w="0" w:type="dxa"/>
          </w:tcMar>
        </w:tcPr>
        <w:p w:rsidR="00037412" w:rsidRPr="00B310DC" w:rsidRDefault="00037412" w:rsidP="00D94637">
          <w:pPr>
            <w:pStyle w:val="FooterText"/>
            <w:jc w:val="right"/>
          </w:pPr>
        </w:p>
      </w:tc>
    </w:tr>
    <w:tr w:rsidR="00037412" w:rsidRPr="00D94637" w:rsidTr="00037412">
      <w:trPr>
        <w:jc w:val="center"/>
      </w:trPr>
      <w:tc>
        <w:tcPr>
          <w:tcW w:w="1774" w:type="pct"/>
          <w:shd w:val="clear" w:color="auto" w:fill="auto"/>
        </w:tcPr>
        <w:p w:rsidR="00037412" w:rsidRPr="00AD7BF2" w:rsidRDefault="00037412" w:rsidP="00D94637">
          <w:pPr>
            <w:pStyle w:val="FooterText"/>
            <w:spacing w:before="40"/>
          </w:pPr>
        </w:p>
      </w:tc>
      <w:tc>
        <w:tcPr>
          <w:tcW w:w="1455" w:type="pct"/>
          <w:gridSpan w:val="3"/>
          <w:shd w:val="clear" w:color="auto" w:fill="auto"/>
        </w:tcPr>
        <w:p w:rsidR="00037412" w:rsidRPr="00AD7BF2" w:rsidRDefault="00037412" w:rsidP="00D204D6">
          <w:pPr>
            <w:pStyle w:val="FooterText"/>
            <w:spacing w:before="40"/>
            <w:jc w:val="center"/>
          </w:pPr>
          <w:r>
            <w:t>RELEX.2.C</w:t>
          </w:r>
        </w:p>
      </w:tc>
      <w:tc>
        <w:tcPr>
          <w:tcW w:w="742" w:type="pct"/>
          <w:shd w:val="clear" w:color="auto" w:fill="auto"/>
        </w:tcPr>
        <w:p w:rsidR="00037412" w:rsidRPr="00D94637" w:rsidRDefault="00037412" w:rsidP="002F0099">
          <w:pPr>
            <w:pStyle w:val="FooterText"/>
            <w:jc w:val="center"/>
            <w:rPr>
              <w:b/>
              <w:position w:val="-4"/>
              <w:sz w:val="36"/>
            </w:rPr>
          </w:pPr>
        </w:p>
      </w:tc>
      <w:tc>
        <w:tcPr>
          <w:tcW w:w="1029" w:type="pct"/>
          <w:gridSpan w:val="2"/>
          <w:shd w:val="clear" w:color="auto" w:fill="auto"/>
        </w:tcPr>
        <w:p w:rsidR="00037412" w:rsidRPr="000310C2" w:rsidRDefault="00037412" w:rsidP="00D94637">
          <w:pPr>
            <w:pStyle w:val="FooterText"/>
            <w:jc w:val="right"/>
            <w:rPr>
              <w:spacing w:val="-20"/>
              <w:sz w:val="16"/>
            </w:rPr>
          </w:pPr>
          <w:r>
            <w:rPr>
              <w:b/>
              <w:spacing w:val="-20"/>
              <w:position w:val="-4"/>
              <w:sz w:val="36"/>
            </w:rPr>
            <w:t>SL</w:t>
          </w:r>
        </w:p>
      </w:tc>
    </w:tr>
  </w:tbl>
  <w:p w:rsidR="00037412" w:rsidRPr="00037412" w:rsidRDefault="00037412" w:rsidP="00037412">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2" w:rsidRDefault="000374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2" w:rsidRDefault="00037412">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2" w:rsidRDefault="000374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7D" w:rsidRDefault="00037412">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CE278B">
      <w:rPr>
        <w:noProof/>
      </w:rPr>
      <w:t>6</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7D" w:rsidRDefault="00CA2D7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7D" w:rsidRDefault="00037412">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CE278B">
      <w:rPr>
        <w:noProof/>
      </w:rPr>
      <w:t>8</w:t>
    </w:r>
    <w:r>
      <w:fldChar w:fldCharType="end"/>
    </w:r>
    <w:r>
      <w:tab/>
    </w:r>
    <w:r>
      <w:tab/>
    </w:r>
    <w:r>
      <w:rPr>
        <w:rFonts w:ascii="Arial" w:hAnsi="Arial" w:cs="Arial"/>
        <w:b/>
        <w:sz w:val="48"/>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D7D" w:rsidRDefault="00037412">
      <w:pPr>
        <w:spacing w:before="0" w:after="0"/>
      </w:pPr>
      <w:r>
        <w:separator/>
      </w:r>
    </w:p>
  </w:footnote>
  <w:footnote w:type="continuationSeparator" w:id="0">
    <w:p w:rsidR="00CA2D7D" w:rsidRDefault="00037412">
      <w:pPr>
        <w:spacing w:before="0" w:after="0"/>
      </w:pPr>
      <w:r>
        <w:continuationSeparator/>
      </w:r>
    </w:p>
  </w:footnote>
  <w:footnote w:type="continuationNotice" w:id="1">
    <w:p w:rsidR="00CA2D7D" w:rsidRDefault="00CA2D7D">
      <w:pPr>
        <w:spacing w:before="0" w:after="0"/>
      </w:pPr>
    </w:p>
  </w:footnote>
  <w:footnote w:id="2">
    <w:p w:rsidR="00CA2D7D" w:rsidRDefault="00037412">
      <w:pPr>
        <w:pStyle w:val="FootnoteText"/>
      </w:pPr>
      <w:r>
        <w:rPr>
          <w:rStyle w:val="FootnoteReference"/>
        </w:rPr>
        <w:footnoteRef/>
      </w:r>
      <w:r>
        <w:tab/>
        <w:t>https://ec.europa.eu/commission/sites/beta-political/files/budget-may2018-neighbourhood-world-swd_en.pdf</w:t>
      </w:r>
    </w:p>
  </w:footnote>
  <w:footnote w:id="3">
    <w:p w:rsidR="00CA2D7D" w:rsidRDefault="00037412">
      <w:pPr>
        <w:pStyle w:val="FootnoteText"/>
      </w:pPr>
      <w:r>
        <w:rPr>
          <w:rStyle w:val="FootnoteReference"/>
        </w:rPr>
        <w:footnoteRef/>
      </w:r>
      <w:r>
        <w:tab/>
        <w:t>https://ec.europa.eu/echo/partnerships/consultations/consultations_en</w:t>
      </w:r>
    </w:p>
  </w:footnote>
  <w:footnote w:id="4">
    <w:p w:rsidR="00CA2D7D" w:rsidRDefault="00037412">
      <w:pPr>
        <w:pStyle w:val="FootnoteText"/>
      </w:pPr>
      <w:r>
        <w:rPr>
          <w:rStyle w:val="FootnoteReference"/>
        </w:rPr>
        <w:footnoteRef/>
      </w:r>
      <w:r>
        <w:tab/>
        <w:t>https://ec.europa.eu/echo/funding-evaluations/evaluations_en</w:t>
      </w:r>
    </w:p>
  </w:footnote>
  <w:footnote w:id="5">
    <w:p w:rsidR="00CA2D7D" w:rsidRDefault="00037412">
      <w:pPr>
        <w:pStyle w:val="FootnoteText"/>
        <w:rPr>
          <w:szCs w:val="24"/>
        </w:rPr>
      </w:pPr>
      <w:r>
        <w:rPr>
          <w:rStyle w:val="FootnoteReference"/>
        </w:rPr>
        <w:footnoteRef/>
      </w:r>
      <w:r>
        <w:tab/>
        <w:t>Po členu 58(2)(a) oz. (b) finančne uredbe.</w:t>
      </w:r>
    </w:p>
  </w:footnote>
  <w:footnote w:id="6">
    <w:p w:rsidR="00CA2D7D" w:rsidRDefault="00037412">
      <w:pPr>
        <w:pStyle w:val="FootnoteText"/>
        <w:jc w:val="left"/>
        <w:rPr>
          <w:szCs w:val="24"/>
        </w:rPr>
      </w:pPr>
      <w:r>
        <w:rPr>
          <w:rStyle w:val="FootnoteReference"/>
        </w:rPr>
        <w:footnoteRef/>
      </w:r>
      <w:r>
        <w:tab/>
        <w:t xml:space="preserve">Pojasnila o načinih upravljanja in sklici na finančno uredbo so na voljo na spletišču BudgWeb: </w:t>
      </w:r>
      <w:hyperlink r:id="rId1" w:history="1">
        <w:r>
          <w:rPr>
            <w:rStyle w:val="Hyperlink"/>
          </w:rPr>
          <w:t>https://myintracomm.ec.europa.eu/budgweb/EN/man/budgmanag/Pages/budgmanag.aspx</w:t>
        </w:r>
      </w:hyperlink>
      <w:r>
        <w:t xml:space="preserve"> </w:t>
      </w:r>
    </w:p>
  </w:footnote>
  <w:footnote w:id="7">
    <w:p w:rsidR="00CA2D7D" w:rsidRDefault="00037412">
      <w:pPr>
        <w:pStyle w:val="FootnoteText"/>
        <w:rPr>
          <w:szCs w:val="24"/>
        </w:rPr>
      </w:pPr>
      <w:r>
        <w:rPr>
          <w:rStyle w:val="FootnoteReference"/>
        </w:rPr>
        <w:footnoteRef/>
      </w:r>
      <w:r>
        <w:tab/>
        <w:t>Dif. = diferencirana sredstva / nedif. = nediferencirana sredstva.</w:t>
      </w:r>
    </w:p>
  </w:footnote>
  <w:footnote w:id="8">
    <w:p w:rsidR="00CA2D7D" w:rsidRDefault="00037412">
      <w:pPr>
        <w:pStyle w:val="FootnoteText"/>
        <w:rPr>
          <w:szCs w:val="24"/>
        </w:rPr>
      </w:pPr>
      <w:r>
        <w:rPr>
          <w:rStyle w:val="FootnoteReference"/>
        </w:rPr>
        <w:footnoteRef/>
      </w:r>
      <w:r>
        <w:tab/>
        <w:t xml:space="preserve">Efta: Evropsko združenje za prosto trgovino. </w:t>
      </w:r>
    </w:p>
  </w:footnote>
  <w:footnote w:id="9">
    <w:p w:rsidR="00CA2D7D" w:rsidRDefault="00037412">
      <w:pPr>
        <w:pStyle w:val="FootnoteText"/>
      </w:pPr>
      <w:r>
        <w:rPr>
          <w:rStyle w:val="FootnoteReference"/>
        </w:rPr>
        <w:footnoteRef/>
      </w:r>
      <w:r>
        <w:tab/>
        <w:t>Države kandidatke in po potrebi potencialne kandidatke z Zahodnega Balkana.</w:t>
      </w:r>
    </w:p>
  </w:footnote>
  <w:footnote w:id="10">
    <w:p w:rsidR="00CA2D7D" w:rsidRDefault="00037412">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11">
    <w:p w:rsidR="00CA2D7D" w:rsidRDefault="00037412">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12">
    <w:p w:rsidR="00CA2D7D" w:rsidRDefault="00037412">
      <w:pPr>
        <w:pStyle w:val="FootnoteText"/>
        <w:rPr>
          <w:szCs w:val="24"/>
        </w:rPr>
      </w:pPr>
      <w:r>
        <w:rPr>
          <w:rStyle w:val="FootnoteReference"/>
        </w:rPr>
        <w:footnoteRef/>
      </w:r>
      <w:r>
        <w:tab/>
        <w:t>Dodatna zgornja meja za zunanje sodelavce v okviru odobritev za poslovanje (prej vrstice 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2" w:rsidRPr="00037412" w:rsidRDefault="00037412" w:rsidP="000374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7D" w:rsidRDefault="00CA2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2" w:rsidRPr="00037412" w:rsidRDefault="00037412" w:rsidP="00037412">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2" w:rsidRPr="00037412" w:rsidRDefault="00037412" w:rsidP="00037412">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2" w:rsidRDefault="000374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2" w:rsidRDefault="000374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2" w:rsidRDefault="000374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7D" w:rsidRDefault="00CA2D7D">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7D" w:rsidRDefault="00CA2D7D">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7D" w:rsidRDefault="00CA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 w:numId="34">
    <w:abstractNumId w:val="21"/>
  </w:num>
  <w:num w:numId="35">
    <w:abstractNumId w:val="11"/>
  </w:num>
  <w:num w:numId="36">
    <w:abstractNumId w:val="24"/>
  </w:num>
  <w:num w:numId="37">
    <w:abstractNumId w:val="6"/>
  </w:num>
  <w:num w:numId="38">
    <w:abstractNumId w:val="12"/>
  </w:num>
  <w:num w:numId="39">
    <w:abstractNumId w:val="4"/>
  </w:num>
  <w:num w:numId="40">
    <w:abstractNumId w:val="23"/>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hideGrammaticalErrors/>
  <w:attachedTemplate r:id="rId1"/>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3.12&quot; technicalblockguid=&quot;4959327531912737428&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0-05-29&lt;/text&gt;_x000d__x000a_  &lt;/metadata&gt;_x000d__x000a_  &lt;metadata key=&quot;md_Prefix&quot;&gt;_x000d__x000a_    &lt;text&gt;&lt;/text&gt;_x000d__x000a_  &lt;/metadata&gt;_x000d__x000a_  &lt;metadata key=&quot;md_DocumentNumber&quot;&gt;_x000d__x000a_    &lt;text&gt;8292&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HAFA 21&lt;/text&gt;_x000d__x000a_      &lt;text&gt;RELEX 368&lt;/text&gt;_x000d__x000a_      &lt;text&gt;DEVGEN 54&lt;/text&gt;_x000d__x000a_      &lt;text&gt;FIN 314&lt;/text&gt;_x000d__x000a_      &lt;text&gt;CADREFIN 98&lt;/text&gt;_x000d__x000a_      &lt;text&gt;CODEC 436&lt;/text&gt;_x000d__x000a_      &lt;text&gt;ACP 39&lt;/text&gt;_x000d__x000a_      &lt;text&gt;PROCIV 3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110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o sekretarko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0-05-2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461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UREDBE EVROPSKEGA PARLAMENTA IN SVETA o spremembi Uredbe (ES) &amp;#353;t. 1257/96 z dne 20. junija 1996 o humanitarni pomo&amp;#269;i&quot;&gt;&amp;lt;FlowDocument FontFamily=&quot;Segoe UI&quot; FontSize=&quot;12&quot; LineHeight=&quot;6&quot; PageWidth=&quot;329&quot; PagePadding=&quot;2,2,2,2&quot; AllowDrop=&quot;False&quot; xmlns=&quot;http://schemas.microsoft.com/winfx/2006/xaml/presentation&quot;&amp;gt;&amp;lt;Paragraph&amp;gt;Predlog UREDB&amp;lt;Run xml:lang=&quot;sl-si&quot;&amp;gt;E&amp;lt;/Run&amp;gt; EVROPSKEGA PARLAMENTA IN SVETA o spremembi Uredbe (ES) &amp;#353;t. 1257/96 z dne 20. junija 1996 o humanitarni pomo&amp;#269;i&amp;lt;/Paragraph&amp;gt;&amp;lt;/FlowDocument&amp;gt;&lt;/xaml&gt;_x000d__x000a_  &lt;/metadata&gt;_x000d__x000a_  &lt;metadata key=&quot;md_SubjectFootnote&quot; /&gt;_x000d__x000a_  &lt;metadata key=&quot;md_DG&quot;&gt;_x000d__x000a_    &lt;text&gt;RELEX.2.C&lt;/text&gt;_x000d__x000a_  &lt;/metadata&gt;_x000d__x000a_  &lt;metadata key=&quot;md_Initials&quot;&gt;_x000d__x000a_    &lt;text&gt;f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UREDBA EVROPSKEGA PARLAMENTA IN SVETA&lt;/text&gt;_x000d__x000a_  &lt;/metadata&gt;_x000d__x000a_  &lt;metadata key=&quot;md_SourceDocTitle&quot;&gt;_x000d__x000a_    &lt;text&gt;o spremembi Uredbe (ES) &amp;#353;t. 1257/96 z dne 20. junija 1996 o humanitarni pomo&amp;#269;i&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06-02 14:47: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3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A525082-A1E8-4A63-9E17-5796EEE8DB65"/>
    <w:docVar w:name="LW_COVERPAGE_TYPE" w:val="1"/>
    <w:docVar w:name="LW_CROSSREFERENCE" w:val="&lt;UNUSED&gt;"/>
    <w:docVar w:name="LW_DocType" w:val="COM"/>
    <w:docVar w:name="LW_EMISSION" w:val="29.5.2020"/>
    <w:docVar w:name="LW_EMISSION_ISODATE" w:val="2020-05-29"/>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10"/>
    <w:docVar w:name="LW_REF.II.NEW.CP_YEAR" w:val="2020"/>
    <w:docVar w:name="LW_REF.INST.NEW" w:val="COM"/>
    <w:docVar w:name="LW_REF.INST.NEW_ADOPTED" w:val="final"/>
    <w:docVar w:name="LW_REF.INST.NEW_TEXT" w:val="(2020) 4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Uredbe (ES) \u353?t. 1257/96 z dne 20. junija 1996 o humanitarni pomo\u269?i       "/>
    <w:docVar w:name="LW_TYPE.DOC.CP" w:val="UREDBA EVROPSKEGA PARLAMENTA IN SVETA"/>
  </w:docVars>
  <w:rsids>
    <w:rsidRoot w:val="00CA2D7D"/>
    <w:rsid w:val="00037412"/>
    <w:rsid w:val="00913D2E"/>
    <w:rsid w:val="00CA2D7D"/>
    <w:rsid w:val="00CE2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9E908F1-A3EC-4BDE-830D-5FE4186C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l-S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highlight">
    <w:name w:val="highlight"/>
    <w:basedOn w:val="DefaultParagraphFont"/>
  </w:style>
  <w:style w:type="paragraph" w:customStyle="1" w:styleId="Text">
    <w:name w:val="Text"/>
    <w:basedOn w:val="Text1"/>
  </w:style>
  <w:style w:type="paragraph" w:customStyle="1" w:styleId="Hear">
    <w:name w:val="Hear"/>
    <w:basedOn w:val="Heading3"/>
    <w:pPr>
      <w:numPr>
        <w:numId w:val="0"/>
      </w:numPr>
      <w:ind w:left="850"/>
    </w:pPr>
    <w:rPr>
      <w:noProof/>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037412"/>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037412"/>
    <w:pPr>
      <w:spacing w:before="0" w:after="240"/>
      <w:jc w:val="center"/>
    </w:pPr>
  </w:style>
  <w:style w:type="character" w:customStyle="1" w:styleId="TechnicalBlockChar">
    <w:name w:val="Technical Block Char"/>
    <w:basedOn w:val="DefaultParagraphFont"/>
    <w:link w:val="TechnicalBlock"/>
    <w:rsid w:val="00037412"/>
    <w:rPr>
      <w:rFonts w:ascii="Times New Roman" w:hAnsi="Times New Roman" w:cs="Times New Roman"/>
      <w:sz w:val="24"/>
      <w:lang w:val="sl-SI"/>
    </w:rPr>
  </w:style>
  <w:style w:type="paragraph" w:customStyle="1" w:styleId="EntText">
    <w:name w:val="EntText"/>
    <w:basedOn w:val="Normal"/>
    <w:rsid w:val="00037412"/>
    <w:pPr>
      <w:spacing w:line="360" w:lineRule="auto"/>
      <w:jc w:val="left"/>
    </w:pPr>
  </w:style>
  <w:style w:type="paragraph" w:customStyle="1" w:styleId="Lignefinal">
    <w:name w:val="Ligne final"/>
    <w:basedOn w:val="Normal"/>
    <w:next w:val="Normal"/>
    <w:rsid w:val="00037412"/>
    <w:pPr>
      <w:pBdr>
        <w:bottom w:val="single" w:sz="4" w:space="0" w:color="000000"/>
      </w:pBdr>
      <w:spacing w:before="360" w:line="360" w:lineRule="auto"/>
      <w:ind w:left="3400" w:right="3400"/>
      <w:jc w:val="center"/>
    </w:pPr>
    <w:rPr>
      <w:b/>
    </w:rPr>
  </w:style>
  <w:style w:type="paragraph" w:customStyle="1" w:styleId="pj">
    <w:name w:val="p.j."/>
    <w:basedOn w:val="Normal"/>
    <w:link w:val="pjChar"/>
    <w:rsid w:val="00037412"/>
    <w:pPr>
      <w:spacing w:before="1200"/>
      <w:ind w:left="1440" w:hanging="1440"/>
      <w:jc w:val="left"/>
    </w:pPr>
  </w:style>
  <w:style w:type="character" w:customStyle="1" w:styleId="pjChar">
    <w:name w:val="p.j. Char"/>
    <w:basedOn w:val="TechnicalBlockChar"/>
    <w:link w:val="pj"/>
    <w:rsid w:val="00037412"/>
    <w:rPr>
      <w:rFonts w:ascii="Times New Roman" w:hAnsi="Times New Roman" w:cs="Times New Roman"/>
      <w:sz w:val="24"/>
      <w:lang w:val="sl-SI"/>
    </w:rPr>
  </w:style>
  <w:style w:type="paragraph" w:customStyle="1" w:styleId="nbbordered">
    <w:name w:val="nb bordered"/>
    <w:basedOn w:val="Normal"/>
    <w:link w:val="nbborderedChar"/>
    <w:rsid w:val="00037412"/>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037412"/>
    <w:rPr>
      <w:rFonts w:ascii="Times New Roman" w:hAnsi="Times New Roman" w:cs="Times New Roman"/>
      <w:b/>
      <w:sz w:val="24"/>
      <w:lang w:val="sl-SI"/>
    </w:rPr>
  </w:style>
  <w:style w:type="paragraph" w:customStyle="1" w:styleId="HeaderCouncil">
    <w:name w:val="Header Council"/>
    <w:basedOn w:val="Normal"/>
    <w:link w:val="HeaderCouncilChar"/>
    <w:rsid w:val="00037412"/>
    <w:pPr>
      <w:spacing w:before="0" w:after="0"/>
    </w:pPr>
    <w:rPr>
      <w:noProof/>
      <w:sz w:val="2"/>
    </w:rPr>
  </w:style>
  <w:style w:type="character" w:customStyle="1" w:styleId="HeaderCouncilChar">
    <w:name w:val="Header Council Char"/>
    <w:basedOn w:val="DefaultParagraphFont"/>
    <w:link w:val="HeaderCouncil"/>
    <w:rsid w:val="00037412"/>
    <w:rPr>
      <w:rFonts w:ascii="Times New Roman" w:hAnsi="Times New Roman" w:cs="Times New Roman"/>
      <w:noProof/>
      <w:sz w:val="2"/>
      <w:lang w:val="sl-SI"/>
    </w:rPr>
  </w:style>
  <w:style w:type="paragraph" w:customStyle="1" w:styleId="HeaderCouncilLarge">
    <w:name w:val="Header Council Large"/>
    <w:basedOn w:val="Normal"/>
    <w:link w:val="HeaderCouncilLargeChar"/>
    <w:rsid w:val="00037412"/>
    <w:pPr>
      <w:spacing w:before="0" w:after="440"/>
    </w:pPr>
    <w:rPr>
      <w:noProof/>
      <w:sz w:val="2"/>
    </w:rPr>
  </w:style>
  <w:style w:type="character" w:customStyle="1" w:styleId="HeaderCouncilLargeChar">
    <w:name w:val="Header Council Large Char"/>
    <w:basedOn w:val="DefaultParagraphFont"/>
    <w:link w:val="HeaderCouncilLarge"/>
    <w:rsid w:val="00037412"/>
    <w:rPr>
      <w:rFonts w:ascii="Times New Roman" w:hAnsi="Times New Roman" w:cs="Times New Roman"/>
      <w:noProof/>
      <w:sz w:val="2"/>
      <w:lang w:val="sl-SI"/>
    </w:rPr>
  </w:style>
  <w:style w:type="paragraph" w:customStyle="1" w:styleId="FooterCouncil">
    <w:name w:val="Footer Council"/>
    <w:basedOn w:val="Normal"/>
    <w:link w:val="FooterCouncilChar"/>
    <w:rsid w:val="00037412"/>
    <w:pPr>
      <w:spacing w:before="0" w:after="0"/>
    </w:pPr>
    <w:rPr>
      <w:noProof/>
      <w:sz w:val="2"/>
    </w:rPr>
  </w:style>
  <w:style w:type="character" w:customStyle="1" w:styleId="FooterCouncilChar">
    <w:name w:val="Footer Council Char"/>
    <w:basedOn w:val="DefaultParagraphFont"/>
    <w:link w:val="FooterCouncil"/>
    <w:rsid w:val="00037412"/>
    <w:rPr>
      <w:rFonts w:ascii="Times New Roman" w:hAnsi="Times New Roman" w:cs="Times New Roman"/>
      <w:noProof/>
      <w:sz w:val="2"/>
      <w:lang w:val="sl-SI"/>
    </w:rPr>
  </w:style>
  <w:style w:type="paragraph" w:customStyle="1" w:styleId="FooterText">
    <w:name w:val="Footer Text"/>
    <w:basedOn w:val="Normal"/>
    <w:rsid w:val="00037412"/>
    <w:pPr>
      <w:spacing w:before="0" w:after="0"/>
      <w:jc w:val="left"/>
    </w:pPr>
    <w:rPr>
      <w:rFonts w:eastAsia="Times New Roman"/>
      <w:szCs w:val="24"/>
      <w:lang w:val="en-GB"/>
    </w:rPr>
  </w:style>
  <w:style w:type="character" w:styleId="PlaceholderText">
    <w:name w:val="Placeholder Text"/>
    <w:basedOn w:val="DefaultParagraphFont"/>
    <w:uiPriority w:val="99"/>
    <w:semiHidden/>
    <w:rsid w:val="000374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858">
      <w:bodyDiv w:val="1"/>
      <w:marLeft w:val="0"/>
      <w:marRight w:val="0"/>
      <w:marTop w:val="0"/>
      <w:marBottom w:val="0"/>
      <w:divBdr>
        <w:top w:val="none" w:sz="0" w:space="0" w:color="auto"/>
        <w:left w:val="none" w:sz="0" w:space="0" w:color="auto"/>
        <w:bottom w:val="none" w:sz="0" w:space="0" w:color="auto"/>
        <w:right w:val="none" w:sz="0" w:space="0" w:color="auto"/>
      </w:divBdr>
    </w:div>
    <w:div w:id="175733498">
      <w:bodyDiv w:val="1"/>
      <w:marLeft w:val="0"/>
      <w:marRight w:val="0"/>
      <w:marTop w:val="0"/>
      <w:marBottom w:val="0"/>
      <w:divBdr>
        <w:top w:val="none" w:sz="0" w:space="0" w:color="auto"/>
        <w:left w:val="none" w:sz="0" w:space="0" w:color="auto"/>
        <w:bottom w:val="none" w:sz="0" w:space="0" w:color="auto"/>
        <w:right w:val="none" w:sz="0" w:space="0" w:color="auto"/>
      </w:divBdr>
    </w:div>
    <w:div w:id="187261865">
      <w:bodyDiv w:val="1"/>
      <w:marLeft w:val="0"/>
      <w:marRight w:val="0"/>
      <w:marTop w:val="0"/>
      <w:marBottom w:val="0"/>
      <w:divBdr>
        <w:top w:val="none" w:sz="0" w:space="0" w:color="auto"/>
        <w:left w:val="none" w:sz="0" w:space="0" w:color="auto"/>
        <w:bottom w:val="none" w:sz="0" w:space="0" w:color="auto"/>
        <w:right w:val="none" w:sz="0" w:space="0" w:color="auto"/>
      </w:divBdr>
    </w:div>
    <w:div w:id="221258745">
      <w:bodyDiv w:val="1"/>
      <w:marLeft w:val="0"/>
      <w:marRight w:val="0"/>
      <w:marTop w:val="0"/>
      <w:marBottom w:val="0"/>
      <w:divBdr>
        <w:top w:val="none" w:sz="0" w:space="0" w:color="auto"/>
        <w:left w:val="none" w:sz="0" w:space="0" w:color="auto"/>
        <w:bottom w:val="none" w:sz="0" w:space="0" w:color="auto"/>
        <w:right w:val="none" w:sz="0" w:space="0" w:color="auto"/>
      </w:divBdr>
    </w:div>
    <w:div w:id="421069426">
      <w:bodyDiv w:val="1"/>
      <w:marLeft w:val="0"/>
      <w:marRight w:val="0"/>
      <w:marTop w:val="0"/>
      <w:marBottom w:val="0"/>
      <w:divBdr>
        <w:top w:val="none" w:sz="0" w:space="0" w:color="auto"/>
        <w:left w:val="none" w:sz="0" w:space="0" w:color="auto"/>
        <w:bottom w:val="none" w:sz="0" w:space="0" w:color="auto"/>
        <w:right w:val="none" w:sz="0" w:space="0" w:color="auto"/>
      </w:divBdr>
    </w:div>
    <w:div w:id="486552079">
      <w:bodyDiv w:val="1"/>
      <w:marLeft w:val="0"/>
      <w:marRight w:val="0"/>
      <w:marTop w:val="0"/>
      <w:marBottom w:val="0"/>
      <w:divBdr>
        <w:top w:val="none" w:sz="0" w:space="0" w:color="auto"/>
        <w:left w:val="none" w:sz="0" w:space="0" w:color="auto"/>
        <w:bottom w:val="none" w:sz="0" w:space="0" w:color="auto"/>
        <w:right w:val="none" w:sz="0" w:space="0" w:color="auto"/>
      </w:divBdr>
    </w:div>
    <w:div w:id="538904667">
      <w:bodyDiv w:val="1"/>
      <w:marLeft w:val="0"/>
      <w:marRight w:val="0"/>
      <w:marTop w:val="0"/>
      <w:marBottom w:val="0"/>
      <w:divBdr>
        <w:top w:val="none" w:sz="0" w:space="0" w:color="auto"/>
        <w:left w:val="none" w:sz="0" w:space="0" w:color="auto"/>
        <w:bottom w:val="none" w:sz="0" w:space="0" w:color="auto"/>
        <w:right w:val="none" w:sz="0" w:space="0" w:color="auto"/>
      </w:divBdr>
    </w:div>
    <w:div w:id="544173126">
      <w:bodyDiv w:val="1"/>
      <w:marLeft w:val="0"/>
      <w:marRight w:val="0"/>
      <w:marTop w:val="0"/>
      <w:marBottom w:val="0"/>
      <w:divBdr>
        <w:top w:val="none" w:sz="0" w:space="0" w:color="auto"/>
        <w:left w:val="none" w:sz="0" w:space="0" w:color="auto"/>
        <w:bottom w:val="none" w:sz="0" w:space="0" w:color="auto"/>
        <w:right w:val="none" w:sz="0" w:space="0" w:color="auto"/>
      </w:divBdr>
    </w:div>
    <w:div w:id="566762418">
      <w:bodyDiv w:val="1"/>
      <w:marLeft w:val="0"/>
      <w:marRight w:val="0"/>
      <w:marTop w:val="0"/>
      <w:marBottom w:val="0"/>
      <w:divBdr>
        <w:top w:val="none" w:sz="0" w:space="0" w:color="auto"/>
        <w:left w:val="none" w:sz="0" w:space="0" w:color="auto"/>
        <w:bottom w:val="none" w:sz="0" w:space="0" w:color="auto"/>
        <w:right w:val="none" w:sz="0" w:space="0" w:color="auto"/>
      </w:divBdr>
    </w:div>
    <w:div w:id="630869635">
      <w:bodyDiv w:val="1"/>
      <w:marLeft w:val="0"/>
      <w:marRight w:val="0"/>
      <w:marTop w:val="0"/>
      <w:marBottom w:val="0"/>
      <w:divBdr>
        <w:top w:val="none" w:sz="0" w:space="0" w:color="auto"/>
        <w:left w:val="none" w:sz="0" w:space="0" w:color="auto"/>
        <w:bottom w:val="none" w:sz="0" w:space="0" w:color="auto"/>
        <w:right w:val="none" w:sz="0" w:space="0" w:color="auto"/>
      </w:divBdr>
    </w:div>
    <w:div w:id="636766789">
      <w:bodyDiv w:val="1"/>
      <w:marLeft w:val="0"/>
      <w:marRight w:val="0"/>
      <w:marTop w:val="0"/>
      <w:marBottom w:val="0"/>
      <w:divBdr>
        <w:top w:val="none" w:sz="0" w:space="0" w:color="auto"/>
        <w:left w:val="none" w:sz="0" w:space="0" w:color="auto"/>
        <w:bottom w:val="none" w:sz="0" w:space="0" w:color="auto"/>
        <w:right w:val="none" w:sz="0" w:space="0" w:color="auto"/>
      </w:divBdr>
    </w:div>
    <w:div w:id="714430175">
      <w:bodyDiv w:val="1"/>
      <w:marLeft w:val="0"/>
      <w:marRight w:val="0"/>
      <w:marTop w:val="0"/>
      <w:marBottom w:val="0"/>
      <w:divBdr>
        <w:top w:val="none" w:sz="0" w:space="0" w:color="auto"/>
        <w:left w:val="none" w:sz="0" w:space="0" w:color="auto"/>
        <w:bottom w:val="none" w:sz="0" w:space="0" w:color="auto"/>
        <w:right w:val="none" w:sz="0" w:space="0" w:color="auto"/>
      </w:divBdr>
    </w:div>
    <w:div w:id="754475775">
      <w:bodyDiv w:val="1"/>
      <w:marLeft w:val="0"/>
      <w:marRight w:val="0"/>
      <w:marTop w:val="0"/>
      <w:marBottom w:val="0"/>
      <w:divBdr>
        <w:top w:val="none" w:sz="0" w:space="0" w:color="auto"/>
        <w:left w:val="none" w:sz="0" w:space="0" w:color="auto"/>
        <w:bottom w:val="none" w:sz="0" w:space="0" w:color="auto"/>
        <w:right w:val="none" w:sz="0" w:space="0" w:color="auto"/>
      </w:divBdr>
    </w:div>
    <w:div w:id="918636408">
      <w:bodyDiv w:val="1"/>
      <w:marLeft w:val="0"/>
      <w:marRight w:val="0"/>
      <w:marTop w:val="0"/>
      <w:marBottom w:val="0"/>
      <w:divBdr>
        <w:top w:val="none" w:sz="0" w:space="0" w:color="auto"/>
        <w:left w:val="none" w:sz="0" w:space="0" w:color="auto"/>
        <w:bottom w:val="none" w:sz="0" w:space="0" w:color="auto"/>
        <w:right w:val="none" w:sz="0" w:space="0" w:color="auto"/>
      </w:divBdr>
    </w:div>
    <w:div w:id="1356733354">
      <w:bodyDiv w:val="1"/>
      <w:marLeft w:val="0"/>
      <w:marRight w:val="0"/>
      <w:marTop w:val="0"/>
      <w:marBottom w:val="0"/>
      <w:divBdr>
        <w:top w:val="none" w:sz="0" w:space="0" w:color="auto"/>
        <w:left w:val="none" w:sz="0" w:space="0" w:color="auto"/>
        <w:bottom w:val="none" w:sz="0" w:space="0" w:color="auto"/>
        <w:right w:val="none" w:sz="0" w:space="0" w:color="auto"/>
      </w:divBdr>
    </w:div>
    <w:div w:id="1359043054">
      <w:bodyDiv w:val="1"/>
      <w:marLeft w:val="0"/>
      <w:marRight w:val="0"/>
      <w:marTop w:val="0"/>
      <w:marBottom w:val="0"/>
      <w:divBdr>
        <w:top w:val="none" w:sz="0" w:space="0" w:color="auto"/>
        <w:left w:val="none" w:sz="0" w:space="0" w:color="auto"/>
        <w:bottom w:val="none" w:sz="0" w:space="0" w:color="auto"/>
        <w:right w:val="none" w:sz="0" w:space="0" w:color="auto"/>
      </w:divBdr>
    </w:div>
    <w:div w:id="1363897704">
      <w:bodyDiv w:val="1"/>
      <w:marLeft w:val="0"/>
      <w:marRight w:val="0"/>
      <w:marTop w:val="0"/>
      <w:marBottom w:val="0"/>
      <w:divBdr>
        <w:top w:val="none" w:sz="0" w:space="0" w:color="auto"/>
        <w:left w:val="none" w:sz="0" w:space="0" w:color="auto"/>
        <w:bottom w:val="none" w:sz="0" w:space="0" w:color="auto"/>
        <w:right w:val="none" w:sz="0" w:space="0" w:color="auto"/>
      </w:divBdr>
    </w:div>
    <w:div w:id="1368024780">
      <w:bodyDiv w:val="1"/>
      <w:marLeft w:val="0"/>
      <w:marRight w:val="0"/>
      <w:marTop w:val="0"/>
      <w:marBottom w:val="0"/>
      <w:divBdr>
        <w:top w:val="none" w:sz="0" w:space="0" w:color="auto"/>
        <w:left w:val="none" w:sz="0" w:space="0" w:color="auto"/>
        <w:bottom w:val="none" w:sz="0" w:space="0" w:color="auto"/>
        <w:right w:val="none" w:sz="0" w:space="0" w:color="auto"/>
      </w:divBdr>
    </w:div>
    <w:div w:id="1379890444">
      <w:bodyDiv w:val="1"/>
      <w:marLeft w:val="0"/>
      <w:marRight w:val="0"/>
      <w:marTop w:val="0"/>
      <w:marBottom w:val="0"/>
      <w:divBdr>
        <w:top w:val="none" w:sz="0" w:space="0" w:color="auto"/>
        <w:left w:val="none" w:sz="0" w:space="0" w:color="auto"/>
        <w:bottom w:val="none" w:sz="0" w:space="0" w:color="auto"/>
        <w:right w:val="none" w:sz="0" w:space="0" w:color="auto"/>
      </w:divBdr>
    </w:div>
    <w:div w:id="1385107298">
      <w:bodyDiv w:val="1"/>
      <w:marLeft w:val="0"/>
      <w:marRight w:val="0"/>
      <w:marTop w:val="0"/>
      <w:marBottom w:val="0"/>
      <w:divBdr>
        <w:top w:val="none" w:sz="0" w:space="0" w:color="auto"/>
        <w:left w:val="none" w:sz="0" w:space="0" w:color="auto"/>
        <w:bottom w:val="none" w:sz="0" w:space="0" w:color="auto"/>
        <w:right w:val="none" w:sz="0" w:space="0" w:color="auto"/>
      </w:divBdr>
    </w:div>
    <w:div w:id="1543516095">
      <w:bodyDiv w:val="1"/>
      <w:marLeft w:val="0"/>
      <w:marRight w:val="0"/>
      <w:marTop w:val="0"/>
      <w:marBottom w:val="0"/>
      <w:divBdr>
        <w:top w:val="none" w:sz="0" w:space="0" w:color="auto"/>
        <w:left w:val="none" w:sz="0" w:space="0" w:color="auto"/>
        <w:bottom w:val="none" w:sz="0" w:space="0" w:color="auto"/>
        <w:right w:val="none" w:sz="0" w:space="0" w:color="auto"/>
      </w:divBdr>
    </w:div>
    <w:div w:id="1569488521">
      <w:bodyDiv w:val="1"/>
      <w:marLeft w:val="0"/>
      <w:marRight w:val="0"/>
      <w:marTop w:val="0"/>
      <w:marBottom w:val="0"/>
      <w:divBdr>
        <w:top w:val="none" w:sz="0" w:space="0" w:color="auto"/>
        <w:left w:val="none" w:sz="0" w:space="0" w:color="auto"/>
        <w:bottom w:val="none" w:sz="0" w:space="0" w:color="auto"/>
        <w:right w:val="none" w:sz="0" w:space="0" w:color="auto"/>
      </w:divBdr>
    </w:div>
    <w:div w:id="1675913232">
      <w:bodyDiv w:val="1"/>
      <w:marLeft w:val="0"/>
      <w:marRight w:val="0"/>
      <w:marTop w:val="0"/>
      <w:marBottom w:val="0"/>
      <w:divBdr>
        <w:top w:val="none" w:sz="0" w:space="0" w:color="auto"/>
        <w:left w:val="none" w:sz="0" w:space="0" w:color="auto"/>
        <w:bottom w:val="none" w:sz="0" w:space="0" w:color="auto"/>
        <w:right w:val="none" w:sz="0" w:space="0" w:color="auto"/>
      </w:divBdr>
    </w:div>
    <w:div w:id="1799491612">
      <w:bodyDiv w:val="1"/>
      <w:marLeft w:val="0"/>
      <w:marRight w:val="0"/>
      <w:marTop w:val="0"/>
      <w:marBottom w:val="0"/>
      <w:divBdr>
        <w:top w:val="none" w:sz="0" w:space="0" w:color="auto"/>
        <w:left w:val="none" w:sz="0" w:space="0" w:color="auto"/>
        <w:bottom w:val="none" w:sz="0" w:space="0" w:color="auto"/>
        <w:right w:val="none" w:sz="0" w:space="0" w:color="auto"/>
      </w:divBdr>
    </w:div>
    <w:div w:id="1932082463">
      <w:bodyDiv w:val="1"/>
      <w:marLeft w:val="0"/>
      <w:marRight w:val="0"/>
      <w:marTop w:val="0"/>
      <w:marBottom w:val="0"/>
      <w:divBdr>
        <w:top w:val="none" w:sz="0" w:space="0" w:color="auto"/>
        <w:left w:val="none" w:sz="0" w:space="0" w:color="auto"/>
        <w:bottom w:val="none" w:sz="0" w:space="0" w:color="auto"/>
        <w:right w:val="none" w:sz="0" w:space="0" w:color="auto"/>
      </w:divBdr>
    </w:div>
    <w:div w:id="1967850408">
      <w:bodyDiv w:val="1"/>
      <w:marLeft w:val="0"/>
      <w:marRight w:val="0"/>
      <w:marTop w:val="0"/>
      <w:marBottom w:val="0"/>
      <w:divBdr>
        <w:top w:val="none" w:sz="0" w:space="0" w:color="auto"/>
        <w:left w:val="none" w:sz="0" w:space="0" w:color="auto"/>
        <w:bottom w:val="none" w:sz="0" w:space="0" w:color="auto"/>
        <w:right w:val="none" w:sz="0" w:space="0" w:color="auto"/>
      </w:divBdr>
    </w:div>
    <w:div w:id="20740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ec.europa.eu/echo/who/accountability/auditing_en" TargetMode="External"/><Relationship Id="rId30" Type="http://schemas.openxmlformats.org/officeDocument/2006/relationships/header" Target="header8.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astfr\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9747DB-2494-41A7-848A-2797BB1E0151}">
  <ds:schemaRefs>
    <ds:schemaRef ds:uri="http://schemas.microsoft.com/sharepoint/v3/contenttype/forms"/>
  </ds:schemaRefs>
</ds:datastoreItem>
</file>

<file path=customXml/itemProps2.xml><?xml version="1.0" encoding="utf-8"?>
<ds:datastoreItem xmlns:ds="http://schemas.openxmlformats.org/officeDocument/2006/customXml" ds:itemID="{10AE1817-33CC-498E-AF38-44FCE6555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B59795-9B47-444D-A185-0B8292140D46}">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C18F027-4A65-4FB6-B3D8-7E7F4C52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3</TotalTime>
  <Pages>17</Pages>
  <Words>3424</Words>
  <Characters>19796</Characters>
  <Application>Microsoft Office Word</Application>
  <DocSecurity>0</DocSecurity>
  <Lines>412</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HRASTNIK Franc</dc:creator>
  <cp:keywords/>
  <dc:description/>
  <cp:lastModifiedBy>HRASTNIK Franc</cp:lastModifiedBy>
  <cp:revision>4</cp:revision>
  <cp:lastPrinted>2020-05-26T10:18:00Z</cp:lastPrinted>
  <dcterms:created xsi:type="dcterms:W3CDTF">2020-06-02T15:28:00Z</dcterms:created>
  <dcterms:modified xsi:type="dcterms:W3CDTF">2020-06-02T15:31:00Z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DocuWrite 4.3.12, Build 20200224</vt:lpwstr>
  </property>
  <property fmtid="{D5CDD505-2E9C-101B-9397-08002B2CF9AE}" pid="5" name="Created using">
    <vt:lpwstr>DocuWrite 4.3.12, Build 20200224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