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207F" w14:textId="4EC92687" w:rsidR="00BB749A" w:rsidRPr="008541DE" w:rsidRDefault="005034F1" w:rsidP="005034F1">
      <w:pPr>
        <w:spacing w:line="288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0" w:name="_Hlk61590637"/>
      <w:r w:rsidRPr="008541DE">
        <w:rPr>
          <w:rFonts w:asciiTheme="minorHAnsi" w:hAnsiTheme="minorHAnsi" w:cs="Arial"/>
          <w:b/>
          <w:bCs/>
          <w:sz w:val="22"/>
          <w:szCs w:val="22"/>
        </w:rPr>
        <w:t xml:space="preserve">Priloga </w:t>
      </w:r>
      <w:r w:rsidR="001B7B81" w:rsidRPr="008541DE">
        <w:rPr>
          <w:rFonts w:asciiTheme="minorHAnsi" w:hAnsiTheme="minorHAnsi" w:cs="Arial"/>
          <w:b/>
          <w:bCs/>
          <w:sz w:val="22"/>
          <w:szCs w:val="22"/>
        </w:rPr>
        <w:t>1</w:t>
      </w:r>
      <w:r w:rsidRPr="008541DE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bookmarkEnd w:id="0"/>
      <w:r w:rsidR="00957DF9">
        <w:rPr>
          <w:rFonts w:asciiTheme="minorHAnsi" w:hAnsiTheme="minorHAnsi" w:cs="Arial"/>
          <w:b/>
          <w:bCs/>
          <w:sz w:val="22"/>
          <w:szCs w:val="22"/>
        </w:rPr>
        <w:t>Akcijski načrt</w:t>
      </w:r>
      <w:r w:rsidRPr="008541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9296B" w:rsidRPr="008541DE">
        <w:rPr>
          <w:rFonts w:asciiTheme="minorHAnsi" w:hAnsiTheme="minorHAnsi" w:cs="Arial"/>
          <w:b/>
          <w:bCs/>
          <w:sz w:val="22"/>
          <w:szCs w:val="22"/>
        </w:rPr>
        <w:t xml:space="preserve">ukrepov </w:t>
      </w:r>
      <w:r w:rsidR="00F37132" w:rsidRPr="008541DE">
        <w:rPr>
          <w:rFonts w:asciiTheme="minorHAnsi" w:hAnsiTheme="minorHAnsi" w:cs="Arial"/>
          <w:b/>
          <w:bCs/>
          <w:sz w:val="22"/>
          <w:szCs w:val="22"/>
        </w:rPr>
        <w:t>evalvacije</w:t>
      </w:r>
      <w:r w:rsidR="009916EB" w:rsidRPr="008541DE">
        <w:rPr>
          <w:rFonts w:asciiTheme="minorHAnsi" w:hAnsiTheme="minorHAnsi" w:cs="Arial"/>
          <w:b/>
          <w:bCs/>
          <w:sz w:val="22"/>
          <w:szCs w:val="22"/>
        </w:rPr>
        <w:t xml:space="preserve"> Zakona o sodnih izvedencih, sodnih cenilcih in sodnih tolmačih</w:t>
      </w:r>
    </w:p>
    <w:p w14:paraId="09E26821" w14:textId="77777777" w:rsidR="00BB749A" w:rsidRPr="008541DE" w:rsidRDefault="00BB749A" w:rsidP="00BB749A">
      <w:pPr>
        <w:pStyle w:val="Odstavekseznama"/>
        <w:spacing w:line="288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mrea"/>
        <w:tblW w:w="10087" w:type="dxa"/>
        <w:tblInd w:w="-572" w:type="dxa"/>
        <w:tblLook w:val="04A0" w:firstRow="1" w:lastRow="0" w:firstColumn="1" w:lastColumn="0" w:noHBand="0" w:noVBand="1"/>
      </w:tblPr>
      <w:tblGrid>
        <w:gridCol w:w="3098"/>
        <w:gridCol w:w="3848"/>
        <w:gridCol w:w="1689"/>
        <w:gridCol w:w="1452"/>
      </w:tblGrid>
      <w:tr w:rsidR="008541DE" w:rsidRPr="008541DE" w14:paraId="66EBABE1" w14:textId="77777777" w:rsidTr="001834F7">
        <w:tc>
          <w:tcPr>
            <w:tcW w:w="3098" w:type="dxa"/>
            <w:shd w:val="clear" w:color="auto" w:fill="A8D08D" w:themeFill="accent6" w:themeFillTint="99"/>
          </w:tcPr>
          <w:p w14:paraId="4DC1721C" w14:textId="77777777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4377E3" w14:textId="77777777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CILJ</w:t>
            </w:r>
          </w:p>
        </w:tc>
        <w:tc>
          <w:tcPr>
            <w:tcW w:w="3848" w:type="dxa"/>
            <w:shd w:val="clear" w:color="auto" w:fill="A8D08D" w:themeFill="accent6" w:themeFillTint="99"/>
          </w:tcPr>
          <w:p w14:paraId="645AFF87" w14:textId="77777777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09C380" w14:textId="77777777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AKTIVNOSTI</w:t>
            </w:r>
          </w:p>
        </w:tc>
        <w:tc>
          <w:tcPr>
            <w:tcW w:w="1689" w:type="dxa"/>
            <w:shd w:val="clear" w:color="auto" w:fill="A8D08D" w:themeFill="accent6" w:themeFillTint="99"/>
          </w:tcPr>
          <w:p w14:paraId="1B9DB6BB" w14:textId="77777777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77E460" w14:textId="77777777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52" w:type="dxa"/>
            <w:shd w:val="clear" w:color="auto" w:fill="A8D08D" w:themeFill="accent6" w:themeFillTint="99"/>
          </w:tcPr>
          <w:p w14:paraId="6E80F271" w14:textId="77777777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E1C266" w14:textId="77777777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NOSILEC</w:t>
            </w:r>
          </w:p>
        </w:tc>
      </w:tr>
      <w:tr w:rsidR="008541DE" w:rsidRPr="008541DE" w14:paraId="0BC7E4C0" w14:textId="77777777" w:rsidTr="00734A7E">
        <w:tc>
          <w:tcPr>
            <w:tcW w:w="3098" w:type="dxa"/>
            <w:shd w:val="clear" w:color="auto" w:fill="auto"/>
          </w:tcPr>
          <w:p w14:paraId="7A2DB4FF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8587CF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Izboljšati sodelovanje Strokovnega sveta z društvi glede poročanja o izvedenem nadzoru nad </w:t>
            </w:r>
            <w:r w:rsidR="00605AB5" w:rsidRPr="008541DE">
              <w:rPr>
                <w:rFonts w:asciiTheme="minorHAnsi" w:hAnsiTheme="minorHAnsi" w:cstheme="minorHAnsi"/>
                <w:sz w:val="22"/>
                <w:szCs w:val="22"/>
              </w:rPr>
              <w:t>svojimi člani, ko se ti sklicujejo na status sodnega izvedenca ali sodnega cenilca v smislu tretjega odstavka 3. člena ZSICT (str. 7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0BB7DCB4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8" w:type="dxa"/>
            <w:shd w:val="clear" w:color="auto" w:fill="auto"/>
          </w:tcPr>
          <w:p w14:paraId="279AAA54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5102F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Dogovor z društvi o rednem poročanju.</w:t>
            </w:r>
          </w:p>
          <w:p w14:paraId="52CAD9B4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Statistično spremljanje izvedenih nadzorov.</w:t>
            </w:r>
          </w:p>
          <w:p w14:paraId="4B0EA755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0C3632A9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23B83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Tekoča naloga</w:t>
            </w:r>
          </w:p>
        </w:tc>
        <w:tc>
          <w:tcPr>
            <w:tcW w:w="1452" w:type="dxa"/>
            <w:shd w:val="clear" w:color="auto" w:fill="auto"/>
          </w:tcPr>
          <w:p w14:paraId="05F1DA53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14B71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Strokovni svet</w:t>
            </w:r>
          </w:p>
        </w:tc>
      </w:tr>
      <w:tr w:rsidR="008541DE" w:rsidRPr="008541DE" w14:paraId="3441E9D1" w14:textId="77777777" w:rsidTr="00734A7E">
        <w:tc>
          <w:tcPr>
            <w:tcW w:w="3098" w:type="dxa"/>
            <w:shd w:val="clear" w:color="auto" w:fill="auto"/>
          </w:tcPr>
          <w:p w14:paraId="0E9F6428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2142C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541DE">
              <w:rPr>
                <w:rFonts w:asciiTheme="minorHAnsi" w:hAnsiTheme="minorHAnsi" w:cs="Arial"/>
                <w:sz w:val="22"/>
                <w:szCs w:val="22"/>
              </w:rPr>
              <w:t>Identifikacija zgolj z izkaznico sodnega izvedenca, sodnega cenilca</w:t>
            </w:r>
            <w:r w:rsidR="00605AB5" w:rsidRPr="008541DE">
              <w:rPr>
                <w:rFonts w:asciiTheme="minorHAnsi" w:hAnsiTheme="minorHAnsi" w:cs="Arial"/>
                <w:sz w:val="22"/>
                <w:szCs w:val="22"/>
              </w:rPr>
              <w:t xml:space="preserve"> oziroma sodnega tolmača (str. 8</w:t>
            </w:r>
            <w:r w:rsidRPr="008541DE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  <w:p w14:paraId="7D5C93F4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8" w:type="dxa"/>
            <w:shd w:val="clear" w:color="auto" w:fill="auto"/>
          </w:tcPr>
          <w:p w14:paraId="63A4EBC7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6201D" w14:textId="128BD4F4" w:rsidR="00734A7E" w:rsidRPr="008541DE" w:rsidRDefault="00E761B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V naslednjo</w:t>
            </w:r>
            <w:r w:rsidR="00734A7E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spremembo procesne zakonodaje</w:t>
            </w:r>
            <w:r w:rsidR="009D4391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A7E" w:rsidRPr="008541D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543599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akona o pravdnem postopku in 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543599" w:rsidRPr="008541DE">
              <w:rPr>
                <w:rFonts w:asciiTheme="minorHAnsi" w:hAnsiTheme="minorHAnsi" w:cstheme="minorHAnsi"/>
                <w:sz w:val="22"/>
                <w:szCs w:val="22"/>
              </w:rPr>
              <w:t>akona o kazenskem postopku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se umesti besedilo</w:t>
            </w:r>
            <w:r w:rsidR="00734A7E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, da se na glavni obravnavi </w:t>
            </w:r>
            <w:r w:rsidR="00734A7E" w:rsidRPr="008541DE">
              <w:rPr>
                <w:rFonts w:asciiTheme="minorHAnsi" w:hAnsiTheme="minorHAnsi" w:cs="Arial"/>
                <w:sz w:val="22"/>
                <w:szCs w:val="22"/>
              </w:rPr>
              <w:t>sodni izvedenec, sodni cenilec oziroma sodni tolmač identificira</w:t>
            </w:r>
            <w:r w:rsidR="00734A7E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zgolj z izkaznico in ne z navajanjem osebnih podat</w:t>
            </w:r>
            <w:r w:rsidR="00FF778B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kov, ki so sestavni del imenika, hkrati pa </w:t>
            </w:r>
            <w:r w:rsidR="004B1CB5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FF778B" w:rsidRPr="008541DE">
              <w:rPr>
                <w:rFonts w:asciiTheme="minorHAnsi" w:hAnsiTheme="minorHAnsi" w:cstheme="minorHAnsi"/>
                <w:sz w:val="22"/>
                <w:szCs w:val="22"/>
              </w:rPr>
              <w:t>prouči možnost vsebinske dopolnitve 17. člena ZSICT.</w:t>
            </w:r>
          </w:p>
          <w:p w14:paraId="253AC4D0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5A9D35F4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BBC0A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Leto 2021/2022</w:t>
            </w:r>
          </w:p>
        </w:tc>
        <w:tc>
          <w:tcPr>
            <w:tcW w:w="1452" w:type="dxa"/>
            <w:shd w:val="clear" w:color="auto" w:fill="auto"/>
          </w:tcPr>
          <w:p w14:paraId="14D9A2C7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66948" w14:textId="77777777" w:rsidR="00734A7E" w:rsidRPr="008541DE" w:rsidRDefault="00734A7E" w:rsidP="0023157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43599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inistrstvo za pravosodje </w:t>
            </w:r>
          </w:p>
        </w:tc>
      </w:tr>
      <w:tr w:rsidR="008541DE" w:rsidRPr="008541DE" w14:paraId="709AF4CC" w14:textId="77777777" w:rsidTr="00734A7E">
        <w:tc>
          <w:tcPr>
            <w:tcW w:w="3098" w:type="dxa"/>
            <w:shd w:val="clear" w:color="auto" w:fill="auto"/>
          </w:tcPr>
          <w:p w14:paraId="5FB3B7BD" w14:textId="77777777" w:rsidR="00734A7E" w:rsidRPr="008541DE" w:rsidRDefault="00734A7E" w:rsidP="00734A7E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C9CAC13" w14:textId="77777777" w:rsidR="000B4777" w:rsidRPr="008541DE" w:rsidRDefault="00734A7E" w:rsidP="00734A7E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41DE">
              <w:rPr>
                <w:rFonts w:asciiTheme="minorHAnsi" w:hAnsiTheme="minorHAnsi"/>
                <w:sz w:val="22"/>
                <w:szCs w:val="22"/>
              </w:rPr>
              <w:t xml:space="preserve">Vzpostavitev povezave do informatizirane baze </w:t>
            </w:r>
            <w:r w:rsidR="00543599" w:rsidRPr="008541DE">
              <w:rPr>
                <w:rFonts w:asciiTheme="minorHAnsi" w:hAnsiTheme="minorHAnsi"/>
                <w:sz w:val="22"/>
                <w:szCs w:val="22"/>
              </w:rPr>
              <w:t>i</w:t>
            </w:r>
            <w:r w:rsidRPr="008541DE">
              <w:rPr>
                <w:rFonts w:asciiTheme="minorHAnsi" w:hAnsiTheme="minorHAnsi"/>
                <w:sz w:val="22"/>
                <w:szCs w:val="22"/>
              </w:rPr>
              <w:t xml:space="preserve">menika sodnih izvedencev, sodnih cenilcev in sodnih tolmačev </w:t>
            </w:r>
          </w:p>
          <w:p w14:paraId="71820348" w14:textId="77777777" w:rsidR="00734A7E" w:rsidRPr="008541DE" w:rsidRDefault="00605AB5" w:rsidP="00734A7E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41DE">
              <w:rPr>
                <w:rFonts w:asciiTheme="minorHAnsi" w:hAnsiTheme="minorHAnsi"/>
                <w:sz w:val="22"/>
                <w:szCs w:val="22"/>
              </w:rPr>
              <w:t>(str. 9</w:t>
            </w:r>
            <w:r w:rsidR="00734A7E" w:rsidRPr="008541DE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23C4CBB5" w14:textId="77777777" w:rsidR="00734A7E" w:rsidRPr="008541DE" w:rsidRDefault="00734A7E" w:rsidP="00734A7E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8" w:type="dxa"/>
            <w:shd w:val="clear" w:color="auto" w:fill="auto"/>
          </w:tcPr>
          <w:p w14:paraId="4FC79D9E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69F73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Realizacija dogovora M</w:t>
            </w:r>
            <w:r w:rsidR="00543599" w:rsidRPr="008541DE">
              <w:rPr>
                <w:rFonts w:asciiTheme="minorHAnsi" w:hAnsiTheme="minorHAnsi" w:cstheme="minorHAnsi"/>
                <w:sz w:val="22"/>
                <w:szCs w:val="22"/>
              </w:rPr>
              <w:t>inistrstva za pravosodje in Vrhovnega sodišča R</w:t>
            </w:r>
            <w:r w:rsidR="00A4250D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epublike </w:t>
            </w:r>
            <w:r w:rsidR="00543599" w:rsidRPr="008541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4250D" w:rsidRPr="008541DE">
              <w:rPr>
                <w:rFonts w:asciiTheme="minorHAnsi" w:hAnsiTheme="minorHAnsi" w:cstheme="minorHAnsi"/>
                <w:sz w:val="22"/>
                <w:szCs w:val="22"/>
              </w:rPr>
              <w:t>lovenije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o ureditvi medsebojnih razmerij pri dostopu </w:t>
            </w:r>
            <w:r w:rsidR="00F3659C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podatkov iz </w:t>
            </w:r>
            <w:r w:rsidR="00543599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imenika </w:t>
            </w:r>
            <w:r w:rsidR="00543599" w:rsidRPr="008541DE">
              <w:rPr>
                <w:rFonts w:asciiTheme="minorHAnsi" w:hAnsiTheme="minorHAnsi"/>
                <w:sz w:val="22"/>
                <w:szCs w:val="22"/>
              </w:rPr>
              <w:t>sodnih izvedencev, sodnih cenilcev in sodnih tolmačev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4FCB95" w14:textId="77777777" w:rsidR="00543599" w:rsidRPr="008541DE" w:rsidRDefault="00543599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0F41CD94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84DF3" w14:textId="77777777" w:rsidR="00734A7E" w:rsidRPr="008541DE" w:rsidRDefault="00543599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Leto </w:t>
            </w:r>
            <w:r w:rsidR="00734A7E" w:rsidRPr="008541DE"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  <w:tc>
          <w:tcPr>
            <w:tcW w:w="1452" w:type="dxa"/>
            <w:shd w:val="clear" w:color="auto" w:fill="auto"/>
          </w:tcPr>
          <w:p w14:paraId="24536368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9577C" w14:textId="77777777" w:rsidR="00543599" w:rsidRPr="008541DE" w:rsidRDefault="00543599" w:rsidP="0054359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Ministrstvo za pravosodje in</w:t>
            </w:r>
          </w:p>
          <w:p w14:paraId="1D3E0D8F" w14:textId="77777777" w:rsidR="00734A7E" w:rsidRPr="008541DE" w:rsidRDefault="00543599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Vrhovno sodišče R</w:t>
            </w:r>
            <w:r w:rsidR="000D1FF0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epublike 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D1FF0" w:rsidRPr="008541DE">
              <w:rPr>
                <w:rFonts w:asciiTheme="minorHAnsi" w:hAnsiTheme="minorHAnsi" w:cstheme="minorHAnsi"/>
                <w:sz w:val="22"/>
                <w:szCs w:val="22"/>
              </w:rPr>
              <w:t>lovenije</w:t>
            </w:r>
          </w:p>
        </w:tc>
      </w:tr>
      <w:tr w:rsidR="008541DE" w:rsidRPr="008541DE" w14:paraId="6006D125" w14:textId="77777777" w:rsidTr="001834F7">
        <w:tc>
          <w:tcPr>
            <w:tcW w:w="3098" w:type="dxa"/>
          </w:tcPr>
          <w:p w14:paraId="03AE2BC0" w14:textId="77777777" w:rsidR="00456C9F" w:rsidRPr="008541DE" w:rsidRDefault="00456C9F" w:rsidP="00F0063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D11F1E" w14:textId="77777777" w:rsidR="001834F7" w:rsidRPr="008541DE" w:rsidRDefault="001834F7" w:rsidP="00605AB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="Arial"/>
                <w:sz w:val="22"/>
                <w:szCs w:val="22"/>
              </w:rPr>
              <w:t xml:space="preserve">Prikaz obremenitve sodnih izvedencev, sodnih cenilcev in sodnih tolmačev glede na </w:t>
            </w:r>
            <w:r w:rsidR="00605AB5" w:rsidRPr="008541DE">
              <w:rPr>
                <w:rFonts w:asciiTheme="minorHAnsi" w:hAnsiTheme="minorHAnsi" w:cs="Arial"/>
                <w:sz w:val="22"/>
                <w:szCs w:val="22"/>
              </w:rPr>
              <w:t>angažiranost</w:t>
            </w:r>
            <w:r w:rsidRPr="008541DE">
              <w:rPr>
                <w:rFonts w:asciiTheme="minorHAnsi" w:hAnsiTheme="minorHAnsi" w:cs="Arial"/>
                <w:sz w:val="22"/>
                <w:szCs w:val="22"/>
              </w:rPr>
              <w:t xml:space="preserve"> v posameznih sodnih postopkih</w:t>
            </w:r>
            <w:r w:rsidR="009916EB" w:rsidRPr="008541DE">
              <w:rPr>
                <w:rFonts w:asciiTheme="minorHAnsi" w:hAnsiTheme="minorHAnsi" w:cs="Arial"/>
                <w:sz w:val="22"/>
                <w:szCs w:val="22"/>
              </w:rPr>
              <w:t xml:space="preserve"> (str. 9</w:t>
            </w:r>
            <w:r w:rsidR="00605AB5" w:rsidRPr="008541DE">
              <w:rPr>
                <w:rFonts w:asciiTheme="minorHAnsi" w:hAnsiTheme="minorHAnsi" w:cs="Arial"/>
                <w:sz w:val="22"/>
                <w:szCs w:val="22"/>
              </w:rPr>
              <w:t>, 10</w:t>
            </w:r>
            <w:r w:rsidR="009916EB" w:rsidRPr="008541DE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1B27D1" w:rsidRPr="008541D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848" w:type="dxa"/>
          </w:tcPr>
          <w:p w14:paraId="30A3AED8" w14:textId="77777777" w:rsidR="00F37132" w:rsidRPr="008541DE" w:rsidRDefault="00F37132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77725B" w14:textId="77777777" w:rsidR="00F37132" w:rsidRPr="008541DE" w:rsidRDefault="00F37132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541DE">
              <w:rPr>
                <w:rFonts w:asciiTheme="minorHAnsi" w:hAnsiTheme="minorHAnsi" w:cs="Arial"/>
                <w:sz w:val="22"/>
                <w:szCs w:val="22"/>
              </w:rPr>
              <w:t>Vzpostavitev</w:t>
            </w:r>
            <w:r w:rsidR="001834F7" w:rsidRPr="008541DE">
              <w:rPr>
                <w:rFonts w:asciiTheme="minorHAnsi" w:hAnsiTheme="minorHAnsi" w:cs="Arial"/>
                <w:sz w:val="22"/>
                <w:szCs w:val="22"/>
              </w:rPr>
              <w:t xml:space="preserve"> aplikacij</w:t>
            </w:r>
            <w:r w:rsidRPr="008541DE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1834F7" w:rsidRPr="008541D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9916EB" w:rsidRPr="008541DE">
              <w:rPr>
                <w:rFonts w:asciiTheme="minorHAnsi" w:hAnsiTheme="minorHAnsi" w:cs="Arial"/>
                <w:sz w:val="22"/>
                <w:szCs w:val="22"/>
              </w:rPr>
              <w:t xml:space="preserve">ki bo prikazovala zasedenost </w:t>
            </w:r>
            <w:r w:rsidR="009916EB" w:rsidRPr="008541DE">
              <w:rPr>
                <w:rFonts w:asciiTheme="minorHAnsi" w:hAnsiTheme="minorHAnsi"/>
                <w:sz w:val="22"/>
                <w:szCs w:val="22"/>
              </w:rPr>
              <w:t>sodnih izvedencev, sodnih cenilcev in sodnih tolmačev v posameznih postopkih</w:t>
            </w:r>
            <w:r w:rsidR="00E51F2B" w:rsidRPr="008541D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6AD764" w14:textId="77777777" w:rsidR="001834F7" w:rsidRPr="008541DE" w:rsidRDefault="00F37132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541DE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1834F7" w:rsidRPr="008541DE">
              <w:rPr>
                <w:rFonts w:asciiTheme="minorHAnsi" w:hAnsiTheme="minorHAnsi" w:cs="Arial"/>
                <w:sz w:val="22"/>
                <w:szCs w:val="22"/>
              </w:rPr>
              <w:t xml:space="preserve">otreba </w:t>
            </w:r>
            <w:r w:rsidRPr="008541DE">
              <w:rPr>
                <w:rFonts w:asciiTheme="minorHAnsi" w:hAnsiTheme="minorHAnsi" w:cs="Arial"/>
                <w:sz w:val="22"/>
                <w:szCs w:val="22"/>
              </w:rPr>
              <w:t xml:space="preserve">po </w:t>
            </w:r>
            <w:r w:rsidR="001834F7" w:rsidRPr="008541DE">
              <w:rPr>
                <w:rFonts w:asciiTheme="minorHAnsi" w:hAnsiTheme="minorHAnsi" w:cs="Arial"/>
                <w:sz w:val="22"/>
                <w:szCs w:val="22"/>
              </w:rPr>
              <w:t>sprememb</w:t>
            </w:r>
            <w:r w:rsidRPr="008541DE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1834F7" w:rsidRPr="008541DE">
              <w:rPr>
                <w:rFonts w:asciiTheme="minorHAnsi" w:hAnsiTheme="minorHAnsi" w:cs="Arial"/>
                <w:sz w:val="22"/>
                <w:szCs w:val="22"/>
              </w:rPr>
              <w:t xml:space="preserve"> določb ZSICT, ki urejajo imenik sodnih izvedencev, sodnih cenilcev in sodnih tolmačev.</w:t>
            </w:r>
          </w:p>
          <w:p w14:paraId="1CD5D200" w14:textId="77777777" w:rsidR="001B27D1" w:rsidRPr="008541DE" w:rsidRDefault="001B27D1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1E60617" w14:textId="77777777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49420" w14:textId="0314544F" w:rsidR="00F63F7F" w:rsidRPr="008541DE" w:rsidRDefault="00D312A6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Leto 2021/2022</w:t>
            </w:r>
          </w:p>
        </w:tc>
        <w:tc>
          <w:tcPr>
            <w:tcW w:w="1452" w:type="dxa"/>
          </w:tcPr>
          <w:p w14:paraId="79333516" w14:textId="77777777" w:rsidR="00F00633" w:rsidRPr="008541DE" w:rsidRDefault="00F00633" w:rsidP="00F37132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52059" w14:textId="20C1303F" w:rsidR="001834F7" w:rsidRPr="008541DE" w:rsidRDefault="00543599" w:rsidP="00CD5DC6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Ministrstvo za pravosodje</w:t>
            </w:r>
            <w:r w:rsidR="00F37132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v dogovoru z V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rhovnim sodiščem </w:t>
            </w:r>
            <w:r w:rsidR="00F37132" w:rsidRPr="008541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018BF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epublike </w:t>
            </w:r>
            <w:r w:rsidR="00F37132" w:rsidRPr="008541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018BF" w:rsidRPr="008541DE">
              <w:rPr>
                <w:rFonts w:asciiTheme="minorHAnsi" w:hAnsiTheme="minorHAnsi" w:cstheme="minorHAnsi"/>
                <w:sz w:val="22"/>
                <w:szCs w:val="22"/>
              </w:rPr>
              <w:t>lovenije</w:t>
            </w:r>
            <w:r w:rsidR="00CD5DC6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in v sodelovanju s </w:t>
            </w:r>
            <w:r w:rsidR="00CD5DC6" w:rsidRPr="008541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Strokovnim svetom</w:t>
            </w:r>
          </w:p>
        </w:tc>
      </w:tr>
      <w:tr w:rsidR="008541DE" w:rsidRPr="008541DE" w14:paraId="799AA75F" w14:textId="77777777" w:rsidTr="001834F7">
        <w:tc>
          <w:tcPr>
            <w:tcW w:w="3098" w:type="dxa"/>
          </w:tcPr>
          <w:p w14:paraId="009257FB" w14:textId="77777777" w:rsidR="00D40956" w:rsidRPr="008541DE" w:rsidRDefault="00D40956" w:rsidP="00F0063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5DC01" w14:textId="602B7AFD" w:rsidR="001834F7" w:rsidRPr="008541DE" w:rsidRDefault="009916EB" w:rsidP="00F0063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Izpolnitev in oddaja spletne izjave o delu</w:t>
            </w:r>
            <w:r w:rsidR="00A319A3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3599" w:rsidRPr="008541DE">
              <w:rPr>
                <w:rFonts w:asciiTheme="minorHAnsi" w:hAnsiTheme="minorHAnsi"/>
                <w:sz w:val="22"/>
                <w:szCs w:val="22"/>
              </w:rPr>
              <w:t>sodni</w:t>
            </w:r>
            <w:r w:rsidR="00A319A3" w:rsidRPr="008541DE">
              <w:rPr>
                <w:rFonts w:asciiTheme="minorHAnsi" w:hAnsiTheme="minorHAnsi"/>
                <w:sz w:val="22"/>
                <w:szCs w:val="22"/>
              </w:rPr>
              <w:t>h</w:t>
            </w:r>
            <w:r w:rsidR="00543599" w:rsidRPr="008541DE">
              <w:rPr>
                <w:rFonts w:asciiTheme="minorHAnsi" w:hAnsiTheme="minorHAnsi"/>
                <w:sz w:val="22"/>
                <w:szCs w:val="22"/>
              </w:rPr>
              <w:t xml:space="preserve"> izvedenc</w:t>
            </w:r>
            <w:r w:rsidR="00A319A3" w:rsidRPr="008541DE">
              <w:rPr>
                <w:rFonts w:asciiTheme="minorHAnsi" w:hAnsiTheme="minorHAnsi"/>
                <w:sz w:val="22"/>
                <w:szCs w:val="22"/>
              </w:rPr>
              <w:t>ev</w:t>
            </w:r>
            <w:r w:rsidR="00543599" w:rsidRPr="008541DE">
              <w:rPr>
                <w:rFonts w:asciiTheme="minorHAnsi" w:hAnsiTheme="minorHAnsi"/>
                <w:sz w:val="22"/>
                <w:szCs w:val="22"/>
              </w:rPr>
              <w:t>, sodni</w:t>
            </w:r>
            <w:r w:rsidR="00A319A3" w:rsidRPr="008541DE">
              <w:rPr>
                <w:rFonts w:asciiTheme="minorHAnsi" w:hAnsiTheme="minorHAnsi"/>
                <w:sz w:val="22"/>
                <w:szCs w:val="22"/>
              </w:rPr>
              <w:t>h</w:t>
            </w:r>
            <w:r w:rsidR="00543599" w:rsidRPr="008541DE">
              <w:rPr>
                <w:rFonts w:asciiTheme="minorHAnsi" w:hAnsiTheme="minorHAnsi"/>
                <w:sz w:val="22"/>
                <w:szCs w:val="22"/>
              </w:rPr>
              <w:t xml:space="preserve"> cenilc</w:t>
            </w:r>
            <w:r w:rsidR="00A319A3" w:rsidRPr="008541DE">
              <w:rPr>
                <w:rFonts w:asciiTheme="minorHAnsi" w:hAnsiTheme="minorHAnsi"/>
                <w:sz w:val="22"/>
                <w:szCs w:val="22"/>
              </w:rPr>
              <w:t>ev</w:t>
            </w:r>
            <w:r w:rsidR="00543599" w:rsidRPr="008541DE">
              <w:rPr>
                <w:rFonts w:asciiTheme="minorHAnsi" w:hAnsiTheme="minorHAnsi"/>
                <w:sz w:val="22"/>
                <w:szCs w:val="22"/>
              </w:rPr>
              <w:t xml:space="preserve"> in sodni</w:t>
            </w:r>
            <w:r w:rsidR="00A319A3" w:rsidRPr="008541DE">
              <w:rPr>
                <w:rFonts w:asciiTheme="minorHAnsi" w:hAnsiTheme="minorHAnsi"/>
                <w:sz w:val="22"/>
                <w:szCs w:val="22"/>
              </w:rPr>
              <w:t>h</w:t>
            </w:r>
            <w:r w:rsidR="00543599" w:rsidRPr="008541DE">
              <w:rPr>
                <w:rFonts w:asciiTheme="minorHAnsi" w:hAnsiTheme="minorHAnsi"/>
                <w:sz w:val="22"/>
                <w:szCs w:val="22"/>
              </w:rPr>
              <w:t xml:space="preserve"> tolmač</w:t>
            </w:r>
            <w:r w:rsidR="00A319A3" w:rsidRPr="008541DE">
              <w:rPr>
                <w:rFonts w:asciiTheme="minorHAnsi" w:hAnsiTheme="minorHAnsi"/>
                <w:sz w:val="22"/>
                <w:szCs w:val="22"/>
              </w:rPr>
              <w:t>ev</w:t>
            </w:r>
            <w:r w:rsidR="001839B6" w:rsidRPr="008541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27D1" w:rsidRPr="008541DE">
              <w:rPr>
                <w:rFonts w:asciiTheme="minorHAnsi" w:hAnsiTheme="minorHAnsi"/>
                <w:sz w:val="22"/>
                <w:szCs w:val="22"/>
              </w:rPr>
              <w:t>(str. 1</w:t>
            </w:r>
            <w:r w:rsidR="00C7326C">
              <w:rPr>
                <w:rFonts w:asciiTheme="minorHAnsi" w:hAnsiTheme="minorHAnsi"/>
                <w:sz w:val="22"/>
                <w:szCs w:val="22"/>
              </w:rPr>
              <w:t>0</w:t>
            </w:r>
            <w:r w:rsidR="001B27D1" w:rsidRPr="008541DE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815BF18" w14:textId="77777777" w:rsidR="00543599" w:rsidRPr="008541DE" w:rsidRDefault="00543599" w:rsidP="00F0063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550F1EB" w14:textId="77777777" w:rsidR="00D40956" w:rsidRPr="008541DE" w:rsidRDefault="00D40956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5D9FA3" w14:textId="77777777" w:rsidR="00C9296B" w:rsidRPr="008541DE" w:rsidRDefault="009916EB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/>
                <w:sz w:val="22"/>
                <w:szCs w:val="22"/>
              </w:rPr>
              <w:t>Vzpostavitev spletne</w:t>
            </w:r>
            <w:r w:rsidR="003B61C2" w:rsidRPr="008541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41DE">
              <w:rPr>
                <w:rFonts w:asciiTheme="minorHAnsi" w:hAnsiTheme="minorHAnsi"/>
                <w:sz w:val="22"/>
                <w:szCs w:val="22"/>
              </w:rPr>
              <w:t>izjave o delu</w:t>
            </w:r>
            <w:r w:rsidR="001B27D1" w:rsidRPr="008541DE">
              <w:rPr>
                <w:rFonts w:asciiTheme="minorHAnsi" w:hAnsiTheme="minorHAnsi"/>
                <w:sz w:val="22"/>
                <w:szCs w:val="22"/>
              </w:rPr>
              <w:t>.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34F7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Nadgradnja spletne strani </w:t>
            </w:r>
            <w:r w:rsidR="001B27D1" w:rsidRPr="008541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C6973" w:rsidRPr="008541DE">
              <w:rPr>
                <w:rFonts w:asciiTheme="minorHAnsi" w:hAnsiTheme="minorHAnsi" w:cstheme="minorHAnsi"/>
                <w:sz w:val="22"/>
                <w:szCs w:val="22"/>
              </w:rPr>
              <w:t>inistrstva za pravosodje</w:t>
            </w:r>
            <w:r w:rsidR="001B27D1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34F7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v okviru </w:t>
            </w:r>
            <w:r w:rsidR="00605AB5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projekta </w:t>
            </w:r>
            <w:r w:rsidR="00605AB5" w:rsidRPr="008541DE">
              <w:rPr>
                <w:rFonts w:ascii="Arial" w:hAnsi="Arial" w:cs="Arial"/>
                <w:sz w:val="20"/>
                <w:szCs w:val="20"/>
              </w:rPr>
              <w:t>Optimizacije procesov za vodenje evidenc po zakonih, ki se vodi v okviru Projektne enote Učinkovito pravosodje</w:t>
            </w:r>
            <w:r w:rsidR="00C9296B" w:rsidRPr="008541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34F7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C1ECD5" w14:textId="77777777" w:rsidR="001B27D1" w:rsidRPr="008541DE" w:rsidRDefault="001B27D1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41DE">
              <w:rPr>
                <w:rFonts w:asciiTheme="minorHAnsi" w:hAnsiTheme="minorHAnsi"/>
                <w:sz w:val="22"/>
                <w:szCs w:val="22"/>
              </w:rPr>
              <w:t>Odprava administrativnih ovir ter poenostavitev komunikacije</w:t>
            </w:r>
            <w:r w:rsidR="00734A7E" w:rsidRPr="008541D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9A77F32" w14:textId="77777777" w:rsidR="00734A7E" w:rsidRPr="008541DE" w:rsidRDefault="00734A7E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9C77682" w14:textId="77777777" w:rsidR="00F63F7F" w:rsidRPr="008541DE" w:rsidRDefault="00F63F7F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A2ECC" w14:textId="320A6A3B" w:rsidR="001834F7" w:rsidRPr="008541DE" w:rsidRDefault="00D312A6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Leto 2021/2022</w:t>
            </w:r>
          </w:p>
        </w:tc>
        <w:tc>
          <w:tcPr>
            <w:tcW w:w="1452" w:type="dxa"/>
          </w:tcPr>
          <w:p w14:paraId="6B820C38" w14:textId="77777777" w:rsidR="00F00633" w:rsidRPr="008541DE" w:rsidRDefault="00F00633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B9E73" w14:textId="77777777" w:rsidR="001834F7" w:rsidRPr="008541DE" w:rsidRDefault="00543599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Ministrstvo za pravosodje</w:t>
            </w:r>
          </w:p>
        </w:tc>
      </w:tr>
      <w:tr w:rsidR="008541DE" w:rsidRPr="008541DE" w14:paraId="6182B680" w14:textId="77777777" w:rsidTr="001834F7">
        <w:tc>
          <w:tcPr>
            <w:tcW w:w="3098" w:type="dxa"/>
          </w:tcPr>
          <w:p w14:paraId="3D13E29F" w14:textId="77777777" w:rsidR="00D40956" w:rsidRPr="008541DE" w:rsidRDefault="00D40956" w:rsidP="00F0063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9B206" w14:textId="63A423E2" w:rsidR="00D40956" w:rsidRPr="008541DE" w:rsidRDefault="00D40956" w:rsidP="00F0063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Izboljšati komunikacijo med sodstvom</w:t>
            </w:r>
            <w:r w:rsidR="00A90A90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(predvsem s </w:t>
            </w:r>
            <w:r w:rsidR="00D30DF5">
              <w:rPr>
                <w:rFonts w:asciiTheme="minorHAnsi" w:hAnsiTheme="minorHAnsi" w:cstheme="minorHAnsi"/>
                <w:sz w:val="22"/>
                <w:szCs w:val="22"/>
              </w:rPr>
              <w:t>prvo</w:t>
            </w:r>
            <w:r w:rsidR="00A90A90" w:rsidRPr="008541DE">
              <w:rPr>
                <w:rFonts w:asciiTheme="minorHAnsi" w:hAnsiTheme="minorHAnsi" w:cstheme="minorHAnsi"/>
                <w:sz w:val="22"/>
                <w:szCs w:val="22"/>
              </w:rPr>
              <w:t>stopenjskimi sodišči)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in Strokovnim svetom</w:t>
            </w:r>
            <w:r w:rsidR="005B5A75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(str. </w:t>
            </w:r>
            <w:r w:rsidR="00605AB5" w:rsidRPr="008541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D47C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B5A75" w:rsidRPr="008541D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265F55DD" w14:textId="77777777" w:rsidR="00F00633" w:rsidRPr="008541DE" w:rsidRDefault="00F00633" w:rsidP="00F0063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8" w:type="dxa"/>
          </w:tcPr>
          <w:p w14:paraId="326DD647" w14:textId="77777777" w:rsidR="00D40956" w:rsidRPr="008541DE" w:rsidRDefault="00D40956" w:rsidP="00D4095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23736" w14:textId="77777777" w:rsidR="00D40956" w:rsidRPr="008541DE" w:rsidRDefault="00D40956" w:rsidP="00D4095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Opredelit</w:t>
            </w:r>
            <w:r w:rsidR="00DD2E04" w:rsidRPr="008541DE">
              <w:rPr>
                <w:rFonts w:asciiTheme="minorHAnsi" w:hAnsiTheme="minorHAnsi" w:cstheme="minorHAnsi"/>
                <w:sz w:val="22"/>
                <w:szCs w:val="22"/>
              </w:rPr>
              <w:t>ev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vlog</w:t>
            </w:r>
            <w:r w:rsidR="00DD2E04" w:rsidRPr="008541D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predstavnika sodstva v Strokovnem svetu </w:t>
            </w:r>
            <w:r w:rsidR="00363A42" w:rsidRPr="008541DE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druga tehnična vprašanja.</w:t>
            </w:r>
          </w:p>
        </w:tc>
        <w:tc>
          <w:tcPr>
            <w:tcW w:w="1689" w:type="dxa"/>
          </w:tcPr>
          <w:p w14:paraId="47CCEF27" w14:textId="77777777" w:rsidR="00D40956" w:rsidRPr="008541DE" w:rsidRDefault="00D40956" w:rsidP="00D4095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F9186" w14:textId="77777777" w:rsidR="00F00633" w:rsidRPr="008541DE" w:rsidRDefault="00363A42" w:rsidP="00D4095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Tekoče</w:t>
            </w:r>
          </w:p>
        </w:tc>
        <w:tc>
          <w:tcPr>
            <w:tcW w:w="1452" w:type="dxa"/>
          </w:tcPr>
          <w:p w14:paraId="367E79CD" w14:textId="77777777" w:rsidR="00F00633" w:rsidRPr="008541DE" w:rsidRDefault="00F00633" w:rsidP="00D4095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38930" w14:textId="77777777" w:rsidR="00D40956" w:rsidRPr="008541DE" w:rsidRDefault="00D40956" w:rsidP="00D4095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Strokovni svet</w:t>
            </w:r>
            <w:r w:rsidR="00995000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543599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rhovno sodišče 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95000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epublike 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95000" w:rsidRPr="008541DE">
              <w:rPr>
                <w:rFonts w:asciiTheme="minorHAnsi" w:hAnsiTheme="minorHAnsi" w:cstheme="minorHAnsi"/>
                <w:sz w:val="22"/>
                <w:szCs w:val="22"/>
              </w:rPr>
              <w:t>lovenije</w:t>
            </w:r>
          </w:p>
        </w:tc>
      </w:tr>
      <w:tr w:rsidR="008541DE" w:rsidRPr="008541DE" w14:paraId="6561461D" w14:textId="77777777" w:rsidTr="001834F7">
        <w:tc>
          <w:tcPr>
            <w:tcW w:w="3098" w:type="dxa"/>
          </w:tcPr>
          <w:p w14:paraId="6EA031F3" w14:textId="77777777" w:rsidR="00F63F7F" w:rsidRPr="008541DE" w:rsidRDefault="00F63F7F" w:rsidP="00F00633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A9353C" w14:textId="77777777" w:rsidR="001834F7" w:rsidRPr="008541DE" w:rsidRDefault="005B5A75" w:rsidP="001D34BF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/>
                <w:sz w:val="22"/>
                <w:szCs w:val="22"/>
              </w:rPr>
              <w:t xml:space="preserve">Priprava opisov področij </w:t>
            </w:r>
            <w:r w:rsidR="00605AB5" w:rsidRPr="008541DE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proofErr w:type="spellStart"/>
            <w:r w:rsidR="00605AB5" w:rsidRPr="008541DE">
              <w:rPr>
                <w:rFonts w:asciiTheme="minorHAnsi" w:hAnsiTheme="minorHAnsi"/>
                <w:sz w:val="22"/>
                <w:szCs w:val="22"/>
              </w:rPr>
              <w:t>podpodročij</w:t>
            </w:r>
            <w:proofErr w:type="spellEnd"/>
            <w:r w:rsidR="00605AB5" w:rsidRPr="008541DE">
              <w:rPr>
                <w:rFonts w:asciiTheme="minorHAnsi" w:hAnsiTheme="minorHAnsi"/>
                <w:sz w:val="22"/>
                <w:szCs w:val="22"/>
              </w:rPr>
              <w:t xml:space="preserve"> ter</w:t>
            </w:r>
            <w:r w:rsidRPr="008541DE">
              <w:rPr>
                <w:rFonts w:asciiTheme="minorHAnsi" w:hAnsiTheme="minorHAnsi"/>
                <w:sz w:val="22"/>
                <w:szCs w:val="22"/>
              </w:rPr>
              <w:t xml:space="preserve"> smernic z</w:t>
            </w:r>
            <w:r w:rsidR="001834F7" w:rsidRPr="008541D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8541DE">
              <w:rPr>
                <w:rFonts w:asciiTheme="minorHAnsi" w:hAnsiTheme="minorHAnsi"/>
                <w:sz w:val="22"/>
                <w:szCs w:val="22"/>
              </w:rPr>
              <w:t>posamezna</w:t>
            </w:r>
            <w:r w:rsidR="004C0B46" w:rsidRPr="008541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34F7" w:rsidRPr="008541DE">
              <w:rPr>
                <w:rFonts w:asciiTheme="minorHAnsi" w:hAnsiTheme="minorHAnsi"/>
                <w:sz w:val="22"/>
                <w:szCs w:val="22"/>
              </w:rPr>
              <w:t>strokovna področja</w:t>
            </w:r>
            <w:r w:rsidRPr="008541DE">
              <w:rPr>
                <w:rFonts w:asciiTheme="minorHAnsi" w:hAnsiTheme="minorHAnsi"/>
                <w:sz w:val="22"/>
                <w:szCs w:val="22"/>
              </w:rPr>
              <w:t xml:space="preserve"> in</w:t>
            </w:r>
            <w:r w:rsidR="001834F7" w:rsidRPr="008541DE">
              <w:rPr>
                <w:rFonts w:asciiTheme="minorHAnsi" w:hAnsiTheme="minorHAnsi"/>
                <w:sz w:val="22"/>
                <w:szCs w:val="22"/>
              </w:rPr>
              <w:t xml:space="preserve"> podpodročja</w:t>
            </w:r>
            <w:r w:rsidRPr="008541DE">
              <w:rPr>
                <w:rFonts w:asciiTheme="minorHAnsi" w:hAnsiTheme="minorHAnsi"/>
                <w:sz w:val="22"/>
                <w:szCs w:val="22"/>
              </w:rPr>
              <w:t xml:space="preserve"> sodnega izvedenstva</w:t>
            </w:r>
            <w:r w:rsidR="001D34BF" w:rsidRPr="008541DE">
              <w:rPr>
                <w:rFonts w:asciiTheme="minorHAnsi" w:hAnsiTheme="minorHAnsi"/>
                <w:sz w:val="22"/>
                <w:szCs w:val="22"/>
              </w:rPr>
              <w:t xml:space="preserve"> ter</w:t>
            </w:r>
            <w:r w:rsidR="00F00633" w:rsidRPr="008541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4A7E" w:rsidRPr="008541DE">
              <w:rPr>
                <w:rFonts w:asciiTheme="minorHAnsi" w:hAnsiTheme="minorHAnsi"/>
                <w:sz w:val="22"/>
                <w:szCs w:val="22"/>
              </w:rPr>
              <w:t xml:space="preserve">sodnega </w:t>
            </w:r>
            <w:r w:rsidR="00F00633" w:rsidRPr="008541DE">
              <w:rPr>
                <w:rFonts w:asciiTheme="minorHAnsi" w:hAnsiTheme="minorHAnsi"/>
                <w:sz w:val="22"/>
                <w:szCs w:val="22"/>
              </w:rPr>
              <w:t xml:space="preserve">cenilstva </w:t>
            </w:r>
            <w:r w:rsidR="001D34BF" w:rsidRPr="008541DE">
              <w:rPr>
                <w:rFonts w:asciiTheme="minorHAnsi" w:hAnsiTheme="minorHAnsi"/>
                <w:sz w:val="22"/>
                <w:szCs w:val="22"/>
              </w:rPr>
              <w:t>oziroma za jezikovna področja sodnega tolmačenja (str. 28</w:t>
            </w:r>
            <w:r w:rsidR="00734A7E" w:rsidRPr="008541DE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  <w:tc>
          <w:tcPr>
            <w:tcW w:w="3848" w:type="dxa"/>
          </w:tcPr>
          <w:p w14:paraId="006BFF50" w14:textId="77777777" w:rsidR="00F63F7F" w:rsidRPr="008541DE" w:rsidRDefault="00F63F7F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E6299" w14:textId="77777777" w:rsidR="00543599" w:rsidRPr="008541DE" w:rsidRDefault="00543599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Realizacija pristojnosti Strokovnega sveta.</w:t>
            </w:r>
          </w:p>
          <w:p w14:paraId="70896CCF" w14:textId="77777777" w:rsidR="00543599" w:rsidRPr="008541DE" w:rsidRDefault="00543599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035B6" w14:textId="2F6E7B15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Skladno s 50. </w:t>
            </w:r>
            <w:r w:rsidR="00D30DF5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lenom ZSICT se za strokovna področja in podpodročja izvedenskega ali cenilskega dela oziroma za jezikovna področja opisi</w:t>
            </w:r>
            <w:r w:rsidR="00D30DF5">
              <w:rPr>
                <w:rFonts w:asciiTheme="minorHAnsi" w:hAnsiTheme="minorHAnsi" w:cstheme="minorHAnsi"/>
                <w:sz w:val="22"/>
                <w:szCs w:val="22"/>
              </w:rPr>
              <w:t xml:space="preserve"> ter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splošne oziroma posamične smernice sprejmejo in objavijo na spletni strani ministrstva v dveh letih po začetku uporabe tega zakona</w:t>
            </w:r>
            <w:r w:rsidR="00734A7E" w:rsidRPr="008541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B97256" w14:textId="77777777" w:rsidR="00734A7E" w:rsidRPr="008541DE" w:rsidRDefault="00734A7E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6644AAD" w14:textId="77777777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184E0" w14:textId="77777777" w:rsidR="00F00633" w:rsidRPr="008541DE" w:rsidRDefault="00A62518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Nemudoma</w:t>
            </w:r>
          </w:p>
        </w:tc>
        <w:tc>
          <w:tcPr>
            <w:tcW w:w="1452" w:type="dxa"/>
          </w:tcPr>
          <w:p w14:paraId="09A3376E" w14:textId="77777777" w:rsidR="001834F7" w:rsidRPr="008541DE" w:rsidRDefault="001834F7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23753" w14:textId="77777777" w:rsidR="00F00633" w:rsidRPr="008541DE" w:rsidRDefault="00F00633" w:rsidP="0021148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Strokovni svet</w:t>
            </w:r>
          </w:p>
        </w:tc>
      </w:tr>
      <w:tr w:rsidR="008541DE" w:rsidRPr="008541DE" w14:paraId="1AD7E830" w14:textId="77777777" w:rsidTr="001834F7">
        <w:tc>
          <w:tcPr>
            <w:tcW w:w="3098" w:type="dxa"/>
          </w:tcPr>
          <w:p w14:paraId="5FCBB401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C572AA" w14:textId="0B88C038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541DE">
              <w:rPr>
                <w:rFonts w:asciiTheme="minorHAnsi" w:hAnsiTheme="minorHAnsi" w:cs="Arial"/>
                <w:sz w:val="22"/>
                <w:szCs w:val="22"/>
              </w:rPr>
              <w:t xml:space="preserve">Ustrezen nabor strokovnih področij, </w:t>
            </w:r>
            <w:proofErr w:type="spellStart"/>
            <w:r w:rsidRPr="008541DE">
              <w:rPr>
                <w:rFonts w:asciiTheme="minorHAnsi" w:hAnsiTheme="minorHAnsi" w:cs="Arial"/>
                <w:sz w:val="22"/>
                <w:szCs w:val="22"/>
              </w:rPr>
              <w:t>podpodročij</w:t>
            </w:r>
            <w:proofErr w:type="spellEnd"/>
            <w:r w:rsidRPr="008541DE">
              <w:rPr>
                <w:rFonts w:asciiTheme="minorHAnsi" w:hAnsiTheme="minorHAnsi" w:cs="Arial"/>
                <w:sz w:val="22"/>
                <w:szCs w:val="22"/>
              </w:rPr>
              <w:t xml:space="preserve"> ter jezikov</w:t>
            </w:r>
            <w:r w:rsidR="00CB29A0">
              <w:rPr>
                <w:rFonts w:asciiTheme="minorHAnsi" w:hAnsiTheme="minorHAnsi" w:cs="Arial"/>
                <w:sz w:val="22"/>
                <w:szCs w:val="22"/>
              </w:rPr>
              <w:t>nih področij</w:t>
            </w:r>
            <w:r w:rsidRPr="008541DE">
              <w:rPr>
                <w:rFonts w:asciiTheme="minorHAnsi" w:hAnsiTheme="minorHAnsi" w:cs="Arial"/>
                <w:sz w:val="22"/>
                <w:szCs w:val="22"/>
              </w:rPr>
              <w:t xml:space="preserve"> v imeniku sodnih izvedencev, sodnih cenilcev in sodnih tolmačev</w:t>
            </w:r>
            <w:r w:rsidR="001D34BF" w:rsidRPr="008541DE">
              <w:rPr>
                <w:rFonts w:asciiTheme="minorHAnsi" w:hAnsiTheme="minorHAnsi" w:cs="Arial"/>
                <w:sz w:val="22"/>
                <w:szCs w:val="22"/>
              </w:rPr>
              <w:t xml:space="preserve"> (str.</w:t>
            </w:r>
            <w:r w:rsidR="00EE0300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1D34BF" w:rsidRPr="008541DE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="00B857E4">
              <w:rPr>
                <w:rFonts w:asciiTheme="minorHAnsi" w:hAnsiTheme="minorHAnsi" w:cs="Arial"/>
                <w:sz w:val="22"/>
                <w:szCs w:val="22"/>
              </w:rPr>
              <w:t>, 31</w:t>
            </w:r>
            <w:r w:rsidRPr="008541DE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  <w:tc>
          <w:tcPr>
            <w:tcW w:w="3848" w:type="dxa"/>
          </w:tcPr>
          <w:p w14:paraId="45CCB79A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AC7299" w14:textId="4BB456FE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="Arial"/>
                <w:sz w:val="22"/>
                <w:szCs w:val="22"/>
              </w:rPr>
              <w:t xml:space="preserve">Realizacija pristojnosti Strokovnega sveta. Nadgradnja imenika z opisom področij, </w:t>
            </w:r>
            <w:proofErr w:type="spellStart"/>
            <w:r w:rsidRPr="008541DE">
              <w:rPr>
                <w:rFonts w:asciiTheme="minorHAnsi" w:hAnsiTheme="minorHAnsi" w:cs="Arial"/>
                <w:sz w:val="22"/>
                <w:szCs w:val="22"/>
              </w:rPr>
              <w:t>podpodročij</w:t>
            </w:r>
            <w:proofErr w:type="spellEnd"/>
            <w:r w:rsidRPr="008541DE">
              <w:rPr>
                <w:rFonts w:asciiTheme="minorHAnsi" w:hAnsiTheme="minorHAnsi" w:cs="Arial"/>
                <w:sz w:val="22"/>
                <w:szCs w:val="22"/>
              </w:rPr>
              <w:t xml:space="preserve"> ter jezikov</w:t>
            </w:r>
            <w:r w:rsidR="00CB29A0">
              <w:rPr>
                <w:rFonts w:asciiTheme="minorHAnsi" w:hAnsiTheme="minorHAnsi" w:cs="Arial"/>
                <w:sz w:val="22"/>
                <w:szCs w:val="22"/>
              </w:rPr>
              <w:t>nih področij</w:t>
            </w:r>
            <w:r w:rsidRPr="008541DE">
              <w:rPr>
                <w:rFonts w:asciiTheme="minorHAnsi" w:hAnsiTheme="minorHAnsi" w:cs="Arial"/>
                <w:sz w:val="22"/>
                <w:szCs w:val="22"/>
              </w:rPr>
              <w:t>, pregled ustreznih poimenovanj.</w:t>
            </w:r>
          </w:p>
        </w:tc>
        <w:tc>
          <w:tcPr>
            <w:tcW w:w="1689" w:type="dxa"/>
          </w:tcPr>
          <w:p w14:paraId="47B547C0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E675F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Tekoča naloga;</w:t>
            </w:r>
          </w:p>
          <w:p w14:paraId="42205A17" w14:textId="662AD019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prvo presojo opraviti do </w:t>
            </w:r>
            <w:r w:rsidR="00D312A6">
              <w:rPr>
                <w:rFonts w:asciiTheme="minorHAnsi" w:hAnsiTheme="minorHAnsi" w:cstheme="minorHAnsi"/>
                <w:sz w:val="22"/>
                <w:szCs w:val="22"/>
              </w:rPr>
              <w:t>konca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52" w:type="dxa"/>
          </w:tcPr>
          <w:p w14:paraId="6E2CEF22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ECFD4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Strokovni svet</w:t>
            </w:r>
          </w:p>
        </w:tc>
      </w:tr>
      <w:tr w:rsidR="008541DE" w:rsidRPr="008541DE" w14:paraId="0EBEE4DD" w14:textId="77777777" w:rsidTr="001834F7">
        <w:tc>
          <w:tcPr>
            <w:tcW w:w="3098" w:type="dxa"/>
          </w:tcPr>
          <w:p w14:paraId="67F329B0" w14:textId="77777777" w:rsidR="003E569F" w:rsidRPr="008541DE" w:rsidRDefault="003E569F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541DE">
              <w:rPr>
                <w:rFonts w:asciiTheme="minorHAnsi" w:hAnsiTheme="minorHAnsi" w:cs="Arial"/>
                <w:sz w:val="22"/>
                <w:szCs w:val="22"/>
              </w:rPr>
              <w:t>Opredelitev vsebine letnega poročila Strokovnega sveta</w:t>
            </w:r>
            <w:r w:rsidR="00753423" w:rsidRPr="008541D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848" w:type="dxa"/>
          </w:tcPr>
          <w:p w14:paraId="7693443D" w14:textId="77777777" w:rsidR="00753423" w:rsidRPr="008541DE" w:rsidRDefault="003E569F" w:rsidP="0075342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541DE">
              <w:rPr>
                <w:rFonts w:asciiTheme="minorHAnsi" w:hAnsiTheme="minorHAnsi" w:cs="Arial"/>
                <w:sz w:val="22"/>
                <w:szCs w:val="22"/>
              </w:rPr>
              <w:t xml:space="preserve">Vsebino letnega poročila se določi v </w:t>
            </w:r>
            <w:r w:rsidR="00753423" w:rsidRPr="008541DE">
              <w:rPr>
                <w:rFonts w:asciiTheme="minorHAnsi" w:hAnsiTheme="minorHAnsi" w:cs="Arial"/>
                <w:sz w:val="22"/>
                <w:szCs w:val="22"/>
              </w:rPr>
              <w:t>poslovniku</w:t>
            </w:r>
            <w:r w:rsidRPr="008541DE">
              <w:rPr>
                <w:rFonts w:asciiTheme="minorHAnsi" w:hAnsiTheme="minorHAnsi" w:cs="Arial"/>
                <w:sz w:val="22"/>
                <w:szCs w:val="22"/>
              </w:rPr>
              <w:t xml:space="preserve"> Strokovnega sveta</w:t>
            </w:r>
            <w:r w:rsidR="00753423" w:rsidRPr="008541DE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0AADC94E" w14:textId="77777777" w:rsidR="00753423" w:rsidRPr="008541DE" w:rsidRDefault="00753423" w:rsidP="0075342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10739A" w14:textId="77777777" w:rsidR="003E569F" w:rsidRPr="008541DE" w:rsidRDefault="00753423" w:rsidP="0075342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541DE">
              <w:rPr>
                <w:rFonts w:asciiTheme="minorHAnsi" w:hAnsiTheme="minorHAnsi" w:cs="Arial"/>
                <w:sz w:val="22"/>
                <w:szCs w:val="22"/>
              </w:rPr>
              <w:t>Vsebino Strokovni svet usklajuje z Ministrstvom za pravosodje.</w:t>
            </w:r>
          </w:p>
        </w:tc>
        <w:tc>
          <w:tcPr>
            <w:tcW w:w="1689" w:type="dxa"/>
          </w:tcPr>
          <w:p w14:paraId="3A2FB29D" w14:textId="77777777" w:rsidR="003E569F" w:rsidRPr="008541DE" w:rsidRDefault="00753423" w:rsidP="0075342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Tekoča naloga; konec leta 2021</w:t>
            </w:r>
          </w:p>
        </w:tc>
        <w:tc>
          <w:tcPr>
            <w:tcW w:w="1452" w:type="dxa"/>
          </w:tcPr>
          <w:p w14:paraId="52E3F871" w14:textId="77777777" w:rsidR="003E569F" w:rsidRPr="008541DE" w:rsidRDefault="00753423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Ministrstvo za pravosodje, Strokovni svet</w:t>
            </w:r>
          </w:p>
        </w:tc>
      </w:tr>
      <w:tr w:rsidR="008541DE" w:rsidRPr="008541DE" w14:paraId="46285236" w14:textId="77777777" w:rsidTr="001834F7">
        <w:tc>
          <w:tcPr>
            <w:tcW w:w="3098" w:type="dxa"/>
          </w:tcPr>
          <w:p w14:paraId="4C5EB5A5" w14:textId="77777777" w:rsidR="00734A7E" w:rsidRPr="008541DE" w:rsidRDefault="00734A7E" w:rsidP="00734A7E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B6018" w14:textId="3C74A208" w:rsidR="00734A7E" w:rsidRPr="008541DE" w:rsidRDefault="00734A7E" w:rsidP="00734A7E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Večja kakovost storitev in </w:t>
            </w:r>
            <w:r w:rsidR="001C4A7E">
              <w:rPr>
                <w:rFonts w:asciiTheme="minorHAnsi" w:hAnsiTheme="minorHAnsi" w:cstheme="minorHAnsi"/>
                <w:sz w:val="22"/>
                <w:szCs w:val="22"/>
              </w:rPr>
              <w:t xml:space="preserve">večja 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učinkovitost poslovanja.</w:t>
            </w:r>
          </w:p>
          <w:p w14:paraId="7A525ACC" w14:textId="77777777" w:rsidR="00734A7E" w:rsidRPr="008541DE" w:rsidRDefault="00734A7E" w:rsidP="00734A7E">
            <w:pPr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4723B65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D721F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Stalna prizadevanja za rešitve, ki bodo zmanjšale administrativne ovire ter zagotavljale hitre rešitve z uporabo sodobne tehnologije.</w:t>
            </w:r>
          </w:p>
          <w:p w14:paraId="34F006B3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3DC92E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541DE">
              <w:rPr>
                <w:rFonts w:asciiTheme="minorHAnsi" w:hAnsiTheme="minorHAnsi" w:cs="Arial"/>
                <w:sz w:val="22"/>
                <w:szCs w:val="22"/>
              </w:rPr>
              <w:t>Rešitve za odpravo zamudnega poslovanja s Strokovnim svetom pri rednem preverjanju strokovnosti sodnih izvedencev, sodnih cenilcev in sodnih tolmačev.</w:t>
            </w:r>
          </w:p>
          <w:p w14:paraId="185BE6D8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8B3AD22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5C1D3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Tekoča naloga</w:t>
            </w:r>
          </w:p>
        </w:tc>
        <w:tc>
          <w:tcPr>
            <w:tcW w:w="1452" w:type="dxa"/>
          </w:tcPr>
          <w:p w14:paraId="37E998A4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18F04" w14:textId="77777777" w:rsidR="00734A7E" w:rsidRPr="008541DE" w:rsidRDefault="00543599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Ministrstvo za pravosodje</w:t>
            </w:r>
            <w:r w:rsidR="00734A7E" w:rsidRPr="008541DE">
              <w:rPr>
                <w:rFonts w:asciiTheme="minorHAnsi" w:hAnsiTheme="minorHAnsi" w:cstheme="minorHAnsi"/>
                <w:sz w:val="22"/>
                <w:szCs w:val="22"/>
              </w:rPr>
              <w:t>, Strokovni svet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="00734A7E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rhovno sodišče </w:t>
            </w:r>
            <w:r w:rsidR="00734A7E" w:rsidRPr="008541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504B2"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epublike </w:t>
            </w:r>
            <w:r w:rsidR="00734A7E" w:rsidRPr="008541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504B2" w:rsidRPr="008541DE">
              <w:rPr>
                <w:rFonts w:asciiTheme="minorHAnsi" w:hAnsiTheme="minorHAnsi" w:cstheme="minorHAnsi"/>
                <w:sz w:val="22"/>
                <w:szCs w:val="22"/>
              </w:rPr>
              <w:t>lovenije</w:t>
            </w:r>
          </w:p>
        </w:tc>
      </w:tr>
      <w:tr w:rsidR="008541DE" w:rsidRPr="008541DE" w14:paraId="4C1542F4" w14:textId="77777777" w:rsidTr="001834F7">
        <w:tc>
          <w:tcPr>
            <w:tcW w:w="3098" w:type="dxa"/>
          </w:tcPr>
          <w:p w14:paraId="13E6BF95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06211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Izboljšanje poslovanja Strokovnega sveta, zagotovitev strokovnosti, nepristranskosti in učinkovitosti pri podajanju odgovorov na strokovna vprašanja, zagotovit</w:t>
            </w:r>
            <w:r w:rsidR="002A5ADE" w:rsidRPr="008541DE">
              <w:rPr>
                <w:rFonts w:asciiTheme="minorHAnsi" w:hAnsiTheme="minorHAnsi" w:cstheme="minorHAnsi"/>
                <w:sz w:val="22"/>
                <w:szCs w:val="22"/>
              </w:rPr>
              <w:t>ev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jasnost</w:t>
            </w:r>
            <w:r w:rsidR="002A5ADE" w:rsidRPr="008541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pogojev za imenovanje, vzpostavitev zavarovanja poklicne odgovornosti pred neutemeljenimi sodnimi postopki in opredelitev vsebine letnega poročila. </w:t>
            </w:r>
          </w:p>
          <w:p w14:paraId="24CEDCBA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8" w:type="dxa"/>
          </w:tcPr>
          <w:p w14:paraId="2EF6880A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DB183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Predlog sprememb in dopolnitev ZSICT</w:t>
            </w:r>
            <w:r w:rsidR="0089210B" w:rsidRPr="008541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</w:tcPr>
          <w:p w14:paraId="681FCC2C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8AF2B" w14:textId="6D7A88BA" w:rsidR="00734A7E" w:rsidRPr="008541DE" w:rsidRDefault="00D312A6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Leto 2021/2022</w:t>
            </w:r>
          </w:p>
        </w:tc>
        <w:tc>
          <w:tcPr>
            <w:tcW w:w="1452" w:type="dxa"/>
          </w:tcPr>
          <w:p w14:paraId="4794CFC6" w14:textId="77777777" w:rsidR="00734A7E" w:rsidRPr="008541DE" w:rsidRDefault="00734A7E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3BFE3" w14:textId="77777777" w:rsidR="00734A7E" w:rsidRPr="008541DE" w:rsidRDefault="00543599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Ministrstvo za pravosodje</w:t>
            </w:r>
          </w:p>
        </w:tc>
      </w:tr>
      <w:tr w:rsidR="008541DE" w:rsidRPr="008541DE" w14:paraId="7F7E5D7D" w14:textId="77777777" w:rsidTr="001834F7">
        <w:tc>
          <w:tcPr>
            <w:tcW w:w="3098" w:type="dxa"/>
          </w:tcPr>
          <w:p w14:paraId="21277EE4" w14:textId="75CB509F" w:rsidR="00FF778B" w:rsidRPr="008541DE" w:rsidRDefault="00FF778B" w:rsidP="00FF778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Ugotoviti interes med vsemi imenovanimi sodnimi izvedenci, sodnimi cenilci in sodnimi tolmači za ustanovitev Zbornice sodnih izvedencev, sodnih cenilcev in sodnih tolmačev in za obveznost članstva v njej.</w:t>
            </w:r>
          </w:p>
        </w:tc>
        <w:tc>
          <w:tcPr>
            <w:tcW w:w="3848" w:type="dxa"/>
          </w:tcPr>
          <w:p w14:paraId="033BC3DA" w14:textId="336B855D" w:rsidR="00FF778B" w:rsidRPr="008541DE" w:rsidRDefault="00FF778B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Posredovanje spletne ankete po elektronski pošti.</w:t>
            </w:r>
          </w:p>
        </w:tc>
        <w:tc>
          <w:tcPr>
            <w:tcW w:w="1689" w:type="dxa"/>
          </w:tcPr>
          <w:p w14:paraId="26D53F90" w14:textId="7135E882" w:rsidR="00FF778B" w:rsidRPr="008541DE" w:rsidRDefault="00D312A6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Konec leta</w:t>
            </w:r>
            <w:r w:rsidR="00F85990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52" w:type="dxa"/>
          </w:tcPr>
          <w:p w14:paraId="5DF44816" w14:textId="67B7304A" w:rsidR="00FF778B" w:rsidRPr="008541DE" w:rsidRDefault="00FF778B" w:rsidP="00734A7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1DE">
              <w:rPr>
                <w:rFonts w:asciiTheme="minorHAnsi" w:hAnsiTheme="minorHAnsi" w:cstheme="minorHAnsi"/>
                <w:sz w:val="22"/>
                <w:szCs w:val="22"/>
              </w:rPr>
              <w:t>Ministrstvo za pravosodje</w:t>
            </w:r>
          </w:p>
        </w:tc>
      </w:tr>
    </w:tbl>
    <w:p w14:paraId="66B65C29" w14:textId="77777777" w:rsidR="00BB749A" w:rsidRPr="008541DE" w:rsidRDefault="00BB749A" w:rsidP="00BB749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FA82B5" w14:textId="77777777" w:rsidR="00BB749A" w:rsidRPr="008541DE" w:rsidRDefault="00BB749A" w:rsidP="00BB749A">
      <w:pPr>
        <w:pStyle w:val="Odstavekseznama"/>
        <w:spacing w:line="288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31755696" w14:textId="77777777" w:rsidR="00E5494E" w:rsidRPr="008541DE" w:rsidRDefault="00E5494E"/>
    <w:sectPr w:rsidR="00E5494E" w:rsidRPr="008541DE" w:rsidSect="009916EB">
      <w:headerReference w:type="default" r:id="rId6"/>
      <w:footerReference w:type="default" r:id="rId7"/>
      <w:pgSz w:w="11900" w:h="16840" w:code="9"/>
      <w:pgMar w:top="1178" w:right="1701" w:bottom="1134" w:left="1701" w:header="85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0B09" w14:textId="77777777" w:rsidR="000865A3" w:rsidRDefault="000865A3">
      <w:r>
        <w:separator/>
      </w:r>
    </w:p>
  </w:endnote>
  <w:endnote w:type="continuationSeparator" w:id="0">
    <w:p w14:paraId="18B927B2" w14:textId="77777777" w:rsidR="000865A3" w:rsidRDefault="0008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A517" w14:textId="77777777" w:rsidR="003669E2" w:rsidRDefault="00034A2F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778B">
      <w:rPr>
        <w:noProof/>
      </w:rPr>
      <w:t>3</w:t>
    </w:r>
    <w:r>
      <w:rPr>
        <w:noProof/>
      </w:rPr>
      <w:fldChar w:fldCharType="end"/>
    </w:r>
  </w:p>
  <w:p w14:paraId="05F84F68" w14:textId="77777777" w:rsidR="003669E2" w:rsidRDefault="00A06E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B2BDF" w14:textId="77777777" w:rsidR="000865A3" w:rsidRDefault="000865A3">
      <w:r>
        <w:separator/>
      </w:r>
    </w:p>
  </w:footnote>
  <w:footnote w:type="continuationSeparator" w:id="0">
    <w:p w14:paraId="78473558" w14:textId="77777777" w:rsidR="000865A3" w:rsidRDefault="0008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13D1" w14:textId="77777777" w:rsidR="003669E2" w:rsidRPr="00110CBD" w:rsidRDefault="00A06EC2" w:rsidP="002B6D0B">
    <w:pPr>
      <w:pStyle w:val="Glava"/>
      <w:spacing w:line="240" w:lineRule="exact"/>
      <w:rPr>
        <w:rFonts w:ascii="Republika" w:hAnsi="Republik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9A"/>
    <w:rsid w:val="00026BB9"/>
    <w:rsid w:val="00034A2F"/>
    <w:rsid w:val="000464ED"/>
    <w:rsid w:val="000568E9"/>
    <w:rsid w:val="00057284"/>
    <w:rsid w:val="000865A3"/>
    <w:rsid w:val="000B4777"/>
    <w:rsid w:val="000D1FF0"/>
    <w:rsid w:val="0013207E"/>
    <w:rsid w:val="001564D1"/>
    <w:rsid w:val="001834F7"/>
    <w:rsid w:val="001839B6"/>
    <w:rsid w:val="001B27D1"/>
    <w:rsid w:val="001B7B81"/>
    <w:rsid w:val="001C4A7E"/>
    <w:rsid w:val="001C6973"/>
    <w:rsid w:val="001D34BF"/>
    <w:rsid w:val="00231575"/>
    <w:rsid w:val="002504B2"/>
    <w:rsid w:val="002A5ADE"/>
    <w:rsid w:val="002B511D"/>
    <w:rsid w:val="002D6C7C"/>
    <w:rsid w:val="00363A42"/>
    <w:rsid w:val="00395855"/>
    <w:rsid w:val="003B4CF3"/>
    <w:rsid w:val="003B61C2"/>
    <w:rsid w:val="003E569F"/>
    <w:rsid w:val="00456C9F"/>
    <w:rsid w:val="004A0E05"/>
    <w:rsid w:val="004B1CB5"/>
    <w:rsid w:val="004C0379"/>
    <w:rsid w:val="004C0B46"/>
    <w:rsid w:val="004D769E"/>
    <w:rsid w:val="005034F1"/>
    <w:rsid w:val="00506A69"/>
    <w:rsid w:val="00507D81"/>
    <w:rsid w:val="00543599"/>
    <w:rsid w:val="005901FD"/>
    <w:rsid w:val="005B5A75"/>
    <w:rsid w:val="005D47CD"/>
    <w:rsid w:val="006018BF"/>
    <w:rsid w:val="00605AB5"/>
    <w:rsid w:val="0061797B"/>
    <w:rsid w:val="006A3148"/>
    <w:rsid w:val="006A4477"/>
    <w:rsid w:val="00734A7E"/>
    <w:rsid w:val="00753423"/>
    <w:rsid w:val="007D6E11"/>
    <w:rsid w:val="007F0944"/>
    <w:rsid w:val="00834BC0"/>
    <w:rsid w:val="008541DE"/>
    <w:rsid w:val="0089210B"/>
    <w:rsid w:val="008F0F4B"/>
    <w:rsid w:val="00935946"/>
    <w:rsid w:val="00957DF9"/>
    <w:rsid w:val="00960887"/>
    <w:rsid w:val="009916EB"/>
    <w:rsid w:val="00995000"/>
    <w:rsid w:val="009A179B"/>
    <w:rsid w:val="009D4391"/>
    <w:rsid w:val="00A06EC2"/>
    <w:rsid w:val="00A10216"/>
    <w:rsid w:val="00A117F1"/>
    <w:rsid w:val="00A319A3"/>
    <w:rsid w:val="00A32600"/>
    <w:rsid w:val="00A4250D"/>
    <w:rsid w:val="00A62518"/>
    <w:rsid w:val="00A830A4"/>
    <w:rsid w:val="00A90A90"/>
    <w:rsid w:val="00AC37F1"/>
    <w:rsid w:val="00B3070A"/>
    <w:rsid w:val="00B8534B"/>
    <w:rsid w:val="00B857E4"/>
    <w:rsid w:val="00BB749A"/>
    <w:rsid w:val="00C4796E"/>
    <w:rsid w:val="00C7326C"/>
    <w:rsid w:val="00C81705"/>
    <w:rsid w:val="00C9296B"/>
    <w:rsid w:val="00CB29A0"/>
    <w:rsid w:val="00CC6A3A"/>
    <w:rsid w:val="00CD5DC6"/>
    <w:rsid w:val="00D103C7"/>
    <w:rsid w:val="00D30DF5"/>
    <w:rsid w:val="00D312A6"/>
    <w:rsid w:val="00D40956"/>
    <w:rsid w:val="00D74E55"/>
    <w:rsid w:val="00DD2E04"/>
    <w:rsid w:val="00E44651"/>
    <w:rsid w:val="00E51F2B"/>
    <w:rsid w:val="00E5494E"/>
    <w:rsid w:val="00E761BE"/>
    <w:rsid w:val="00EE0300"/>
    <w:rsid w:val="00EE16DE"/>
    <w:rsid w:val="00F00633"/>
    <w:rsid w:val="00F32117"/>
    <w:rsid w:val="00F3659C"/>
    <w:rsid w:val="00F37132"/>
    <w:rsid w:val="00F4334C"/>
    <w:rsid w:val="00F63F7F"/>
    <w:rsid w:val="00F85990"/>
    <w:rsid w:val="00FC684F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89D130"/>
  <w15:docId w15:val="{DF9FCD60-1DF7-41F9-B7E9-F674CACF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7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B749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BB749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BB749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BB749A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B749A"/>
    <w:pPr>
      <w:ind w:left="720"/>
      <w:contextualSpacing/>
    </w:pPr>
  </w:style>
  <w:style w:type="table" w:styleId="Tabelamrea">
    <w:name w:val="Table Grid"/>
    <w:basedOn w:val="Navadnatabela"/>
    <w:uiPriority w:val="39"/>
    <w:rsid w:val="00BB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6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6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Vogrinec</dc:creator>
  <cp:lastModifiedBy>Rado Fele</cp:lastModifiedBy>
  <cp:revision>2</cp:revision>
  <cp:lastPrinted>2021-05-11T10:24:00Z</cp:lastPrinted>
  <dcterms:created xsi:type="dcterms:W3CDTF">2021-09-13T15:20:00Z</dcterms:created>
  <dcterms:modified xsi:type="dcterms:W3CDTF">2021-09-13T15:20:00Z</dcterms:modified>
</cp:coreProperties>
</file>