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42ECE" w14:textId="77777777" w:rsidR="00D14577" w:rsidRDefault="00202F6A" w:rsidP="00D14577">
      <w:pPr>
        <w:pStyle w:val="Default"/>
        <w:spacing w:after="120" w:line="20" w:lineRule="atLeast"/>
        <w:jc w:val="center"/>
        <w:rPr>
          <w:b/>
          <w:bCs/>
          <w:color w:val="auto"/>
          <w:lang w:val="en-US"/>
        </w:rPr>
      </w:pPr>
      <w:bookmarkStart w:id="0" w:name="_GoBack"/>
      <w:bookmarkEnd w:id="0"/>
      <w:r>
        <w:rPr>
          <w:b/>
          <w:bCs/>
          <w:color w:val="auto"/>
          <w:lang w:val="en-US"/>
        </w:rPr>
        <w:t>Letter of intent</w:t>
      </w:r>
      <w:r w:rsidR="00D14577" w:rsidRPr="0012530B">
        <w:rPr>
          <w:b/>
          <w:bCs/>
          <w:color w:val="auto"/>
          <w:lang w:val="en-US"/>
        </w:rPr>
        <w:t xml:space="preserve"> on principles and working methods in the Adriatic Sea </w:t>
      </w:r>
    </w:p>
    <w:p w14:paraId="6BC49928" w14:textId="77777777" w:rsidR="00D14577" w:rsidRPr="0012530B" w:rsidRDefault="00D14577" w:rsidP="00D14577">
      <w:pPr>
        <w:pStyle w:val="Default"/>
        <w:spacing w:after="120" w:line="20" w:lineRule="atLeast"/>
        <w:jc w:val="center"/>
        <w:rPr>
          <w:color w:val="auto"/>
          <w:lang w:val="en-US"/>
        </w:rPr>
      </w:pPr>
      <w:r w:rsidRPr="00E505B0">
        <w:rPr>
          <w:b/>
          <w:bCs/>
          <w:color w:val="auto"/>
          <w:lang w:val="en-US"/>
        </w:rPr>
        <w:t>(</w:t>
      </w:r>
      <w:r>
        <w:rPr>
          <w:b/>
          <w:bCs/>
          <w:color w:val="auto"/>
          <w:lang w:val="en-US"/>
        </w:rPr>
        <w:t>ADRIATICA</w:t>
      </w:r>
      <w:r w:rsidRPr="00E505B0">
        <w:rPr>
          <w:b/>
          <w:bCs/>
          <w:color w:val="auto"/>
          <w:lang w:val="en-US"/>
        </w:rPr>
        <w:t>)</w:t>
      </w:r>
    </w:p>
    <w:p w14:paraId="70348B57" w14:textId="77777777" w:rsidR="00D14577" w:rsidRDefault="00D14577" w:rsidP="00D14577">
      <w:pPr>
        <w:pStyle w:val="Default"/>
        <w:spacing w:after="120" w:line="20" w:lineRule="atLeast"/>
        <w:jc w:val="both"/>
        <w:rPr>
          <w:b/>
          <w:color w:val="auto"/>
          <w:lang w:val="en-US"/>
        </w:rPr>
      </w:pPr>
    </w:p>
    <w:p w14:paraId="2AD27388" w14:textId="77777777" w:rsidR="00D14577" w:rsidRPr="0012530B" w:rsidRDefault="00D14577" w:rsidP="00D14577">
      <w:pPr>
        <w:pStyle w:val="Default"/>
        <w:spacing w:after="120" w:line="20" w:lineRule="atLeast"/>
        <w:jc w:val="both"/>
        <w:rPr>
          <w:b/>
          <w:color w:val="auto"/>
          <w:lang w:val="en-US"/>
        </w:rPr>
      </w:pPr>
      <w:r w:rsidRPr="0012530B">
        <w:rPr>
          <w:b/>
          <w:color w:val="auto"/>
          <w:lang w:val="en-US"/>
        </w:rPr>
        <w:t xml:space="preserve">1. </w:t>
      </w:r>
      <w:r w:rsidRPr="0012530B">
        <w:rPr>
          <w:b/>
          <w:bCs/>
          <w:color w:val="auto"/>
          <w:lang w:val="en-US"/>
        </w:rPr>
        <w:t xml:space="preserve">Introduction </w:t>
      </w:r>
    </w:p>
    <w:p w14:paraId="66A6E3AC" w14:textId="7CA960A2" w:rsidR="00D14577" w:rsidRPr="0012530B" w:rsidRDefault="00D14577" w:rsidP="00D14577">
      <w:pPr>
        <w:pStyle w:val="Default"/>
        <w:spacing w:after="120" w:line="20" w:lineRule="atLeast"/>
        <w:ind w:left="426" w:hanging="426"/>
        <w:jc w:val="both"/>
        <w:rPr>
          <w:color w:val="auto"/>
          <w:lang w:val="en-US"/>
        </w:rPr>
      </w:pPr>
      <w:r w:rsidRPr="0012530B">
        <w:rPr>
          <w:color w:val="auto"/>
          <w:lang w:val="en-US"/>
        </w:rPr>
        <w:t>(1)</w:t>
      </w:r>
      <w:r w:rsidRPr="0012530B">
        <w:rPr>
          <w:color w:val="auto"/>
          <w:lang w:val="en-US"/>
        </w:rPr>
        <w:tab/>
      </w:r>
      <w:r w:rsidR="00202F6A">
        <w:rPr>
          <w:color w:val="auto"/>
          <w:lang w:val="en-US"/>
        </w:rPr>
        <w:t xml:space="preserve">Fisheries </w:t>
      </w:r>
      <w:r w:rsidR="00E20981">
        <w:rPr>
          <w:color w:val="auto"/>
          <w:lang w:val="en-US"/>
        </w:rPr>
        <w:t xml:space="preserve">administration of </w:t>
      </w:r>
      <w:r w:rsidR="00497E6C" w:rsidRPr="0012530B">
        <w:rPr>
          <w:color w:val="auto"/>
          <w:lang w:val="en-US"/>
        </w:rPr>
        <w:t>Croatia</w:t>
      </w:r>
      <w:r w:rsidR="00497E6C">
        <w:rPr>
          <w:color w:val="auto"/>
          <w:lang w:val="en-US"/>
        </w:rPr>
        <w:t>,</w:t>
      </w:r>
      <w:r w:rsidR="00497E6C" w:rsidRPr="0012530B">
        <w:rPr>
          <w:color w:val="auto"/>
          <w:lang w:val="en-US"/>
        </w:rPr>
        <w:t xml:space="preserve"> </w:t>
      </w:r>
      <w:r w:rsidRPr="0012530B">
        <w:rPr>
          <w:color w:val="auto"/>
          <w:lang w:val="en-US"/>
        </w:rPr>
        <w:t>Italy</w:t>
      </w:r>
      <w:r w:rsidR="0002387A">
        <w:rPr>
          <w:color w:val="auto"/>
          <w:lang w:val="en-US"/>
        </w:rPr>
        <w:t>,</w:t>
      </w:r>
      <w:r w:rsidRPr="0012530B">
        <w:rPr>
          <w:color w:val="auto"/>
          <w:lang w:val="en-US"/>
        </w:rPr>
        <w:t xml:space="preserve"> </w:t>
      </w:r>
      <w:r w:rsidR="00AD73A7">
        <w:rPr>
          <w:color w:val="auto"/>
          <w:lang w:val="en-US"/>
        </w:rPr>
        <w:t>and Slovenia</w:t>
      </w:r>
      <w:r w:rsidRPr="0012530B">
        <w:rPr>
          <w:color w:val="auto"/>
          <w:lang w:val="en-US"/>
        </w:rPr>
        <w:t xml:space="preserve"> (hereinafter -</w:t>
      </w:r>
      <w:r w:rsidR="00E20981">
        <w:rPr>
          <w:color w:val="auto"/>
          <w:lang w:val="en-US"/>
        </w:rPr>
        <w:t xml:space="preserve"> EU</w:t>
      </w:r>
      <w:r w:rsidRPr="0012530B">
        <w:rPr>
          <w:color w:val="auto"/>
          <w:lang w:val="en-US"/>
        </w:rPr>
        <w:t xml:space="preserve"> Member States</w:t>
      </w:r>
      <w:r w:rsidR="00E20981">
        <w:rPr>
          <w:color w:val="auto"/>
          <w:lang w:val="en-US"/>
        </w:rPr>
        <w:t>’ fisheries administration</w:t>
      </w:r>
      <w:r w:rsidRPr="0012530B">
        <w:rPr>
          <w:color w:val="auto"/>
          <w:lang w:val="en-US"/>
        </w:rPr>
        <w:t>) together with the EU Commission have a long-standing tradition of effective cooperation in fisheries management and science in the Adriatic Sea Region. In addition to cooperation at the level of science and administration, activities also included thorough consultations of the</w:t>
      </w:r>
      <w:r w:rsidRPr="0012530B">
        <w:rPr>
          <w:strike/>
          <w:color w:val="auto"/>
          <w:lang w:val="en-US"/>
        </w:rPr>
        <w:t xml:space="preserve"> </w:t>
      </w:r>
      <w:r w:rsidRPr="0012530B">
        <w:rPr>
          <w:color w:val="auto"/>
          <w:lang w:val="en-US"/>
        </w:rPr>
        <w:t xml:space="preserve">fisheries sector. </w:t>
      </w:r>
    </w:p>
    <w:p w14:paraId="2B793153" w14:textId="77777777" w:rsidR="00D14577" w:rsidRPr="0012530B" w:rsidRDefault="00D14577" w:rsidP="00D14577">
      <w:pPr>
        <w:pStyle w:val="Default"/>
        <w:spacing w:after="120" w:line="20" w:lineRule="atLeast"/>
        <w:ind w:left="426" w:hanging="426"/>
        <w:jc w:val="both"/>
        <w:rPr>
          <w:color w:val="auto"/>
          <w:lang w:val="en-US"/>
        </w:rPr>
      </w:pPr>
      <w:r w:rsidRPr="0012530B">
        <w:rPr>
          <w:color w:val="auto"/>
          <w:lang w:val="en-US"/>
        </w:rPr>
        <w:t>(2)</w:t>
      </w:r>
      <w:r w:rsidRPr="0012530B">
        <w:rPr>
          <w:color w:val="auto"/>
          <w:lang w:val="en-US"/>
        </w:rPr>
        <w:tab/>
        <w:t xml:space="preserve">A structured form of cooperation in the area of fisheries has been developed. The primary goal is to continue further strengthening of coordination and cooperation </w:t>
      </w:r>
      <w:r w:rsidR="00E20981">
        <w:rPr>
          <w:color w:val="auto"/>
          <w:lang w:val="en-US"/>
        </w:rPr>
        <w:t>among EU Member States’</w:t>
      </w:r>
      <w:r w:rsidRPr="0012530B">
        <w:rPr>
          <w:color w:val="auto"/>
          <w:lang w:val="en-US"/>
        </w:rPr>
        <w:t xml:space="preserve"> fisheries administrations, but also among other key stakeholders relevant for the Adriatic Sea fisheries. It is a forum for exchanging ideas, views and information and a forum that can facilitate joint efforts in various concrete projects aiming at achieving sustainable fisheries in the Adriatic Sea Region. </w:t>
      </w:r>
    </w:p>
    <w:p w14:paraId="63660FF2" w14:textId="77777777" w:rsidR="00D14577" w:rsidRPr="0012530B" w:rsidRDefault="00D14577" w:rsidP="00D14577">
      <w:pPr>
        <w:pStyle w:val="Default"/>
        <w:spacing w:after="120" w:line="20" w:lineRule="atLeast"/>
        <w:ind w:left="426" w:hanging="426"/>
        <w:jc w:val="both"/>
        <w:rPr>
          <w:color w:val="auto"/>
          <w:lang w:val="en-US"/>
        </w:rPr>
      </w:pPr>
      <w:r w:rsidRPr="0012530B">
        <w:rPr>
          <w:color w:val="auto"/>
          <w:lang w:val="en-US"/>
        </w:rPr>
        <w:t>(3)</w:t>
      </w:r>
      <w:r w:rsidRPr="0012530B">
        <w:rPr>
          <w:color w:val="auto"/>
          <w:lang w:val="en-US"/>
        </w:rPr>
        <w:tab/>
        <w:t xml:space="preserve">The 2013 reform of the Common Fisheries Policy (CFP) of the European Union includes as a central element the </w:t>
      </w:r>
      <w:proofErr w:type="spellStart"/>
      <w:r w:rsidRPr="0012530B">
        <w:rPr>
          <w:color w:val="auto"/>
          <w:lang w:val="en-US"/>
        </w:rPr>
        <w:t>regionalisation</w:t>
      </w:r>
      <w:proofErr w:type="spellEnd"/>
      <w:r w:rsidRPr="0012530B">
        <w:rPr>
          <w:color w:val="auto"/>
          <w:lang w:val="en-US"/>
        </w:rPr>
        <w:t xml:space="preserve"> of the CFP. The activities are anchored primarily on the element of </w:t>
      </w:r>
      <w:proofErr w:type="spellStart"/>
      <w:r w:rsidRPr="0012530B">
        <w:rPr>
          <w:color w:val="auto"/>
          <w:lang w:val="en-US"/>
        </w:rPr>
        <w:t>regionalisation</w:t>
      </w:r>
      <w:proofErr w:type="spellEnd"/>
      <w:r w:rsidRPr="0012530B">
        <w:rPr>
          <w:color w:val="auto"/>
          <w:lang w:val="en-US"/>
        </w:rPr>
        <w:t xml:space="preserve"> as referred to in the Basic Regulation on the CFP. </w:t>
      </w:r>
    </w:p>
    <w:p w14:paraId="5D7EAC1A" w14:textId="77777777" w:rsidR="00D14577" w:rsidRPr="0012530B" w:rsidRDefault="00D14577" w:rsidP="00D14577">
      <w:pPr>
        <w:pStyle w:val="Default"/>
        <w:spacing w:after="120" w:line="20" w:lineRule="atLeast"/>
        <w:ind w:left="426" w:hanging="426"/>
        <w:jc w:val="both"/>
        <w:rPr>
          <w:color w:val="auto"/>
          <w:lang w:val="en-US"/>
        </w:rPr>
      </w:pPr>
      <w:r w:rsidRPr="0012530B">
        <w:rPr>
          <w:color w:val="auto"/>
          <w:lang w:val="en-US"/>
        </w:rPr>
        <w:t>(4)</w:t>
      </w:r>
      <w:r w:rsidRPr="0012530B">
        <w:rPr>
          <w:color w:val="auto"/>
          <w:lang w:val="en-US"/>
        </w:rPr>
        <w:tab/>
        <w:t xml:space="preserve">Within the framework of the above mentioned Basic Regulation, </w:t>
      </w:r>
      <w:r w:rsidR="005A1331">
        <w:rPr>
          <w:color w:val="auto"/>
          <w:lang w:val="en-US"/>
        </w:rPr>
        <w:t>EU Member States’ fisheries administrations</w:t>
      </w:r>
      <w:r w:rsidRPr="0012530B">
        <w:rPr>
          <w:color w:val="auto"/>
          <w:lang w:val="en-US"/>
        </w:rPr>
        <w:t xml:space="preserve">, undertake to work together, in Consultation with the Mediterranean Advisory Council and with the European Commission, to manage Adriatic Sea Fisheries. In particular, </w:t>
      </w:r>
      <w:r w:rsidR="002030CE">
        <w:rPr>
          <w:color w:val="auto"/>
          <w:lang w:val="en-US"/>
        </w:rPr>
        <w:t xml:space="preserve">EU Member States’ fisheries administration </w:t>
      </w:r>
      <w:r w:rsidRPr="0012530B">
        <w:rPr>
          <w:color w:val="auto"/>
          <w:lang w:val="en-US"/>
        </w:rPr>
        <w:t xml:space="preserve">will </w:t>
      </w:r>
      <w:proofErr w:type="spellStart"/>
      <w:r w:rsidRPr="0012530B">
        <w:rPr>
          <w:color w:val="auto"/>
          <w:lang w:val="en-US"/>
        </w:rPr>
        <w:t>endeavour</w:t>
      </w:r>
      <w:proofErr w:type="spellEnd"/>
      <w:r w:rsidRPr="0012530B">
        <w:rPr>
          <w:color w:val="auto"/>
          <w:lang w:val="en-US"/>
        </w:rPr>
        <w:t xml:space="preserve"> to develop ‘’Joint recommendations’’ in line with article18 of the CFP Basic Regulation.</w:t>
      </w:r>
    </w:p>
    <w:p w14:paraId="5F9D3E94" w14:textId="77777777" w:rsidR="00D14577" w:rsidRPr="0012530B" w:rsidRDefault="00D14577" w:rsidP="00D14577">
      <w:pPr>
        <w:pStyle w:val="Default"/>
        <w:spacing w:after="120" w:line="20" w:lineRule="atLeast"/>
        <w:ind w:left="426" w:hanging="426"/>
        <w:jc w:val="both"/>
        <w:rPr>
          <w:color w:val="auto"/>
          <w:lang w:val="en-US"/>
        </w:rPr>
      </w:pPr>
      <w:r w:rsidRPr="0012530B">
        <w:rPr>
          <w:color w:val="auto"/>
          <w:lang w:val="en-US"/>
        </w:rPr>
        <w:t>(5)</w:t>
      </w:r>
      <w:r w:rsidRPr="0012530B">
        <w:rPr>
          <w:color w:val="auto"/>
          <w:lang w:val="en-US"/>
        </w:rPr>
        <w:tab/>
      </w:r>
      <w:r w:rsidR="007E65D5">
        <w:rPr>
          <w:color w:val="auto"/>
          <w:lang w:val="en-US"/>
        </w:rPr>
        <w:t xml:space="preserve">EU </w:t>
      </w:r>
      <w:r w:rsidRPr="0012530B">
        <w:rPr>
          <w:color w:val="auto"/>
          <w:lang w:val="en-US"/>
        </w:rPr>
        <w:t>Member States</w:t>
      </w:r>
      <w:r w:rsidR="007E65D5">
        <w:rPr>
          <w:color w:val="auto"/>
          <w:lang w:val="en-US"/>
        </w:rPr>
        <w:t>’ fisheries administration</w:t>
      </w:r>
      <w:r w:rsidR="008A22A6">
        <w:rPr>
          <w:color w:val="auto"/>
          <w:lang w:val="en-US"/>
        </w:rPr>
        <w:t xml:space="preserve"> work</w:t>
      </w:r>
      <w:r w:rsidRPr="0012530B">
        <w:rPr>
          <w:color w:val="auto"/>
          <w:lang w:val="en-US"/>
        </w:rPr>
        <w:t xml:space="preserve"> on two levels as follows: </w:t>
      </w:r>
    </w:p>
    <w:p w14:paraId="2E76AB81" w14:textId="36CC17EE" w:rsidR="00D14577" w:rsidRPr="0012530B" w:rsidRDefault="00D14577" w:rsidP="00D14577">
      <w:pPr>
        <w:pStyle w:val="Default"/>
        <w:spacing w:after="120" w:line="20" w:lineRule="atLeast"/>
        <w:ind w:left="567" w:hanging="141"/>
        <w:jc w:val="both"/>
        <w:rPr>
          <w:color w:val="auto"/>
          <w:lang w:val="el-GR"/>
        </w:rPr>
      </w:pPr>
      <w:r w:rsidRPr="0012530B">
        <w:rPr>
          <w:color w:val="auto"/>
          <w:lang w:val="en-US"/>
        </w:rPr>
        <w:t>-</w:t>
      </w:r>
      <w:r w:rsidRPr="0012530B">
        <w:rPr>
          <w:color w:val="auto"/>
          <w:lang w:val="en-US"/>
        </w:rPr>
        <w:tab/>
        <w:t xml:space="preserve">A </w:t>
      </w:r>
      <w:r w:rsidRPr="0012530B">
        <w:rPr>
          <w:b/>
          <w:color w:val="auto"/>
          <w:lang w:val="en-US"/>
        </w:rPr>
        <w:t>high-level coordination</w:t>
      </w:r>
      <w:r w:rsidRPr="0012530B">
        <w:rPr>
          <w:color w:val="auto"/>
          <w:lang w:val="en-US"/>
        </w:rPr>
        <w:t xml:space="preserve"> (</w:t>
      </w:r>
      <w:r w:rsidRPr="0012530B">
        <w:rPr>
          <w:b/>
          <w:color w:val="auto"/>
          <w:lang w:val="en-US"/>
        </w:rPr>
        <w:t>HLC</w:t>
      </w:r>
      <w:r w:rsidRPr="0012530B">
        <w:rPr>
          <w:color w:val="auto"/>
          <w:lang w:val="en-US"/>
        </w:rPr>
        <w:t>) between the Directors</w:t>
      </w:r>
      <w:r>
        <w:rPr>
          <w:color w:val="auto"/>
          <w:lang w:val="en-US"/>
        </w:rPr>
        <w:t>-</w:t>
      </w:r>
      <w:r w:rsidRPr="0012530B">
        <w:rPr>
          <w:color w:val="auto"/>
          <w:lang w:val="en-US"/>
        </w:rPr>
        <w:t xml:space="preserve">general </w:t>
      </w:r>
      <w:r>
        <w:rPr>
          <w:color w:val="auto"/>
          <w:lang w:val="en-US"/>
        </w:rPr>
        <w:t>for</w:t>
      </w:r>
      <w:r w:rsidRPr="0012530B">
        <w:rPr>
          <w:color w:val="auto"/>
          <w:lang w:val="en-US"/>
        </w:rPr>
        <w:t xml:space="preserve"> fisheries of </w:t>
      </w:r>
      <w:r w:rsidR="00497E6C" w:rsidRPr="0012530B">
        <w:rPr>
          <w:color w:val="auto"/>
          <w:lang w:val="en-US"/>
        </w:rPr>
        <w:t>Croatia</w:t>
      </w:r>
      <w:r w:rsidR="00497E6C">
        <w:rPr>
          <w:color w:val="auto"/>
          <w:lang w:val="en-US"/>
        </w:rPr>
        <w:t>,</w:t>
      </w:r>
      <w:r w:rsidR="00497E6C" w:rsidRPr="0012530B">
        <w:rPr>
          <w:color w:val="auto"/>
          <w:lang w:val="en-US"/>
        </w:rPr>
        <w:t xml:space="preserve"> Italy</w:t>
      </w:r>
      <w:r w:rsidR="00497E6C">
        <w:rPr>
          <w:color w:val="auto"/>
          <w:lang w:val="en-US"/>
        </w:rPr>
        <w:t>,</w:t>
      </w:r>
      <w:r w:rsidR="00497E6C" w:rsidRPr="0012530B">
        <w:rPr>
          <w:color w:val="auto"/>
          <w:lang w:val="en-US"/>
        </w:rPr>
        <w:t xml:space="preserve"> </w:t>
      </w:r>
      <w:r w:rsidR="00497E6C">
        <w:rPr>
          <w:color w:val="auto"/>
          <w:lang w:val="en-US"/>
        </w:rPr>
        <w:t>and Slovenia</w:t>
      </w:r>
      <w:r w:rsidRPr="0012530B">
        <w:rPr>
          <w:color w:val="auto"/>
          <w:lang w:val="en-US"/>
        </w:rPr>
        <w:t xml:space="preserve">, and </w:t>
      </w:r>
    </w:p>
    <w:p w14:paraId="199E3162" w14:textId="283E6896" w:rsidR="00D14577" w:rsidRPr="0012530B" w:rsidRDefault="00D14577" w:rsidP="00D14577">
      <w:pPr>
        <w:pStyle w:val="Default"/>
        <w:spacing w:after="120" w:line="20" w:lineRule="atLeast"/>
        <w:ind w:left="567" w:hanging="141"/>
        <w:jc w:val="both"/>
        <w:rPr>
          <w:color w:val="auto"/>
          <w:lang w:val="en-US"/>
        </w:rPr>
      </w:pPr>
      <w:r w:rsidRPr="0012530B">
        <w:rPr>
          <w:color w:val="auto"/>
          <w:lang w:val="en-US"/>
        </w:rPr>
        <w:t>-</w:t>
      </w:r>
      <w:r w:rsidRPr="0012530B">
        <w:rPr>
          <w:color w:val="auto"/>
          <w:lang w:val="en-US"/>
        </w:rPr>
        <w:tab/>
        <w:t xml:space="preserve">A </w:t>
      </w:r>
      <w:r w:rsidRPr="0012530B">
        <w:rPr>
          <w:b/>
          <w:color w:val="auto"/>
          <w:lang w:val="en-US"/>
        </w:rPr>
        <w:t>Technical Group</w:t>
      </w:r>
      <w:r w:rsidRPr="0012530B">
        <w:rPr>
          <w:color w:val="auto"/>
          <w:lang w:val="en-US"/>
        </w:rPr>
        <w:t xml:space="preserve"> (</w:t>
      </w:r>
      <w:r w:rsidRPr="0012530B">
        <w:rPr>
          <w:b/>
          <w:color w:val="auto"/>
          <w:lang w:val="en-US"/>
        </w:rPr>
        <w:t>TG</w:t>
      </w:r>
      <w:r w:rsidRPr="0012530B">
        <w:rPr>
          <w:color w:val="auto"/>
          <w:lang w:val="en-US"/>
        </w:rPr>
        <w:t xml:space="preserve">) of representatives of Directorates general </w:t>
      </w:r>
      <w:r>
        <w:rPr>
          <w:color w:val="auto"/>
          <w:lang w:val="en-US"/>
        </w:rPr>
        <w:t>for</w:t>
      </w:r>
      <w:r w:rsidRPr="0012530B">
        <w:rPr>
          <w:color w:val="auto"/>
          <w:lang w:val="en-US"/>
        </w:rPr>
        <w:t xml:space="preserve"> fisheries of </w:t>
      </w:r>
      <w:r w:rsidR="00497E6C" w:rsidRPr="0012530B">
        <w:rPr>
          <w:color w:val="auto"/>
          <w:lang w:val="en-US"/>
        </w:rPr>
        <w:t>Croatia</w:t>
      </w:r>
      <w:r w:rsidR="00497E6C">
        <w:rPr>
          <w:color w:val="auto"/>
          <w:lang w:val="en-US"/>
        </w:rPr>
        <w:t>,</w:t>
      </w:r>
      <w:r w:rsidR="00497E6C" w:rsidRPr="0012530B">
        <w:rPr>
          <w:color w:val="auto"/>
          <w:lang w:val="en-US"/>
        </w:rPr>
        <w:t xml:space="preserve"> Italy</w:t>
      </w:r>
      <w:r w:rsidR="00497E6C">
        <w:rPr>
          <w:color w:val="auto"/>
          <w:lang w:val="en-US"/>
        </w:rPr>
        <w:t>,</w:t>
      </w:r>
      <w:r w:rsidR="00497E6C" w:rsidRPr="0012530B">
        <w:rPr>
          <w:color w:val="auto"/>
          <w:lang w:val="en-US"/>
        </w:rPr>
        <w:t xml:space="preserve"> </w:t>
      </w:r>
      <w:r w:rsidR="00497E6C">
        <w:rPr>
          <w:color w:val="auto"/>
          <w:lang w:val="en-US"/>
        </w:rPr>
        <w:t>and Slovenia</w:t>
      </w:r>
      <w:r w:rsidRPr="0012530B">
        <w:rPr>
          <w:color w:val="auto"/>
          <w:lang w:val="en-US"/>
        </w:rPr>
        <w:t xml:space="preserve">, EU Commission and MEDAC officials as well as representatives from the European Fisheries Control Agency (EFCA), the FAO-AdriaMed and relevant stakeholders in the Adriatic Sea fisheries. </w:t>
      </w:r>
    </w:p>
    <w:p w14:paraId="64D934F2" w14:textId="47BABEF4" w:rsidR="00D14577" w:rsidRPr="0012530B" w:rsidRDefault="00D14577" w:rsidP="00D14577">
      <w:pPr>
        <w:pStyle w:val="Default"/>
        <w:spacing w:after="120" w:line="20" w:lineRule="atLeast"/>
        <w:ind w:left="426" w:hanging="426"/>
        <w:jc w:val="both"/>
        <w:rPr>
          <w:color w:val="auto"/>
          <w:lang w:val="en-US"/>
        </w:rPr>
      </w:pPr>
      <w:r w:rsidRPr="0012530B">
        <w:rPr>
          <w:color w:val="auto"/>
          <w:lang w:val="en-US"/>
        </w:rPr>
        <w:t>(6)</w:t>
      </w:r>
      <w:r w:rsidRPr="0012530B">
        <w:rPr>
          <w:color w:val="auto"/>
          <w:lang w:val="en-US"/>
        </w:rPr>
        <w:tab/>
        <w:t xml:space="preserve">This </w:t>
      </w:r>
      <w:r w:rsidR="0045250E">
        <w:rPr>
          <w:color w:val="auto"/>
          <w:lang w:val="en-US"/>
        </w:rPr>
        <w:t xml:space="preserve">Letter of intent </w:t>
      </w:r>
      <w:r w:rsidRPr="0012530B">
        <w:rPr>
          <w:color w:val="auto"/>
          <w:lang w:val="en-US"/>
        </w:rPr>
        <w:t xml:space="preserve">sets out the principles and working methods that will be applied in the HLC and TG. The </w:t>
      </w:r>
      <w:r w:rsidR="0045250E">
        <w:rPr>
          <w:color w:val="auto"/>
          <w:lang w:val="en-US"/>
        </w:rPr>
        <w:t>Letter of intent</w:t>
      </w:r>
      <w:r w:rsidRPr="0012530B">
        <w:rPr>
          <w:bCs/>
          <w:color w:val="auto"/>
          <w:lang w:val="en-US"/>
        </w:rPr>
        <w:t xml:space="preserve"> </w:t>
      </w:r>
      <w:r w:rsidRPr="0012530B">
        <w:rPr>
          <w:color w:val="auto"/>
          <w:lang w:val="en-US"/>
        </w:rPr>
        <w:t xml:space="preserve">expresses the willing of </w:t>
      </w:r>
      <w:r>
        <w:rPr>
          <w:color w:val="auto"/>
          <w:lang w:val="en-US"/>
        </w:rPr>
        <w:t xml:space="preserve">the </w:t>
      </w:r>
      <w:r w:rsidRPr="0012530B">
        <w:rPr>
          <w:color w:val="auto"/>
          <w:lang w:val="en-US"/>
        </w:rPr>
        <w:t>Directors</w:t>
      </w:r>
      <w:r>
        <w:rPr>
          <w:color w:val="auto"/>
          <w:lang w:val="en-US"/>
        </w:rPr>
        <w:t>-</w:t>
      </w:r>
      <w:r w:rsidRPr="0012530B">
        <w:rPr>
          <w:color w:val="auto"/>
          <w:lang w:val="en-US"/>
        </w:rPr>
        <w:t xml:space="preserve">general </w:t>
      </w:r>
      <w:r>
        <w:rPr>
          <w:color w:val="auto"/>
          <w:lang w:val="en-US"/>
        </w:rPr>
        <w:t>for</w:t>
      </w:r>
      <w:r w:rsidRPr="0012530B">
        <w:rPr>
          <w:color w:val="auto"/>
          <w:lang w:val="en-US"/>
        </w:rPr>
        <w:t xml:space="preserve"> fisheries of </w:t>
      </w:r>
      <w:r w:rsidR="00497E6C" w:rsidRPr="0012530B">
        <w:rPr>
          <w:color w:val="auto"/>
          <w:lang w:val="en-US"/>
        </w:rPr>
        <w:t>Croatia</w:t>
      </w:r>
      <w:r w:rsidR="00497E6C">
        <w:rPr>
          <w:color w:val="auto"/>
          <w:lang w:val="en-US"/>
        </w:rPr>
        <w:t>,</w:t>
      </w:r>
      <w:r w:rsidR="00497E6C" w:rsidRPr="0012530B">
        <w:rPr>
          <w:color w:val="auto"/>
          <w:lang w:val="en-US"/>
        </w:rPr>
        <w:t xml:space="preserve"> Italy</w:t>
      </w:r>
      <w:r w:rsidR="00497E6C">
        <w:rPr>
          <w:color w:val="auto"/>
          <w:lang w:val="en-US"/>
        </w:rPr>
        <w:t>,</w:t>
      </w:r>
      <w:r w:rsidR="00497E6C" w:rsidRPr="0012530B">
        <w:rPr>
          <w:color w:val="auto"/>
          <w:lang w:val="en-US"/>
        </w:rPr>
        <w:t xml:space="preserve"> </w:t>
      </w:r>
      <w:r w:rsidR="00497E6C">
        <w:rPr>
          <w:color w:val="auto"/>
          <w:lang w:val="en-US"/>
        </w:rPr>
        <w:t>and Slovenia</w:t>
      </w:r>
      <w:r w:rsidR="00497E6C" w:rsidRPr="0012530B">
        <w:rPr>
          <w:color w:val="auto"/>
          <w:lang w:val="en-US"/>
        </w:rPr>
        <w:t xml:space="preserve"> </w:t>
      </w:r>
      <w:r w:rsidRPr="0012530B">
        <w:rPr>
          <w:color w:val="auto"/>
          <w:lang w:val="en-US"/>
        </w:rPr>
        <w:t xml:space="preserve">to work in accordance with the principles and working methods as described under points 2 to 4. The </w:t>
      </w:r>
      <w:r w:rsidR="0045250E">
        <w:rPr>
          <w:color w:val="auto"/>
          <w:lang w:val="en-US"/>
        </w:rPr>
        <w:t>Letter of intent</w:t>
      </w:r>
      <w:r w:rsidRPr="0012530B">
        <w:rPr>
          <w:bCs/>
          <w:color w:val="auto"/>
          <w:lang w:val="en-US"/>
        </w:rPr>
        <w:t xml:space="preserve"> </w:t>
      </w:r>
      <w:r w:rsidRPr="0012530B">
        <w:rPr>
          <w:color w:val="auto"/>
          <w:lang w:val="en-US"/>
        </w:rPr>
        <w:t xml:space="preserve">does not form a legally binding instrument or document. </w:t>
      </w:r>
    </w:p>
    <w:p w14:paraId="7BD11887" w14:textId="77777777" w:rsidR="00D14577" w:rsidRDefault="00D14577" w:rsidP="00D14577">
      <w:pPr>
        <w:pStyle w:val="Default"/>
        <w:spacing w:after="120" w:line="20" w:lineRule="atLeast"/>
        <w:jc w:val="both"/>
        <w:rPr>
          <w:b/>
          <w:color w:val="auto"/>
          <w:lang w:val="en-US"/>
        </w:rPr>
      </w:pPr>
    </w:p>
    <w:p w14:paraId="1FA6F379" w14:textId="77777777" w:rsidR="00D14577" w:rsidRPr="0012530B" w:rsidRDefault="00D14577" w:rsidP="00D14577">
      <w:pPr>
        <w:pStyle w:val="Default"/>
        <w:spacing w:after="120" w:line="20" w:lineRule="atLeast"/>
        <w:jc w:val="both"/>
        <w:rPr>
          <w:b/>
          <w:bCs/>
          <w:color w:val="auto"/>
          <w:lang w:val="en-US"/>
        </w:rPr>
      </w:pPr>
      <w:r w:rsidRPr="0012530B">
        <w:rPr>
          <w:b/>
          <w:color w:val="auto"/>
          <w:lang w:val="en-US"/>
        </w:rPr>
        <w:t xml:space="preserve">2. </w:t>
      </w:r>
      <w:r w:rsidRPr="0012530B">
        <w:rPr>
          <w:b/>
          <w:bCs/>
          <w:color w:val="auto"/>
          <w:lang w:val="en-US"/>
        </w:rPr>
        <w:t>Principles and working methods in the HLC and TG</w:t>
      </w:r>
    </w:p>
    <w:p w14:paraId="62D72952" w14:textId="77777777" w:rsidR="00D14577" w:rsidRPr="0012530B" w:rsidRDefault="0045250E" w:rsidP="00D14577">
      <w:pPr>
        <w:pStyle w:val="Default"/>
        <w:spacing w:after="120" w:line="20" w:lineRule="atLeast"/>
        <w:jc w:val="both"/>
        <w:rPr>
          <w:bCs/>
          <w:color w:val="auto"/>
          <w:lang w:val="en-US"/>
        </w:rPr>
      </w:pPr>
      <w:r>
        <w:rPr>
          <w:bCs/>
          <w:color w:val="auto"/>
          <w:lang w:val="en-US"/>
        </w:rPr>
        <w:t xml:space="preserve">EU </w:t>
      </w:r>
      <w:r w:rsidR="00D14577" w:rsidRPr="0012530B">
        <w:rPr>
          <w:bCs/>
          <w:color w:val="auto"/>
          <w:lang w:val="en-US"/>
        </w:rPr>
        <w:t>Member States</w:t>
      </w:r>
      <w:r>
        <w:rPr>
          <w:bCs/>
          <w:color w:val="auto"/>
          <w:lang w:val="en-US"/>
        </w:rPr>
        <w:t xml:space="preserve">’ fisheries </w:t>
      </w:r>
      <w:r w:rsidR="00EB6B8C">
        <w:rPr>
          <w:bCs/>
          <w:color w:val="auto"/>
          <w:lang w:val="en-US"/>
        </w:rPr>
        <w:t>administration</w:t>
      </w:r>
      <w:r w:rsidR="00D14577" w:rsidRPr="0012530B">
        <w:rPr>
          <w:bCs/>
          <w:color w:val="auto"/>
          <w:lang w:val="en-US"/>
        </w:rPr>
        <w:t xml:space="preserve">, adhere to the provisions of the Treaty on the Functioning of the European Union (hereinafter TFEU), the Basic Regulation and to respective national requirements relating to the Member States’ decision making procedures. </w:t>
      </w:r>
    </w:p>
    <w:p w14:paraId="735909C0" w14:textId="77777777" w:rsidR="00D14577" w:rsidRPr="0012530B" w:rsidRDefault="00D14577" w:rsidP="00D14577">
      <w:pPr>
        <w:pStyle w:val="Default"/>
        <w:spacing w:after="120" w:line="20" w:lineRule="atLeast"/>
        <w:ind w:left="284"/>
        <w:jc w:val="both"/>
        <w:rPr>
          <w:color w:val="auto"/>
          <w:lang w:val="en-US"/>
        </w:rPr>
      </w:pPr>
      <w:r w:rsidRPr="0012530B">
        <w:rPr>
          <w:b/>
          <w:bCs/>
          <w:color w:val="auto"/>
          <w:lang w:val="en-US"/>
        </w:rPr>
        <w:t xml:space="preserve">2.1. HLC </w:t>
      </w:r>
    </w:p>
    <w:p w14:paraId="39D7F839" w14:textId="77777777" w:rsidR="00D14577" w:rsidRPr="0012530B" w:rsidRDefault="00D14577" w:rsidP="00D14577">
      <w:pPr>
        <w:pStyle w:val="Default"/>
        <w:spacing w:after="120" w:line="20" w:lineRule="atLeast"/>
        <w:ind w:left="284"/>
        <w:jc w:val="both"/>
        <w:rPr>
          <w:color w:val="auto"/>
          <w:lang w:val="en-US"/>
        </w:rPr>
      </w:pPr>
      <w:r w:rsidRPr="0012530B">
        <w:rPr>
          <w:color w:val="auto"/>
          <w:lang w:val="en-US"/>
        </w:rPr>
        <w:t xml:space="preserve">The following principles and working methods will apply for the work of HLC: </w:t>
      </w:r>
    </w:p>
    <w:p w14:paraId="2D5A64B8" w14:textId="499C84A1" w:rsidR="00D14577" w:rsidRDefault="00D14577" w:rsidP="00D14577">
      <w:pPr>
        <w:pStyle w:val="Default"/>
        <w:spacing w:after="120" w:line="20" w:lineRule="atLeast"/>
        <w:ind w:left="1134" w:hanging="850"/>
        <w:jc w:val="both"/>
        <w:rPr>
          <w:color w:val="auto"/>
          <w:lang w:val="en-US"/>
        </w:rPr>
      </w:pPr>
      <w:r w:rsidRPr="00F759ED">
        <w:rPr>
          <w:color w:val="auto"/>
          <w:lang w:val="en-US"/>
        </w:rPr>
        <w:t xml:space="preserve">2.1.1. </w:t>
      </w:r>
      <w:r w:rsidRPr="00F759ED">
        <w:rPr>
          <w:color w:val="auto"/>
          <w:lang w:val="en-US"/>
        </w:rPr>
        <w:tab/>
        <w:t xml:space="preserve">The Presidency </w:t>
      </w:r>
      <w:r>
        <w:rPr>
          <w:color w:val="auto"/>
          <w:lang w:val="en-US"/>
        </w:rPr>
        <w:t xml:space="preserve">of HLC </w:t>
      </w:r>
      <w:r w:rsidRPr="00F759ED">
        <w:rPr>
          <w:color w:val="auto"/>
          <w:lang w:val="en-US"/>
        </w:rPr>
        <w:t xml:space="preserve">rotates </w:t>
      </w:r>
      <w:r w:rsidR="00EB6B8C">
        <w:rPr>
          <w:color w:val="auto"/>
          <w:lang w:val="en-US"/>
        </w:rPr>
        <w:t xml:space="preserve">between </w:t>
      </w:r>
      <w:r w:rsidR="00497E6C">
        <w:rPr>
          <w:color w:val="auto"/>
          <w:lang w:val="en-US"/>
        </w:rPr>
        <w:t xml:space="preserve">Croatian, </w:t>
      </w:r>
      <w:r w:rsidR="00B519DC">
        <w:rPr>
          <w:color w:val="auto"/>
          <w:lang w:val="en-US"/>
        </w:rPr>
        <w:t>Italian</w:t>
      </w:r>
      <w:r w:rsidR="00AD73A7">
        <w:rPr>
          <w:color w:val="auto"/>
          <w:lang w:val="en-US"/>
        </w:rPr>
        <w:t>,</w:t>
      </w:r>
      <w:r w:rsidR="00B519DC">
        <w:rPr>
          <w:color w:val="auto"/>
          <w:lang w:val="en-US"/>
        </w:rPr>
        <w:t xml:space="preserve"> </w:t>
      </w:r>
      <w:r w:rsidR="00AD73A7">
        <w:rPr>
          <w:color w:val="auto"/>
          <w:lang w:val="en-US"/>
        </w:rPr>
        <w:t>and Slovenian</w:t>
      </w:r>
      <w:r w:rsidR="00B519DC">
        <w:rPr>
          <w:color w:val="auto"/>
          <w:lang w:val="en-US"/>
        </w:rPr>
        <w:t xml:space="preserve"> </w:t>
      </w:r>
      <w:r w:rsidR="00D2258A">
        <w:rPr>
          <w:color w:val="auto"/>
          <w:lang w:val="en-US"/>
        </w:rPr>
        <w:t xml:space="preserve">fisheries </w:t>
      </w:r>
      <w:r w:rsidR="00B519DC">
        <w:rPr>
          <w:color w:val="auto"/>
          <w:lang w:val="en-US"/>
        </w:rPr>
        <w:t xml:space="preserve">administration </w:t>
      </w:r>
      <w:r w:rsidRPr="00F759ED">
        <w:rPr>
          <w:color w:val="auto"/>
          <w:lang w:val="en-US"/>
        </w:rPr>
        <w:t xml:space="preserve">for a one year period starting every year on the 1st of January (IT </w:t>
      </w:r>
      <w:r w:rsidR="00AD73A7" w:rsidRPr="00F759ED">
        <w:rPr>
          <w:color w:val="auto"/>
          <w:lang w:val="en-US"/>
        </w:rPr>
        <w:lastRenderedPageBreak/>
        <w:t>20</w:t>
      </w:r>
      <w:r w:rsidR="00AD73A7">
        <w:rPr>
          <w:color w:val="auto"/>
          <w:lang w:val="en-US"/>
        </w:rPr>
        <w:t>21</w:t>
      </w:r>
      <w:r w:rsidRPr="00F759ED">
        <w:rPr>
          <w:color w:val="auto"/>
          <w:lang w:val="en-US"/>
        </w:rPr>
        <w:t xml:space="preserve">, </w:t>
      </w:r>
      <w:r>
        <w:rPr>
          <w:color w:val="auto"/>
          <w:lang w:val="en-US"/>
        </w:rPr>
        <w:t>HR</w:t>
      </w:r>
      <w:r w:rsidRPr="00F759ED">
        <w:rPr>
          <w:color w:val="auto"/>
          <w:lang w:val="en-US"/>
        </w:rPr>
        <w:t xml:space="preserve"> </w:t>
      </w:r>
      <w:r w:rsidR="00AD73A7" w:rsidRPr="00F759ED">
        <w:rPr>
          <w:color w:val="auto"/>
          <w:lang w:val="en-US"/>
        </w:rPr>
        <w:t>20</w:t>
      </w:r>
      <w:r w:rsidR="00AD73A7">
        <w:rPr>
          <w:color w:val="auto"/>
          <w:lang w:val="en-US"/>
        </w:rPr>
        <w:t>22</w:t>
      </w:r>
      <w:r>
        <w:rPr>
          <w:color w:val="auto"/>
          <w:lang w:val="en-US"/>
        </w:rPr>
        <w:t>,</w:t>
      </w:r>
      <w:r w:rsidRPr="00F759ED">
        <w:rPr>
          <w:color w:val="auto"/>
          <w:lang w:val="en-US"/>
        </w:rPr>
        <w:t xml:space="preserve"> </w:t>
      </w:r>
      <w:r w:rsidR="00AD73A7">
        <w:rPr>
          <w:color w:val="auto"/>
          <w:lang w:val="en-US"/>
        </w:rPr>
        <w:t>S</w:t>
      </w:r>
      <w:r w:rsidR="002770DC">
        <w:rPr>
          <w:color w:val="auto"/>
          <w:lang w:val="en-US"/>
        </w:rPr>
        <w:t>I</w:t>
      </w:r>
      <w:r w:rsidR="00AD73A7">
        <w:rPr>
          <w:color w:val="auto"/>
          <w:lang w:val="en-US"/>
        </w:rPr>
        <w:t xml:space="preserve"> 2023, </w:t>
      </w:r>
      <w:r w:rsidRPr="00F759ED">
        <w:rPr>
          <w:color w:val="auto"/>
          <w:lang w:val="en-US"/>
        </w:rPr>
        <w:t>re</w:t>
      </w:r>
      <w:r w:rsidR="00C957F3">
        <w:rPr>
          <w:color w:val="auto"/>
          <w:lang w:val="en-US"/>
        </w:rPr>
        <w:t xml:space="preserve">peating the cycle after the </w:t>
      </w:r>
      <w:r w:rsidR="00AD73A7">
        <w:rPr>
          <w:color w:val="auto"/>
          <w:lang w:val="en-US"/>
        </w:rPr>
        <w:t>2023</w:t>
      </w:r>
      <w:r w:rsidRPr="00F759ED">
        <w:rPr>
          <w:color w:val="auto"/>
          <w:lang w:val="en-US"/>
        </w:rPr>
        <w:t>).</w:t>
      </w:r>
    </w:p>
    <w:p w14:paraId="7FD6C1A7" w14:textId="77777777" w:rsidR="00D14577" w:rsidRPr="0012530B" w:rsidRDefault="00D14577" w:rsidP="00D14577">
      <w:pPr>
        <w:pStyle w:val="Default"/>
        <w:spacing w:after="120" w:line="20" w:lineRule="atLeast"/>
        <w:ind w:left="1134" w:hanging="850"/>
        <w:jc w:val="both"/>
        <w:rPr>
          <w:color w:val="auto"/>
          <w:lang w:val="en-US"/>
        </w:rPr>
      </w:pPr>
      <w:r w:rsidRPr="0012530B">
        <w:rPr>
          <w:color w:val="auto"/>
          <w:lang w:val="en-US"/>
        </w:rPr>
        <w:t>2.1.</w:t>
      </w:r>
      <w:r>
        <w:rPr>
          <w:color w:val="auto"/>
          <w:lang w:val="en-US"/>
        </w:rPr>
        <w:t>2</w:t>
      </w:r>
      <w:r w:rsidRPr="0012530B">
        <w:rPr>
          <w:color w:val="auto"/>
          <w:lang w:val="en-US"/>
        </w:rPr>
        <w:t xml:space="preserve">. </w:t>
      </w:r>
      <w:r w:rsidRPr="0012530B">
        <w:rPr>
          <w:color w:val="auto"/>
          <w:lang w:val="en-US"/>
        </w:rPr>
        <w:tab/>
      </w:r>
      <w:r>
        <w:rPr>
          <w:color w:val="auto"/>
          <w:lang w:val="en-US"/>
        </w:rPr>
        <w:t xml:space="preserve">The </w:t>
      </w:r>
      <w:r w:rsidRPr="00F759ED">
        <w:rPr>
          <w:color w:val="auto"/>
          <w:lang w:val="en-US"/>
        </w:rPr>
        <w:t>Presidency</w:t>
      </w:r>
      <w:r w:rsidRPr="0012530B">
        <w:rPr>
          <w:color w:val="auto"/>
          <w:lang w:val="en-US"/>
        </w:rPr>
        <w:t xml:space="preserve"> establish</w:t>
      </w:r>
      <w:r w:rsidR="00042746">
        <w:rPr>
          <w:color w:val="auto"/>
          <w:lang w:val="en-US"/>
        </w:rPr>
        <w:t>es</w:t>
      </w:r>
      <w:r w:rsidRPr="0012530B">
        <w:rPr>
          <w:color w:val="auto"/>
          <w:lang w:val="en-US"/>
        </w:rPr>
        <w:t xml:space="preserve"> dates and place</w:t>
      </w:r>
      <w:r w:rsidR="00042746">
        <w:rPr>
          <w:color w:val="auto"/>
          <w:lang w:val="en-US"/>
        </w:rPr>
        <w:t>s</w:t>
      </w:r>
      <w:r w:rsidRPr="0012530B">
        <w:rPr>
          <w:color w:val="auto"/>
          <w:lang w:val="en-US"/>
        </w:rPr>
        <w:t xml:space="preserve"> for meetings, suggest</w:t>
      </w:r>
      <w:r w:rsidR="00E87357">
        <w:rPr>
          <w:color w:val="auto"/>
          <w:lang w:val="en-US"/>
        </w:rPr>
        <w:t>s</w:t>
      </w:r>
      <w:r w:rsidRPr="0012530B">
        <w:rPr>
          <w:color w:val="auto"/>
          <w:lang w:val="en-US"/>
        </w:rPr>
        <w:t xml:space="preserve"> to keep at least one meeting per year and proposes an indicative list of topics to be discussed. The default working language is English.</w:t>
      </w:r>
    </w:p>
    <w:p w14:paraId="6CD02990" w14:textId="77777777" w:rsidR="00D14577" w:rsidRPr="0012530B" w:rsidRDefault="00D14577" w:rsidP="00D14577">
      <w:pPr>
        <w:pStyle w:val="Default"/>
        <w:spacing w:after="120" w:line="20" w:lineRule="atLeast"/>
        <w:ind w:left="1134" w:hanging="850"/>
        <w:jc w:val="both"/>
        <w:rPr>
          <w:color w:val="auto"/>
          <w:lang w:val="en-US"/>
        </w:rPr>
      </w:pPr>
      <w:r w:rsidRPr="0012530B">
        <w:rPr>
          <w:color w:val="auto"/>
          <w:lang w:val="en-US"/>
        </w:rPr>
        <w:t>2.1.</w:t>
      </w:r>
      <w:r>
        <w:rPr>
          <w:color w:val="auto"/>
          <w:lang w:val="en-US"/>
        </w:rPr>
        <w:t>3</w:t>
      </w:r>
      <w:r w:rsidRPr="0012530B">
        <w:rPr>
          <w:color w:val="auto"/>
          <w:lang w:val="en-US"/>
        </w:rPr>
        <w:t xml:space="preserve">. </w:t>
      </w:r>
      <w:r w:rsidRPr="0012530B">
        <w:rPr>
          <w:color w:val="auto"/>
          <w:lang w:val="en-US"/>
        </w:rPr>
        <w:tab/>
        <w:t>An official is identified in each</w:t>
      </w:r>
      <w:r w:rsidR="00E87357">
        <w:rPr>
          <w:color w:val="auto"/>
          <w:lang w:val="en-US"/>
        </w:rPr>
        <w:t xml:space="preserve"> of the EU</w:t>
      </w:r>
      <w:r w:rsidRPr="0012530B">
        <w:rPr>
          <w:color w:val="auto"/>
          <w:lang w:val="en-US"/>
        </w:rPr>
        <w:t xml:space="preserve"> Member State</w:t>
      </w:r>
      <w:r w:rsidR="00D51C91">
        <w:rPr>
          <w:color w:val="auto"/>
          <w:lang w:val="en-US"/>
        </w:rPr>
        <w:t>s’ fisheries administration</w:t>
      </w:r>
      <w:r w:rsidRPr="0012530B">
        <w:rPr>
          <w:color w:val="auto"/>
          <w:lang w:val="en-US"/>
        </w:rPr>
        <w:t xml:space="preserve"> as responsible for the administrative work and communication (coordinator). </w:t>
      </w:r>
    </w:p>
    <w:p w14:paraId="08D769EF" w14:textId="77777777" w:rsidR="00D14577" w:rsidRPr="0012530B" w:rsidRDefault="00D14577" w:rsidP="00D14577">
      <w:pPr>
        <w:pStyle w:val="Default"/>
        <w:spacing w:after="120" w:line="20" w:lineRule="atLeast"/>
        <w:ind w:left="1134" w:hanging="850"/>
        <w:jc w:val="both"/>
        <w:rPr>
          <w:color w:val="auto"/>
          <w:lang w:val="en-US"/>
        </w:rPr>
      </w:pPr>
      <w:r w:rsidRPr="0012530B">
        <w:rPr>
          <w:color w:val="auto"/>
          <w:lang w:val="en-US"/>
        </w:rPr>
        <w:t>2.1.</w:t>
      </w:r>
      <w:r>
        <w:rPr>
          <w:color w:val="auto"/>
          <w:lang w:val="en-US"/>
        </w:rPr>
        <w:t>4</w:t>
      </w:r>
      <w:r w:rsidRPr="0012530B">
        <w:rPr>
          <w:color w:val="auto"/>
          <w:lang w:val="en-US"/>
        </w:rPr>
        <w:t xml:space="preserve">. </w:t>
      </w:r>
      <w:r w:rsidRPr="0012530B">
        <w:rPr>
          <w:color w:val="auto"/>
          <w:lang w:val="en-US"/>
        </w:rPr>
        <w:tab/>
        <w:t xml:space="preserve">Stakeholders in Adriatic Sea fisheries may address their positions and proposals to the </w:t>
      </w:r>
      <w:r w:rsidR="00D51C91">
        <w:rPr>
          <w:color w:val="auto"/>
          <w:lang w:val="en-US"/>
        </w:rPr>
        <w:t>EU Member States’ fisheries administrations</w:t>
      </w:r>
      <w:r w:rsidRPr="0012530B">
        <w:rPr>
          <w:color w:val="auto"/>
          <w:lang w:val="en-US"/>
        </w:rPr>
        <w:t xml:space="preserve">. Where appropriate, they will be put on the agenda for an incoming meeting of HLC or scheduled for the TG. </w:t>
      </w:r>
    </w:p>
    <w:p w14:paraId="4B07A999" w14:textId="77777777" w:rsidR="00D14577" w:rsidRPr="0012530B" w:rsidRDefault="00D14577" w:rsidP="00D14577">
      <w:pPr>
        <w:pStyle w:val="Default"/>
        <w:spacing w:after="120" w:line="20" w:lineRule="atLeast"/>
        <w:ind w:left="1134" w:hanging="850"/>
        <w:jc w:val="both"/>
        <w:rPr>
          <w:color w:val="auto"/>
          <w:lang w:val="en-US"/>
        </w:rPr>
      </w:pPr>
      <w:r w:rsidRPr="0012530B">
        <w:rPr>
          <w:color w:val="auto"/>
          <w:lang w:val="en-US"/>
        </w:rPr>
        <w:t>2.1.</w:t>
      </w:r>
      <w:r>
        <w:rPr>
          <w:color w:val="auto"/>
          <w:lang w:val="en-US"/>
        </w:rPr>
        <w:t>5</w:t>
      </w:r>
      <w:r w:rsidRPr="0012530B">
        <w:rPr>
          <w:color w:val="auto"/>
          <w:lang w:val="en-US"/>
        </w:rPr>
        <w:t xml:space="preserve">. </w:t>
      </w:r>
      <w:r w:rsidRPr="0012530B">
        <w:rPr>
          <w:color w:val="auto"/>
          <w:lang w:val="en-US"/>
        </w:rPr>
        <w:tab/>
        <w:t xml:space="preserve">HLC can prepare positions and joint recommendations as proposals for consideration and possible follow-up by the EU institutions or, if so agreed, at national level </w:t>
      </w:r>
      <w:r w:rsidR="00773719">
        <w:rPr>
          <w:color w:val="auto"/>
          <w:lang w:val="en-US"/>
        </w:rPr>
        <w:t>without prejudice to national rules and procedures</w:t>
      </w:r>
      <w:r w:rsidRPr="0012530B">
        <w:rPr>
          <w:color w:val="auto"/>
          <w:lang w:val="en-US"/>
        </w:rPr>
        <w:t>.</w:t>
      </w:r>
    </w:p>
    <w:p w14:paraId="00024022" w14:textId="77777777" w:rsidR="00D14577" w:rsidRPr="0012530B" w:rsidRDefault="00D14577" w:rsidP="00D14577">
      <w:pPr>
        <w:pStyle w:val="Default"/>
        <w:spacing w:after="120" w:line="20" w:lineRule="atLeast"/>
        <w:ind w:left="1134" w:hanging="850"/>
        <w:jc w:val="both"/>
        <w:rPr>
          <w:color w:val="auto"/>
          <w:lang w:val="en-US"/>
        </w:rPr>
      </w:pPr>
      <w:r w:rsidRPr="0012530B">
        <w:rPr>
          <w:color w:val="auto"/>
          <w:lang w:val="en-US"/>
        </w:rPr>
        <w:t>2.1.</w:t>
      </w:r>
      <w:r>
        <w:rPr>
          <w:color w:val="auto"/>
          <w:lang w:val="en-US"/>
        </w:rPr>
        <w:t>6</w:t>
      </w:r>
      <w:r w:rsidRPr="0012530B">
        <w:rPr>
          <w:color w:val="auto"/>
          <w:lang w:val="en-US"/>
        </w:rPr>
        <w:t xml:space="preserve">. </w:t>
      </w:r>
      <w:r w:rsidRPr="0012530B">
        <w:rPr>
          <w:color w:val="auto"/>
          <w:lang w:val="en-US"/>
        </w:rPr>
        <w:tab/>
      </w:r>
      <w:r w:rsidR="009821D7">
        <w:rPr>
          <w:color w:val="auto"/>
          <w:lang w:val="en-US"/>
        </w:rPr>
        <w:t xml:space="preserve">EU </w:t>
      </w:r>
      <w:r w:rsidRPr="0012530B">
        <w:rPr>
          <w:color w:val="auto"/>
          <w:lang w:val="en-US"/>
        </w:rPr>
        <w:t>Member States</w:t>
      </w:r>
      <w:r w:rsidR="009821D7">
        <w:rPr>
          <w:color w:val="auto"/>
          <w:lang w:val="en-US"/>
        </w:rPr>
        <w:t>’ fisheries administrations</w:t>
      </w:r>
      <w:r w:rsidRPr="0012530B">
        <w:rPr>
          <w:color w:val="auto"/>
          <w:lang w:val="en-US"/>
        </w:rPr>
        <w:t xml:space="preserve"> take due account of the views expressed by the EU Commission in preparing and discussing draft positions or joint recommendations. </w:t>
      </w:r>
    </w:p>
    <w:p w14:paraId="7162FAE4" w14:textId="77777777" w:rsidR="00D14577" w:rsidRPr="0012530B" w:rsidRDefault="00D14577" w:rsidP="00D14577">
      <w:pPr>
        <w:pStyle w:val="Default"/>
        <w:spacing w:after="120" w:line="20" w:lineRule="atLeast"/>
        <w:ind w:left="1134" w:hanging="850"/>
        <w:jc w:val="both"/>
        <w:rPr>
          <w:color w:val="auto"/>
          <w:lang w:val="en-US"/>
        </w:rPr>
      </w:pPr>
      <w:r w:rsidRPr="0012530B">
        <w:rPr>
          <w:color w:val="auto"/>
          <w:lang w:val="en-US"/>
        </w:rPr>
        <w:t>2.1.</w:t>
      </w:r>
      <w:r>
        <w:rPr>
          <w:color w:val="auto"/>
          <w:lang w:val="en-US"/>
        </w:rPr>
        <w:t>7</w:t>
      </w:r>
      <w:r w:rsidRPr="0012530B">
        <w:rPr>
          <w:color w:val="auto"/>
          <w:lang w:val="en-US"/>
        </w:rPr>
        <w:t xml:space="preserve">. </w:t>
      </w:r>
      <w:r w:rsidRPr="0012530B">
        <w:rPr>
          <w:bCs/>
          <w:color w:val="auto"/>
          <w:lang w:val="en-US"/>
        </w:rPr>
        <w:tab/>
      </w:r>
      <w:r w:rsidR="00CD7A1A">
        <w:rPr>
          <w:bCs/>
          <w:color w:val="auto"/>
          <w:lang w:val="en-US"/>
        </w:rPr>
        <w:t xml:space="preserve">EU </w:t>
      </w:r>
      <w:r w:rsidRPr="0012530B">
        <w:rPr>
          <w:bCs/>
          <w:color w:val="auto"/>
          <w:lang w:val="en-US"/>
        </w:rPr>
        <w:t>Member States</w:t>
      </w:r>
      <w:r w:rsidR="00CD7A1A">
        <w:rPr>
          <w:bCs/>
          <w:color w:val="auto"/>
          <w:lang w:val="en-US"/>
        </w:rPr>
        <w:t>’ fisheries administrations</w:t>
      </w:r>
      <w:r w:rsidRPr="0012530B">
        <w:rPr>
          <w:color w:val="auto"/>
          <w:lang w:val="en-US"/>
        </w:rPr>
        <w:t xml:space="preserve"> base</w:t>
      </w:r>
      <w:r>
        <w:rPr>
          <w:color w:val="auto"/>
          <w:lang w:val="en-US"/>
        </w:rPr>
        <w:t xml:space="preserve"> their views</w:t>
      </w:r>
      <w:r w:rsidRPr="0012530B">
        <w:rPr>
          <w:color w:val="auto"/>
          <w:lang w:val="en-US"/>
        </w:rPr>
        <w:t xml:space="preserve"> on the best available scientific as well as other information and thereby rel</w:t>
      </w:r>
      <w:r w:rsidR="001859BB">
        <w:rPr>
          <w:color w:val="auto"/>
          <w:lang w:val="en-US"/>
        </w:rPr>
        <w:t>y</w:t>
      </w:r>
      <w:r w:rsidRPr="0012530B">
        <w:rPr>
          <w:color w:val="auto"/>
          <w:lang w:val="en-US"/>
        </w:rPr>
        <w:t xml:space="preserve"> on good cooperation and information exchange with the relevant </w:t>
      </w:r>
      <w:proofErr w:type="spellStart"/>
      <w:r w:rsidRPr="0012530B">
        <w:rPr>
          <w:color w:val="auto"/>
          <w:lang w:val="en-US"/>
        </w:rPr>
        <w:t>organisations</w:t>
      </w:r>
      <w:proofErr w:type="spellEnd"/>
      <w:r w:rsidRPr="0012530B">
        <w:rPr>
          <w:color w:val="auto"/>
          <w:lang w:val="en-US"/>
        </w:rPr>
        <w:t xml:space="preserve"> in the Adriatic Sea Region. These relevant </w:t>
      </w:r>
      <w:proofErr w:type="spellStart"/>
      <w:r w:rsidRPr="0012530B">
        <w:rPr>
          <w:color w:val="auto"/>
          <w:lang w:val="en-US"/>
        </w:rPr>
        <w:t>organisations</w:t>
      </w:r>
      <w:proofErr w:type="spellEnd"/>
      <w:r w:rsidRPr="0012530B">
        <w:rPr>
          <w:color w:val="auto"/>
          <w:lang w:val="en-US"/>
        </w:rPr>
        <w:t xml:space="preserve"> are in particular MEDAC, European Fisheries Control Agency (EFCA), FAO-AdriaMed and other relevant stakeholders in the Adriatic Sea fisheries as agreed by </w:t>
      </w:r>
      <w:r w:rsidR="001859BB">
        <w:rPr>
          <w:color w:val="auto"/>
          <w:lang w:val="en-US"/>
        </w:rPr>
        <w:t xml:space="preserve">EU </w:t>
      </w:r>
      <w:r w:rsidRPr="0012530B">
        <w:rPr>
          <w:color w:val="auto"/>
          <w:lang w:val="en-US"/>
        </w:rPr>
        <w:t>Member States</w:t>
      </w:r>
      <w:r w:rsidR="001859BB">
        <w:rPr>
          <w:color w:val="auto"/>
          <w:lang w:val="en-US"/>
        </w:rPr>
        <w:t>’ fisheries administrations</w:t>
      </w:r>
      <w:r w:rsidRPr="0012530B">
        <w:rPr>
          <w:color w:val="auto"/>
          <w:lang w:val="en-US"/>
        </w:rPr>
        <w:t xml:space="preserve">. The HLC may invite stakeholders that are deemed relevant to present positions or take part in discussions in the HLC meetings. </w:t>
      </w:r>
    </w:p>
    <w:p w14:paraId="7D3FF2EA" w14:textId="77777777" w:rsidR="00D14577" w:rsidRPr="0012530B" w:rsidRDefault="00D14577" w:rsidP="00D14577">
      <w:pPr>
        <w:pStyle w:val="Default"/>
        <w:spacing w:after="120" w:line="20" w:lineRule="atLeast"/>
        <w:ind w:left="1134" w:hanging="850"/>
        <w:jc w:val="both"/>
        <w:rPr>
          <w:color w:val="auto"/>
          <w:lang w:val="en-US"/>
        </w:rPr>
      </w:pPr>
      <w:r w:rsidRPr="0012530B">
        <w:rPr>
          <w:color w:val="auto"/>
          <w:lang w:val="en-US"/>
        </w:rPr>
        <w:t>2.1.</w:t>
      </w:r>
      <w:r>
        <w:rPr>
          <w:color w:val="auto"/>
          <w:lang w:val="en-US"/>
        </w:rPr>
        <w:t>8</w:t>
      </w:r>
      <w:r w:rsidRPr="0012530B">
        <w:rPr>
          <w:color w:val="auto"/>
          <w:lang w:val="en-US"/>
        </w:rPr>
        <w:t>.</w:t>
      </w:r>
      <w:r w:rsidRPr="0012530B">
        <w:rPr>
          <w:color w:val="auto"/>
          <w:lang w:val="en-US"/>
        </w:rPr>
        <w:tab/>
        <w:t>The deliberations of the</w:t>
      </w:r>
      <w:r w:rsidRPr="0012530B">
        <w:rPr>
          <w:rFonts w:ascii="Cambria" w:hAnsi="Cambria" w:cs="Times New Roman"/>
          <w:color w:val="auto"/>
          <w:lang w:val="en-US"/>
        </w:rPr>
        <w:t xml:space="preserve"> </w:t>
      </w:r>
      <w:r w:rsidRPr="0012530B">
        <w:rPr>
          <w:color w:val="auto"/>
          <w:lang w:val="en-US"/>
        </w:rPr>
        <w:t xml:space="preserve">HLC, will take into account the roles and responsibilities of </w:t>
      </w:r>
      <w:r w:rsidR="001859BB">
        <w:rPr>
          <w:color w:val="auto"/>
          <w:lang w:val="en-US"/>
        </w:rPr>
        <w:t xml:space="preserve">EU </w:t>
      </w:r>
      <w:r w:rsidRPr="0012530B">
        <w:rPr>
          <w:color w:val="auto"/>
          <w:lang w:val="en-US"/>
        </w:rPr>
        <w:t>Member States</w:t>
      </w:r>
      <w:r w:rsidR="001859BB">
        <w:rPr>
          <w:color w:val="auto"/>
          <w:lang w:val="en-US"/>
        </w:rPr>
        <w:t>’ fisheries administrations</w:t>
      </w:r>
      <w:r w:rsidRPr="0012530B">
        <w:rPr>
          <w:color w:val="auto"/>
          <w:lang w:val="en-US"/>
        </w:rPr>
        <w:t xml:space="preserve"> and EU institutions with regard to negotiations with third countries, joining up with existing bilateral processes in a constructive and timely manner.</w:t>
      </w:r>
    </w:p>
    <w:p w14:paraId="1956ECFA" w14:textId="77777777" w:rsidR="00D14577" w:rsidRPr="0012530B" w:rsidRDefault="00D14577" w:rsidP="00D14577">
      <w:pPr>
        <w:pStyle w:val="Default"/>
        <w:spacing w:after="120" w:line="20" w:lineRule="atLeast"/>
        <w:ind w:left="1134" w:hanging="850"/>
        <w:jc w:val="both"/>
        <w:rPr>
          <w:color w:val="auto"/>
          <w:lang w:val="en-US"/>
        </w:rPr>
      </w:pPr>
      <w:r w:rsidRPr="0012530B">
        <w:rPr>
          <w:color w:val="auto"/>
          <w:lang w:val="en-US"/>
        </w:rPr>
        <w:t>2.1.</w:t>
      </w:r>
      <w:r>
        <w:rPr>
          <w:color w:val="auto"/>
          <w:lang w:val="en-US"/>
        </w:rPr>
        <w:t>9</w:t>
      </w:r>
      <w:r w:rsidRPr="0012530B">
        <w:rPr>
          <w:color w:val="auto"/>
          <w:lang w:val="en-US"/>
        </w:rPr>
        <w:t>.</w:t>
      </w:r>
      <w:r w:rsidRPr="0012530B">
        <w:rPr>
          <w:color w:val="auto"/>
          <w:lang w:val="en-US"/>
        </w:rPr>
        <w:tab/>
        <w:t xml:space="preserve">HLC may decide to establish ad hoc working groups on specific issues that need in-depth work of experts as well as to organize specific TGs and meetings. </w:t>
      </w:r>
    </w:p>
    <w:p w14:paraId="36CDF0F0" w14:textId="77777777" w:rsidR="00D14577" w:rsidRPr="0012530B" w:rsidRDefault="00D14577" w:rsidP="00D14577">
      <w:pPr>
        <w:pStyle w:val="Default"/>
        <w:spacing w:after="120" w:line="20" w:lineRule="atLeast"/>
        <w:ind w:left="284"/>
        <w:jc w:val="both"/>
        <w:rPr>
          <w:color w:val="auto"/>
          <w:lang w:val="en-US"/>
        </w:rPr>
      </w:pPr>
      <w:r w:rsidRPr="0012530B">
        <w:rPr>
          <w:b/>
          <w:bCs/>
          <w:color w:val="auto"/>
          <w:lang w:val="en-US"/>
        </w:rPr>
        <w:t>2.2. TG</w:t>
      </w:r>
    </w:p>
    <w:p w14:paraId="15A0F0EB" w14:textId="77777777" w:rsidR="00D14577" w:rsidRPr="0012530B" w:rsidRDefault="00D14577" w:rsidP="00D14577">
      <w:pPr>
        <w:pStyle w:val="Default"/>
        <w:spacing w:after="120" w:line="20" w:lineRule="atLeast"/>
        <w:ind w:left="284"/>
        <w:jc w:val="both"/>
        <w:rPr>
          <w:color w:val="auto"/>
          <w:lang w:val="en-US"/>
        </w:rPr>
      </w:pPr>
      <w:r w:rsidRPr="0012530B">
        <w:rPr>
          <w:color w:val="auto"/>
          <w:lang w:val="en-US"/>
        </w:rPr>
        <w:t xml:space="preserve">The following principles will be applied in organizing TG: </w:t>
      </w:r>
    </w:p>
    <w:p w14:paraId="5A473705" w14:textId="77777777" w:rsidR="00D14577" w:rsidRPr="0012530B" w:rsidRDefault="00D14577" w:rsidP="00D14577">
      <w:pPr>
        <w:pStyle w:val="Default"/>
        <w:spacing w:after="120" w:line="20" w:lineRule="atLeast"/>
        <w:ind w:left="1134" w:hanging="850"/>
        <w:jc w:val="both"/>
        <w:rPr>
          <w:color w:val="auto"/>
          <w:lang w:val="en-US"/>
        </w:rPr>
      </w:pPr>
      <w:r w:rsidRPr="0012530B">
        <w:rPr>
          <w:color w:val="auto"/>
          <w:lang w:val="en-US"/>
        </w:rPr>
        <w:t xml:space="preserve">2.2.1. </w:t>
      </w:r>
      <w:r w:rsidRPr="0012530B">
        <w:rPr>
          <w:color w:val="auto"/>
          <w:lang w:val="en-US"/>
        </w:rPr>
        <w:tab/>
        <w:t xml:space="preserve">The HLC proposes dates and place for meetings of TG. </w:t>
      </w:r>
    </w:p>
    <w:p w14:paraId="791697E0" w14:textId="77777777" w:rsidR="00D14577" w:rsidRPr="0012530B" w:rsidRDefault="00D14577" w:rsidP="00D14577">
      <w:pPr>
        <w:pStyle w:val="Default"/>
        <w:spacing w:after="120" w:line="20" w:lineRule="atLeast"/>
        <w:ind w:left="1134" w:hanging="850"/>
        <w:jc w:val="both"/>
        <w:rPr>
          <w:color w:val="auto"/>
          <w:lang w:val="en-US"/>
        </w:rPr>
      </w:pPr>
      <w:r w:rsidRPr="0012530B">
        <w:rPr>
          <w:color w:val="auto"/>
          <w:lang w:val="en-US"/>
        </w:rPr>
        <w:t xml:space="preserve">2.2.2. </w:t>
      </w:r>
      <w:r w:rsidRPr="0012530B">
        <w:rPr>
          <w:color w:val="auto"/>
          <w:lang w:val="en-US"/>
        </w:rPr>
        <w:tab/>
        <w:t>Draft positions, joint recommendations and other important topics for Adriatic Sea fisheries may be discussed within the TG with relevant stakeholders before any position is to be formulated by the HLC.</w:t>
      </w:r>
    </w:p>
    <w:p w14:paraId="72CD5D24" w14:textId="77777777" w:rsidR="00D14577" w:rsidRPr="0012530B" w:rsidRDefault="00D14577" w:rsidP="00D14577">
      <w:pPr>
        <w:pStyle w:val="Default"/>
        <w:spacing w:after="120" w:line="20" w:lineRule="atLeast"/>
        <w:ind w:left="1134" w:hanging="850"/>
        <w:jc w:val="both"/>
        <w:rPr>
          <w:color w:val="auto"/>
          <w:lang w:val="en-US"/>
        </w:rPr>
      </w:pPr>
      <w:r w:rsidRPr="0012530B">
        <w:rPr>
          <w:color w:val="auto"/>
          <w:lang w:val="en-US"/>
        </w:rPr>
        <w:t xml:space="preserve">2.2.3. </w:t>
      </w:r>
      <w:r w:rsidRPr="0012530B">
        <w:rPr>
          <w:color w:val="auto"/>
          <w:lang w:val="en-US"/>
        </w:rPr>
        <w:tab/>
        <w:t xml:space="preserve">Discussions, consultations and presentations in the TG provide necessary feedback and stakeholders’ expertise to assist HLC in preparation of the positions and joint recommendations. </w:t>
      </w:r>
    </w:p>
    <w:p w14:paraId="4B7B1627" w14:textId="77777777" w:rsidR="00D14577" w:rsidRDefault="00D14577" w:rsidP="00D14577">
      <w:pPr>
        <w:pStyle w:val="Default"/>
        <w:spacing w:after="120" w:line="20" w:lineRule="atLeast"/>
        <w:jc w:val="both"/>
        <w:rPr>
          <w:b/>
          <w:color w:val="auto"/>
          <w:lang w:val="en-US"/>
        </w:rPr>
      </w:pPr>
    </w:p>
    <w:p w14:paraId="4C0DBB8C" w14:textId="77777777" w:rsidR="00D14577" w:rsidRPr="0012530B" w:rsidRDefault="00D14577" w:rsidP="00D14577">
      <w:pPr>
        <w:pStyle w:val="Default"/>
        <w:spacing w:after="120" w:line="20" w:lineRule="atLeast"/>
        <w:jc w:val="both"/>
        <w:rPr>
          <w:b/>
          <w:bCs/>
          <w:color w:val="auto"/>
          <w:lang w:val="en-US"/>
        </w:rPr>
      </w:pPr>
      <w:r w:rsidRPr="0012530B">
        <w:rPr>
          <w:b/>
          <w:color w:val="auto"/>
          <w:lang w:val="en-US"/>
        </w:rPr>
        <w:t xml:space="preserve">3. </w:t>
      </w:r>
      <w:r w:rsidRPr="0012530B">
        <w:rPr>
          <w:b/>
          <w:bCs/>
          <w:color w:val="auto"/>
          <w:lang w:val="en-US"/>
        </w:rPr>
        <w:t xml:space="preserve">Procedures for transposing positions or joint recommendations into legislation </w:t>
      </w:r>
    </w:p>
    <w:p w14:paraId="45E0BA7B" w14:textId="77777777" w:rsidR="00D14577" w:rsidRPr="0012530B" w:rsidRDefault="00D14577" w:rsidP="00D14577">
      <w:pPr>
        <w:pStyle w:val="Default"/>
        <w:spacing w:after="120" w:line="20" w:lineRule="atLeast"/>
        <w:ind w:left="284"/>
        <w:jc w:val="both"/>
        <w:rPr>
          <w:color w:val="auto"/>
          <w:lang w:val="en-US"/>
        </w:rPr>
      </w:pPr>
      <w:r w:rsidRPr="0012530B">
        <w:rPr>
          <w:b/>
          <w:bCs/>
          <w:iCs/>
          <w:color w:val="auto"/>
          <w:lang w:val="en-US"/>
        </w:rPr>
        <w:t xml:space="preserve">3.1. Application of regional approach in the </w:t>
      </w:r>
      <w:r w:rsidRPr="0012530B">
        <w:rPr>
          <w:b/>
          <w:color w:val="auto"/>
          <w:lang w:val="en-US"/>
        </w:rPr>
        <w:t>Adriatic Sea</w:t>
      </w:r>
      <w:r w:rsidRPr="0012530B">
        <w:rPr>
          <w:color w:val="auto"/>
          <w:lang w:val="en-US"/>
        </w:rPr>
        <w:t xml:space="preserve"> </w:t>
      </w:r>
      <w:r w:rsidRPr="0012530B">
        <w:rPr>
          <w:b/>
          <w:bCs/>
          <w:iCs/>
          <w:color w:val="auto"/>
          <w:lang w:val="en-US"/>
        </w:rPr>
        <w:t xml:space="preserve">by a Commission delegated or implementing act (EU implementation) </w:t>
      </w:r>
    </w:p>
    <w:p w14:paraId="595EEB9B" w14:textId="77777777" w:rsidR="00D14577" w:rsidRPr="0012530B" w:rsidRDefault="00D14577" w:rsidP="00D14577">
      <w:pPr>
        <w:pStyle w:val="Default"/>
        <w:spacing w:after="120" w:line="20" w:lineRule="atLeast"/>
        <w:ind w:left="284"/>
        <w:jc w:val="both"/>
        <w:rPr>
          <w:color w:val="auto"/>
          <w:lang w:val="en-US"/>
        </w:rPr>
      </w:pPr>
      <w:r w:rsidRPr="0012530B">
        <w:rPr>
          <w:color w:val="auto"/>
          <w:lang w:val="en-US"/>
        </w:rPr>
        <w:t>Where the HLC position</w:t>
      </w:r>
      <w:r w:rsidR="00DF2AA8">
        <w:rPr>
          <w:color w:val="auto"/>
          <w:lang w:val="en-US"/>
        </w:rPr>
        <w:t>s</w:t>
      </w:r>
      <w:r w:rsidRPr="0012530B">
        <w:rPr>
          <w:color w:val="auto"/>
          <w:lang w:val="en-US"/>
        </w:rPr>
        <w:t xml:space="preserve"> or joint recommendation</w:t>
      </w:r>
      <w:r w:rsidR="00DF2AA8">
        <w:rPr>
          <w:color w:val="auto"/>
          <w:lang w:val="en-US"/>
        </w:rPr>
        <w:t>s</w:t>
      </w:r>
      <w:r w:rsidRPr="0012530B">
        <w:rPr>
          <w:color w:val="auto"/>
          <w:lang w:val="en-US"/>
        </w:rPr>
        <w:t xml:space="preserve"> in </w:t>
      </w:r>
      <w:r w:rsidR="00174F6D">
        <w:rPr>
          <w:color w:val="auto"/>
          <w:lang w:val="en-US"/>
        </w:rPr>
        <w:t>their</w:t>
      </w:r>
      <w:r w:rsidRPr="0012530B">
        <w:rPr>
          <w:color w:val="auto"/>
          <w:lang w:val="en-US"/>
        </w:rPr>
        <w:t xml:space="preserve"> nature compl</w:t>
      </w:r>
      <w:r w:rsidR="00174F6D">
        <w:rPr>
          <w:color w:val="auto"/>
          <w:lang w:val="en-US"/>
        </w:rPr>
        <w:t>y</w:t>
      </w:r>
      <w:r w:rsidRPr="0012530B">
        <w:rPr>
          <w:color w:val="auto"/>
          <w:lang w:val="en-US"/>
        </w:rPr>
        <w:t xml:space="preserve"> with the provisions of delegated acts (non-essential elements, sunset clause, restricted and well defined scope) </w:t>
      </w:r>
      <w:r w:rsidR="00174F6D">
        <w:rPr>
          <w:color w:val="auto"/>
          <w:lang w:val="en-US"/>
        </w:rPr>
        <w:lastRenderedPageBreak/>
        <w:t>they</w:t>
      </w:r>
      <w:r w:rsidRPr="0012530B">
        <w:rPr>
          <w:color w:val="auto"/>
          <w:lang w:val="en-US"/>
        </w:rPr>
        <w:t xml:space="preserve"> may be forwarded by the Presidency to the EU Commission and, if relevant, to the Presidency of the Council of the European Union, </w:t>
      </w:r>
      <w:r w:rsidR="00C815C8">
        <w:rPr>
          <w:color w:val="auto"/>
          <w:lang w:val="en-US"/>
        </w:rPr>
        <w:t xml:space="preserve">to their respective consideration as a basis for drafting of </w:t>
      </w:r>
      <w:r w:rsidRPr="0012530B">
        <w:rPr>
          <w:color w:val="auto"/>
          <w:lang w:val="en-US"/>
        </w:rPr>
        <w:t>delegated act</w:t>
      </w:r>
      <w:r w:rsidR="0036567C">
        <w:rPr>
          <w:color w:val="auto"/>
          <w:lang w:val="en-US"/>
        </w:rPr>
        <w:t>s</w:t>
      </w:r>
      <w:r w:rsidRPr="0012530B">
        <w:rPr>
          <w:color w:val="auto"/>
          <w:lang w:val="en-US"/>
        </w:rPr>
        <w:t xml:space="preserve">. The </w:t>
      </w:r>
      <w:r w:rsidRPr="0012530B">
        <w:rPr>
          <w:bCs/>
          <w:color w:val="auto"/>
          <w:lang w:val="en-US"/>
        </w:rPr>
        <w:t>HLC</w:t>
      </w:r>
      <w:r w:rsidRPr="0012530B">
        <w:rPr>
          <w:color w:val="auto"/>
          <w:lang w:val="en-US"/>
        </w:rPr>
        <w:t xml:space="preserve"> position</w:t>
      </w:r>
      <w:r w:rsidR="0036567C">
        <w:rPr>
          <w:color w:val="auto"/>
          <w:lang w:val="en-US"/>
        </w:rPr>
        <w:t>s</w:t>
      </w:r>
      <w:r w:rsidRPr="0012530B">
        <w:rPr>
          <w:color w:val="auto"/>
          <w:lang w:val="en-US"/>
        </w:rPr>
        <w:t xml:space="preserve"> or joint recommendation</w:t>
      </w:r>
      <w:r w:rsidR="0036567C">
        <w:rPr>
          <w:color w:val="auto"/>
          <w:lang w:val="en-US"/>
        </w:rPr>
        <w:t>s</w:t>
      </w:r>
      <w:r w:rsidRPr="0012530B">
        <w:rPr>
          <w:color w:val="auto"/>
          <w:lang w:val="en-US"/>
        </w:rPr>
        <w:t xml:space="preserve"> may also be forwarded to the EU Commission </w:t>
      </w:r>
      <w:r w:rsidR="00331FA6">
        <w:rPr>
          <w:color w:val="auto"/>
          <w:lang w:val="en-US"/>
        </w:rPr>
        <w:t xml:space="preserve">for consideration </w:t>
      </w:r>
      <w:r w:rsidRPr="0012530B">
        <w:rPr>
          <w:color w:val="auto"/>
          <w:lang w:val="en-US"/>
        </w:rPr>
        <w:t>as a basis for implementing act</w:t>
      </w:r>
      <w:r w:rsidR="00331FA6">
        <w:rPr>
          <w:color w:val="auto"/>
          <w:lang w:val="en-US"/>
        </w:rPr>
        <w:t>s</w:t>
      </w:r>
      <w:r w:rsidRPr="0012530B">
        <w:rPr>
          <w:color w:val="auto"/>
          <w:lang w:val="en-US"/>
        </w:rPr>
        <w:t xml:space="preserve">. </w:t>
      </w:r>
    </w:p>
    <w:p w14:paraId="29817ADE" w14:textId="77777777" w:rsidR="00D14577" w:rsidRPr="0012530B" w:rsidRDefault="00D14577" w:rsidP="00D14577">
      <w:pPr>
        <w:pStyle w:val="Default"/>
        <w:spacing w:after="120" w:line="20" w:lineRule="atLeast"/>
        <w:ind w:left="284"/>
        <w:jc w:val="both"/>
        <w:rPr>
          <w:b/>
          <w:bCs/>
          <w:iCs/>
          <w:color w:val="auto"/>
          <w:lang w:val="en-US"/>
        </w:rPr>
      </w:pPr>
      <w:r w:rsidRPr="0012530B">
        <w:rPr>
          <w:b/>
          <w:bCs/>
          <w:iCs/>
          <w:color w:val="auto"/>
          <w:lang w:val="en-US"/>
        </w:rPr>
        <w:t xml:space="preserve">3.2. </w:t>
      </w:r>
      <w:r w:rsidRPr="0012530B">
        <w:rPr>
          <w:b/>
          <w:color w:val="auto"/>
          <w:lang w:val="en-US"/>
        </w:rPr>
        <w:t>Adriatic Sea</w:t>
      </w:r>
      <w:r w:rsidRPr="0012530B">
        <w:rPr>
          <w:color w:val="auto"/>
          <w:lang w:val="en-US"/>
        </w:rPr>
        <w:t xml:space="preserve"> </w:t>
      </w:r>
      <w:r w:rsidRPr="0012530B">
        <w:rPr>
          <w:b/>
          <w:bCs/>
          <w:iCs/>
          <w:color w:val="auto"/>
          <w:lang w:val="en-US"/>
        </w:rPr>
        <w:t xml:space="preserve">regional harmonization by national </w:t>
      </w:r>
      <w:r w:rsidR="00901E9A">
        <w:rPr>
          <w:b/>
          <w:bCs/>
          <w:iCs/>
          <w:color w:val="auto"/>
          <w:lang w:val="en-US"/>
        </w:rPr>
        <w:t>legislation</w:t>
      </w:r>
    </w:p>
    <w:p w14:paraId="67535D27" w14:textId="77777777" w:rsidR="00D14577" w:rsidRPr="0012530B" w:rsidRDefault="00D14577" w:rsidP="00D14577">
      <w:pPr>
        <w:pStyle w:val="Default"/>
        <w:spacing w:after="120" w:line="20" w:lineRule="atLeast"/>
        <w:ind w:left="284"/>
        <w:jc w:val="both"/>
        <w:rPr>
          <w:color w:val="auto"/>
          <w:lang w:val="en-US"/>
        </w:rPr>
      </w:pPr>
      <w:r w:rsidRPr="0012530B">
        <w:rPr>
          <w:color w:val="auto"/>
          <w:lang w:val="en-US"/>
        </w:rPr>
        <w:t xml:space="preserve">Where </w:t>
      </w:r>
      <w:r w:rsidR="00901E9A">
        <w:rPr>
          <w:color w:val="auto"/>
          <w:lang w:val="en-US"/>
        </w:rPr>
        <w:t xml:space="preserve">EU </w:t>
      </w:r>
      <w:r w:rsidRPr="0012530B">
        <w:rPr>
          <w:color w:val="auto"/>
          <w:lang w:val="en-US"/>
        </w:rPr>
        <w:t>Member States</w:t>
      </w:r>
      <w:r w:rsidR="00901E9A">
        <w:rPr>
          <w:color w:val="auto"/>
          <w:lang w:val="en-US"/>
        </w:rPr>
        <w:t>’ fisheries administrations</w:t>
      </w:r>
      <w:r w:rsidRPr="0012530B">
        <w:rPr>
          <w:color w:val="auto"/>
          <w:lang w:val="en-US"/>
        </w:rPr>
        <w:t xml:space="preserve"> unanimously agree, they may decide to </w:t>
      </w:r>
      <w:r w:rsidR="00053971">
        <w:rPr>
          <w:color w:val="auto"/>
          <w:lang w:val="en-US"/>
        </w:rPr>
        <w:t xml:space="preserve">initiate the process of </w:t>
      </w:r>
      <w:r w:rsidRPr="0012530B">
        <w:rPr>
          <w:color w:val="auto"/>
          <w:lang w:val="en-US"/>
        </w:rPr>
        <w:t>implement</w:t>
      </w:r>
      <w:r w:rsidR="00053971">
        <w:rPr>
          <w:color w:val="auto"/>
          <w:lang w:val="en-US"/>
        </w:rPr>
        <w:t>ation</w:t>
      </w:r>
      <w:r w:rsidRPr="0012530B">
        <w:rPr>
          <w:color w:val="auto"/>
          <w:lang w:val="en-US"/>
        </w:rPr>
        <w:t xml:space="preserve"> </w:t>
      </w:r>
      <w:r w:rsidR="00053971">
        <w:rPr>
          <w:color w:val="auto"/>
          <w:lang w:val="en-US"/>
        </w:rPr>
        <w:t xml:space="preserve">of </w:t>
      </w:r>
      <w:r w:rsidRPr="0012530B">
        <w:rPr>
          <w:color w:val="auto"/>
          <w:lang w:val="en-US"/>
        </w:rPr>
        <w:t xml:space="preserve">the </w:t>
      </w:r>
      <w:r w:rsidRPr="0012530B">
        <w:rPr>
          <w:bCs/>
          <w:color w:val="auto"/>
          <w:lang w:val="en-US"/>
        </w:rPr>
        <w:t>HLC</w:t>
      </w:r>
      <w:r w:rsidRPr="0012530B">
        <w:rPr>
          <w:color w:val="auto"/>
          <w:lang w:val="en-US"/>
        </w:rPr>
        <w:t xml:space="preserve"> position or joint recommendation through national legislation</w:t>
      </w:r>
      <w:r w:rsidR="00053971">
        <w:rPr>
          <w:color w:val="auto"/>
          <w:lang w:val="en-US"/>
        </w:rPr>
        <w:t xml:space="preserve">, without prejudice of the national rules </w:t>
      </w:r>
      <w:r w:rsidR="00B53B23">
        <w:rPr>
          <w:color w:val="auto"/>
          <w:lang w:val="en-US"/>
        </w:rPr>
        <w:t>and legislative procedures</w:t>
      </w:r>
      <w:r w:rsidRPr="0012530B">
        <w:rPr>
          <w:color w:val="auto"/>
          <w:lang w:val="en-US"/>
        </w:rPr>
        <w:t xml:space="preserve">. They can agree that the national measures come into force on a specific date that allows Member States to be informed of each other’s provisions and thereby to ensure a harmonized process of implementation. </w:t>
      </w:r>
    </w:p>
    <w:p w14:paraId="04299E74" w14:textId="77777777" w:rsidR="00D14577" w:rsidRDefault="00D14577" w:rsidP="00D14577">
      <w:pPr>
        <w:pStyle w:val="Default"/>
        <w:spacing w:after="120" w:line="20" w:lineRule="atLeast"/>
        <w:ind w:left="284"/>
        <w:jc w:val="both"/>
        <w:rPr>
          <w:color w:val="auto"/>
          <w:lang w:val="en-US"/>
        </w:rPr>
      </w:pPr>
      <w:r w:rsidRPr="0012530B">
        <w:rPr>
          <w:color w:val="auto"/>
          <w:lang w:val="en-US"/>
        </w:rPr>
        <w:t xml:space="preserve">The </w:t>
      </w:r>
      <w:r w:rsidR="00B53B23">
        <w:rPr>
          <w:color w:val="auto"/>
          <w:lang w:val="en-US"/>
        </w:rPr>
        <w:t>provisions</w:t>
      </w:r>
      <w:r w:rsidRPr="0012530B">
        <w:rPr>
          <w:color w:val="auto"/>
          <w:lang w:val="en-US"/>
        </w:rPr>
        <w:t xml:space="preserve"> </w:t>
      </w:r>
      <w:r w:rsidR="00B53B23">
        <w:rPr>
          <w:color w:val="auto"/>
          <w:lang w:val="en-US"/>
        </w:rPr>
        <w:t xml:space="preserve">implemented at </w:t>
      </w:r>
      <w:r w:rsidRPr="0012530B">
        <w:rPr>
          <w:color w:val="auto"/>
          <w:lang w:val="en-US"/>
        </w:rPr>
        <w:t xml:space="preserve">national </w:t>
      </w:r>
      <w:r w:rsidR="00B53B23">
        <w:rPr>
          <w:color w:val="auto"/>
          <w:lang w:val="en-US"/>
        </w:rPr>
        <w:t>level</w:t>
      </w:r>
      <w:r w:rsidRPr="0012530B">
        <w:rPr>
          <w:color w:val="auto"/>
          <w:lang w:val="en-US"/>
        </w:rPr>
        <w:t xml:space="preserve"> would be formally notified to the EU Commission and other Member States in accordance with the procedures of the Basic Regulation on the CFP. </w:t>
      </w:r>
    </w:p>
    <w:p w14:paraId="4BB0703A" w14:textId="77777777" w:rsidR="00D14577" w:rsidRPr="0012530B" w:rsidRDefault="00D14577" w:rsidP="00D14577">
      <w:pPr>
        <w:pStyle w:val="Default"/>
        <w:spacing w:after="120" w:line="20" w:lineRule="atLeast"/>
        <w:ind w:left="284"/>
        <w:jc w:val="both"/>
        <w:rPr>
          <w:color w:val="auto"/>
          <w:lang w:val="en-US"/>
        </w:rPr>
      </w:pPr>
    </w:p>
    <w:p w14:paraId="4ACE41BA" w14:textId="77777777" w:rsidR="00D14577" w:rsidRPr="0012530B" w:rsidRDefault="00D14577" w:rsidP="00D14577">
      <w:pPr>
        <w:pStyle w:val="Default"/>
        <w:spacing w:after="120" w:line="20" w:lineRule="atLeast"/>
        <w:jc w:val="both"/>
        <w:rPr>
          <w:color w:val="auto"/>
          <w:lang w:val="en-US"/>
        </w:rPr>
      </w:pPr>
      <w:r w:rsidRPr="0012530B">
        <w:rPr>
          <w:b/>
          <w:bCs/>
          <w:iCs/>
          <w:color w:val="auto"/>
          <w:lang w:val="en-US"/>
        </w:rPr>
        <w:t xml:space="preserve">4. Other initiatives </w:t>
      </w:r>
    </w:p>
    <w:p w14:paraId="65BC628C" w14:textId="77777777" w:rsidR="00D14577" w:rsidRPr="0012530B" w:rsidRDefault="00D14577" w:rsidP="00D14577">
      <w:pPr>
        <w:pStyle w:val="Default"/>
        <w:spacing w:after="120" w:line="20" w:lineRule="atLeast"/>
        <w:jc w:val="both"/>
        <w:rPr>
          <w:color w:val="auto"/>
          <w:lang w:val="en-US"/>
        </w:rPr>
      </w:pPr>
      <w:r w:rsidRPr="0012530B">
        <w:rPr>
          <w:bCs/>
          <w:color w:val="auto"/>
          <w:lang w:val="en-US"/>
        </w:rPr>
        <w:t>HLC</w:t>
      </w:r>
      <w:r w:rsidRPr="0012530B">
        <w:rPr>
          <w:color w:val="auto"/>
          <w:lang w:val="en-US"/>
        </w:rPr>
        <w:t xml:space="preserve"> positions or joint recommendation may also be forwarded to the EU Commission or, through EC, to other relevant organizations as proposals on any subject that relates to the development of sustainable fisheries in the Adriatic Sea region. </w:t>
      </w:r>
    </w:p>
    <w:p w14:paraId="071D76DF" w14:textId="77777777" w:rsidR="00D14577" w:rsidRPr="0012530B" w:rsidRDefault="00D14577" w:rsidP="00D14577">
      <w:pPr>
        <w:pStyle w:val="Default"/>
        <w:spacing w:after="120" w:line="20" w:lineRule="atLeast"/>
        <w:jc w:val="both"/>
        <w:rPr>
          <w:b/>
          <w:bCs/>
          <w:color w:val="auto"/>
          <w:lang w:val="en-US"/>
        </w:rPr>
      </w:pPr>
      <w:r w:rsidRPr="0012530B">
        <w:rPr>
          <w:bCs/>
          <w:color w:val="auto"/>
          <w:lang w:val="en-US"/>
        </w:rPr>
        <w:t xml:space="preserve">The principles and working methods of the </w:t>
      </w:r>
      <w:r w:rsidRPr="0012530B">
        <w:rPr>
          <w:color w:val="auto"/>
          <w:lang w:val="en-US"/>
        </w:rPr>
        <w:t xml:space="preserve">HLC and TG </w:t>
      </w:r>
      <w:r w:rsidRPr="0012530B">
        <w:rPr>
          <w:bCs/>
          <w:color w:val="auto"/>
          <w:lang w:val="en-US"/>
        </w:rPr>
        <w:t>will be revised every four years.</w:t>
      </w:r>
      <w:r w:rsidRPr="0012530B">
        <w:rPr>
          <w:b/>
          <w:bCs/>
          <w:color w:val="auto"/>
          <w:lang w:val="en-US"/>
        </w:rPr>
        <w:t xml:space="preserve"> </w:t>
      </w:r>
    </w:p>
    <w:p w14:paraId="1065EC9B" w14:textId="77777777" w:rsidR="00D14577" w:rsidRPr="0012530B" w:rsidRDefault="00D14577" w:rsidP="00D14577">
      <w:pPr>
        <w:pStyle w:val="Default"/>
        <w:spacing w:after="120" w:line="20" w:lineRule="atLeast"/>
        <w:jc w:val="both"/>
        <w:rPr>
          <w:bCs/>
          <w:color w:val="auto"/>
          <w:lang w:val="en-US"/>
        </w:rPr>
      </w:pPr>
      <w:r w:rsidRPr="0012530B">
        <w:rPr>
          <w:bCs/>
          <w:color w:val="auto"/>
          <w:lang w:val="en-US"/>
        </w:rPr>
        <w:t xml:space="preserve">This </w:t>
      </w:r>
      <w:r w:rsidR="003D13B4">
        <w:rPr>
          <w:bCs/>
          <w:color w:val="auto"/>
          <w:lang w:val="en-US"/>
        </w:rPr>
        <w:t>Letter of intent</w:t>
      </w:r>
      <w:r w:rsidRPr="0012530B">
        <w:rPr>
          <w:bCs/>
          <w:color w:val="auto"/>
          <w:lang w:val="en-US"/>
        </w:rPr>
        <w:t xml:space="preserve"> can be subscribed by any other EU Member </w:t>
      </w:r>
      <w:r>
        <w:rPr>
          <w:bCs/>
          <w:color w:val="auto"/>
          <w:lang w:val="en-US"/>
        </w:rPr>
        <w:t>State</w:t>
      </w:r>
      <w:r w:rsidR="0020123A">
        <w:rPr>
          <w:bCs/>
          <w:color w:val="auto"/>
          <w:lang w:val="en-US"/>
        </w:rPr>
        <w:t>s fisheries administration</w:t>
      </w:r>
      <w:r w:rsidRPr="0012530B">
        <w:rPr>
          <w:bCs/>
          <w:color w:val="auto"/>
          <w:lang w:val="en-US"/>
        </w:rPr>
        <w:t xml:space="preserve"> that has an interest in fishing activities in the Adriatic Sea.</w:t>
      </w:r>
    </w:p>
    <w:p w14:paraId="3132B480" w14:textId="2B27A72A" w:rsidR="00D14577" w:rsidRPr="0012530B" w:rsidRDefault="00027C3D" w:rsidP="00D14577">
      <w:pPr>
        <w:pStyle w:val="Default"/>
        <w:spacing w:after="120" w:line="20" w:lineRule="atLeast"/>
        <w:jc w:val="both"/>
        <w:rPr>
          <w:color w:val="auto"/>
          <w:lang w:val="en-US"/>
        </w:rPr>
      </w:pPr>
      <w:r w:rsidRPr="00073027">
        <w:rPr>
          <w:szCs w:val="20"/>
          <w:lang w:val="en-GB"/>
        </w:rPr>
        <w:t>This Letter of intent</w:t>
      </w:r>
      <w:r w:rsidRPr="00073027">
        <w:rPr>
          <w:bCs/>
          <w:szCs w:val="20"/>
          <w:lang w:val="en-GB"/>
        </w:rPr>
        <w:t xml:space="preserve"> </w:t>
      </w:r>
      <w:r w:rsidRPr="00073027">
        <w:rPr>
          <w:szCs w:val="20"/>
          <w:lang w:val="en-GB"/>
        </w:rPr>
        <w:t xml:space="preserve">is drafted in English and in the case of divergence in </w:t>
      </w:r>
      <w:proofErr w:type="gramStart"/>
      <w:r w:rsidRPr="00073027">
        <w:rPr>
          <w:szCs w:val="20"/>
          <w:lang w:val="en-GB"/>
        </w:rPr>
        <w:t>interpretation,</w:t>
      </w:r>
      <w:proofErr w:type="gramEnd"/>
      <w:r w:rsidRPr="00073027">
        <w:rPr>
          <w:szCs w:val="20"/>
          <w:lang w:val="en-GB"/>
        </w:rPr>
        <w:t xml:space="preserve"> the English text is considered the original</w:t>
      </w:r>
      <w:r w:rsidR="00D14577" w:rsidRPr="0012530B">
        <w:rPr>
          <w:color w:val="auto"/>
          <w:lang w:val="en-US"/>
        </w:rPr>
        <w:t xml:space="preserve">. </w:t>
      </w:r>
    </w:p>
    <w:p w14:paraId="01436334" w14:textId="77777777" w:rsidR="00D14577" w:rsidRPr="0012530B" w:rsidRDefault="00D14577" w:rsidP="00D14577">
      <w:pPr>
        <w:pStyle w:val="Default"/>
        <w:spacing w:after="120" w:line="20" w:lineRule="atLeast"/>
        <w:jc w:val="both"/>
        <w:rPr>
          <w:color w:val="auto"/>
          <w:lang w:val="en-US"/>
        </w:rPr>
      </w:pPr>
    </w:p>
    <w:p w14:paraId="1141670F" w14:textId="2B44BB32" w:rsidR="00D14577" w:rsidRPr="0012530B" w:rsidRDefault="00D14577" w:rsidP="00D14577">
      <w:pPr>
        <w:pStyle w:val="Default"/>
        <w:spacing w:after="120" w:line="20" w:lineRule="atLeast"/>
        <w:jc w:val="both"/>
        <w:rPr>
          <w:color w:val="auto"/>
        </w:rPr>
      </w:pPr>
      <w:proofErr w:type="spellStart"/>
      <w:r w:rsidRPr="0012530B">
        <w:rPr>
          <w:color w:val="auto"/>
        </w:rPr>
        <w:t>Signed</w:t>
      </w:r>
      <w:proofErr w:type="spellEnd"/>
      <w:r w:rsidRPr="0012530B">
        <w:rPr>
          <w:color w:val="auto"/>
        </w:rPr>
        <w:t xml:space="preserve"> </w:t>
      </w:r>
      <w:r>
        <w:rPr>
          <w:color w:val="auto"/>
        </w:rPr>
        <w:t>in</w:t>
      </w:r>
      <w:r w:rsidRPr="0012530B">
        <w:rPr>
          <w:color w:val="auto"/>
        </w:rPr>
        <w:t xml:space="preserve"> </w:t>
      </w:r>
      <w:r w:rsidR="005E7A89">
        <w:rPr>
          <w:color w:val="auto"/>
        </w:rPr>
        <w:t>_____________</w:t>
      </w:r>
      <w:r w:rsidRPr="0012530B">
        <w:rPr>
          <w:color w:val="auto"/>
        </w:rPr>
        <w:t xml:space="preserve">, </w:t>
      </w:r>
      <w:r>
        <w:rPr>
          <w:color w:val="auto"/>
        </w:rPr>
        <w:t>________________</w:t>
      </w:r>
      <w:r w:rsidRPr="0012530B">
        <w:rPr>
          <w:color w:val="auto"/>
        </w:rPr>
        <w:t xml:space="preserve"> </w:t>
      </w:r>
    </w:p>
    <w:p w14:paraId="151B6187" w14:textId="77777777" w:rsidR="00D14577" w:rsidRPr="0012530B" w:rsidRDefault="00D14577" w:rsidP="00D14577">
      <w:pPr>
        <w:pStyle w:val="Default"/>
        <w:spacing w:after="120" w:line="20" w:lineRule="atLeast"/>
        <w:jc w:val="both"/>
        <w:rPr>
          <w:color w:val="auto"/>
        </w:rPr>
      </w:pPr>
    </w:p>
    <w:tbl>
      <w:tblPr>
        <w:tblW w:w="9923" w:type="dxa"/>
        <w:tblBorders>
          <w:top w:val="nil"/>
          <w:left w:val="nil"/>
          <w:bottom w:val="nil"/>
          <w:right w:val="nil"/>
        </w:tblBorders>
        <w:tblLayout w:type="fixed"/>
        <w:tblLook w:val="0000" w:firstRow="0" w:lastRow="0" w:firstColumn="0" w:lastColumn="0" w:noHBand="0" w:noVBand="0"/>
      </w:tblPr>
      <w:tblGrid>
        <w:gridCol w:w="3307"/>
        <w:gridCol w:w="3308"/>
        <w:gridCol w:w="3308"/>
      </w:tblGrid>
      <w:tr w:rsidR="005E7A89" w:rsidRPr="00497E6C" w14:paraId="4882E765" w14:textId="77777777" w:rsidTr="00767F44">
        <w:trPr>
          <w:trHeight w:val="241"/>
        </w:trPr>
        <w:tc>
          <w:tcPr>
            <w:tcW w:w="3306" w:type="dxa"/>
          </w:tcPr>
          <w:p w14:paraId="56792410" w14:textId="77777777" w:rsidR="005E7A89" w:rsidRDefault="005E7A89" w:rsidP="00767F44">
            <w:pPr>
              <w:pStyle w:val="Default"/>
              <w:spacing w:after="120" w:line="20" w:lineRule="atLeast"/>
              <w:ind w:right="40"/>
              <w:rPr>
                <w:color w:val="auto"/>
                <w:lang w:val="en-US"/>
              </w:rPr>
            </w:pPr>
            <w:r w:rsidRPr="0012530B">
              <w:rPr>
                <w:color w:val="auto"/>
                <w:lang w:val="en-US"/>
              </w:rPr>
              <w:t>Director</w:t>
            </w:r>
            <w:r>
              <w:rPr>
                <w:color w:val="auto"/>
                <w:lang w:val="en-US"/>
              </w:rPr>
              <w:t>s g</w:t>
            </w:r>
            <w:r w:rsidRPr="0012530B">
              <w:rPr>
                <w:color w:val="auto"/>
                <w:lang w:val="en-US"/>
              </w:rPr>
              <w:t xml:space="preserve">eneral </w:t>
            </w:r>
            <w:r>
              <w:rPr>
                <w:color w:val="auto"/>
                <w:lang w:val="en-US"/>
              </w:rPr>
              <w:t>for</w:t>
            </w:r>
            <w:r w:rsidRPr="0012530B">
              <w:rPr>
                <w:color w:val="auto"/>
                <w:lang w:val="en-US"/>
              </w:rPr>
              <w:t xml:space="preserve"> fisheries of:</w:t>
            </w:r>
          </w:p>
          <w:p w14:paraId="00695BDC" w14:textId="77777777" w:rsidR="005E7A89" w:rsidRPr="0012530B" w:rsidRDefault="005E7A89" w:rsidP="00D14577">
            <w:pPr>
              <w:pStyle w:val="Default"/>
              <w:spacing w:after="120" w:line="20" w:lineRule="atLeast"/>
              <w:rPr>
                <w:color w:val="auto"/>
                <w:lang w:val="en-US"/>
              </w:rPr>
            </w:pPr>
          </w:p>
        </w:tc>
        <w:tc>
          <w:tcPr>
            <w:tcW w:w="3306" w:type="dxa"/>
          </w:tcPr>
          <w:p w14:paraId="64F5C137" w14:textId="77777777" w:rsidR="005E7A89" w:rsidRPr="0012530B" w:rsidRDefault="005E7A89" w:rsidP="00D14577">
            <w:pPr>
              <w:pStyle w:val="Default"/>
              <w:spacing w:after="120" w:line="20" w:lineRule="atLeast"/>
              <w:rPr>
                <w:color w:val="auto"/>
                <w:lang w:val="en-US"/>
              </w:rPr>
            </w:pPr>
          </w:p>
        </w:tc>
        <w:tc>
          <w:tcPr>
            <w:tcW w:w="3306" w:type="dxa"/>
          </w:tcPr>
          <w:p w14:paraId="430240F6" w14:textId="77777777" w:rsidR="005E7A89" w:rsidRPr="0012530B" w:rsidRDefault="005E7A89" w:rsidP="00D14577">
            <w:pPr>
              <w:pStyle w:val="Default"/>
              <w:spacing w:after="120" w:line="20" w:lineRule="atLeast"/>
              <w:rPr>
                <w:color w:val="auto"/>
                <w:lang w:val="en-US"/>
              </w:rPr>
            </w:pPr>
          </w:p>
        </w:tc>
      </w:tr>
      <w:tr w:rsidR="005E7A89" w:rsidRPr="0012530B" w14:paraId="708C4920" w14:textId="77777777" w:rsidTr="00767F44">
        <w:trPr>
          <w:trHeight w:val="241"/>
        </w:trPr>
        <w:tc>
          <w:tcPr>
            <w:tcW w:w="3306" w:type="dxa"/>
          </w:tcPr>
          <w:p w14:paraId="60F3F936" w14:textId="06CE24D7" w:rsidR="005E7A89" w:rsidRPr="00767F44" w:rsidRDefault="00497E6C" w:rsidP="00D14577">
            <w:pPr>
              <w:pStyle w:val="Default"/>
              <w:spacing w:after="120" w:line="20" w:lineRule="atLeast"/>
              <w:jc w:val="center"/>
              <w:rPr>
                <w:color w:val="auto"/>
              </w:rPr>
            </w:pPr>
            <w:proofErr w:type="spellStart"/>
            <w:r w:rsidRPr="00767F44">
              <w:rPr>
                <w:color w:val="auto"/>
              </w:rPr>
              <w:t>Croatia</w:t>
            </w:r>
            <w:proofErr w:type="spellEnd"/>
          </w:p>
          <w:p w14:paraId="0AAC7F90" w14:textId="2D67FE02" w:rsidR="005E7A89" w:rsidRPr="00767F44" w:rsidRDefault="005E7A89" w:rsidP="00497E6C">
            <w:pPr>
              <w:pStyle w:val="Default"/>
              <w:spacing w:after="120" w:line="20" w:lineRule="atLeast"/>
              <w:jc w:val="center"/>
              <w:rPr>
                <w:i/>
                <w:color w:val="auto"/>
                <w:sz w:val="16"/>
              </w:rPr>
            </w:pPr>
            <w:r w:rsidRPr="00767F44">
              <w:rPr>
                <w:i/>
                <w:color w:val="auto"/>
                <w:sz w:val="16"/>
              </w:rPr>
              <w:t>(</w:t>
            </w:r>
            <w:r w:rsidR="00497E6C" w:rsidRPr="00533C06">
              <w:rPr>
                <w:i/>
                <w:color w:val="1D1D1D"/>
                <w:sz w:val="16"/>
                <w:lang w:eastAsia="it-IT"/>
              </w:rPr>
              <w:t xml:space="preserve">Ante </w:t>
            </w:r>
            <w:proofErr w:type="spellStart"/>
            <w:r w:rsidR="00497E6C" w:rsidRPr="00533C06">
              <w:rPr>
                <w:i/>
                <w:color w:val="1D1D1D"/>
                <w:sz w:val="16"/>
                <w:lang w:eastAsia="it-IT"/>
              </w:rPr>
              <w:t>Mišura</w:t>
            </w:r>
            <w:proofErr w:type="spellEnd"/>
            <w:r w:rsidRPr="00767F44">
              <w:rPr>
                <w:i/>
                <w:color w:val="auto"/>
                <w:sz w:val="16"/>
              </w:rPr>
              <w:t>)</w:t>
            </w:r>
          </w:p>
        </w:tc>
        <w:tc>
          <w:tcPr>
            <w:tcW w:w="3306" w:type="dxa"/>
          </w:tcPr>
          <w:p w14:paraId="16A65CDB" w14:textId="09886B85" w:rsidR="005E7A89" w:rsidRDefault="00497E6C" w:rsidP="00D14577">
            <w:pPr>
              <w:pStyle w:val="Default"/>
              <w:spacing w:after="120" w:line="20" w:lineRule="atLeast"/>
              <w:jc w:val="center"/>
              <w:rPr>
                <w:color w:val="auto"/>
                <w:lang w:val="en-US"/>
              </w:rPr>
            </w:pPr>
            <w:r>
              <w:rPr>
                <w:color w:val="auto"/>
                <w:lang w:val="en-US"/>
              </w:rPr>
              <w:t>Italy</w:t>
            </w:r>
          </w:p>
          <w:p w14:paraId="0744F11D" w14:textId="51918A28" w:rsidR="005E7A89" w:rsidRPr="00533C06" w:rsidRDefault="005E7A89" w:rsidP="00D14577">
            <w:pPr>
              <w:pStyle w:val="Default"/>
              <w:spacing w:after="120" w:line="20" w:lineRule="atLeast"/>
              <w:jc w:val="center"/>
              <w:rPr>
                <w:i/>
                <w:color w:val="auto"/>
                <w:sz w:val="16"/>
                <w:lang w:val="en-US"/>
              </w:rPr>
            </w:pPr>
            <w:r>
              <w:rPr>
                <w:i/>
                <w:color w:val="1D1D1D"/>
                <w:sz w:val="16"/>
                <w:lang w:eastAsia="it-IT"/>
              </w:rPr>
              <w:t>(</w:t>
            </w:r>
            <w:r w:rsidR="00497E6C" w:rsidRPr="00432B3A">
              <w:rPr>
                <w:i/>
                <w:color w:val="auto"/>
                <w:sz w:val="16"/>
              </w:rPr>
              <w:t>Riccardo Rigillo</w:t>
            </w:r>
            <w:r>
              <w:rPr>
                <w:i/>
                <w:color w:val="1D1D1D"/>
                <w:sz w:val="16"/>
                <w:lang w:eastAsia="it-IT"/>
              </w:rPr>
              <w:t>)</w:t>
            </w:r>
          </w:p>
        </w:tc>
        <w:tc>
          <w:tcPr>
            <w:tcW w:w="3306" w:type="dxa"/>
          </w:tcPr>
          <w:p w14:paraId="7AE297CF" w14:textId="77777777" w:rsidR="005E7A89" w:rsidRPr="00767F44" w:rsidRDefault="005E7A89" w:rsidP="00D14577">
            <w:pPr>
              <w:pStyle w:val="Default"/>
              <w:spacing w:after="120" w:line="20" w:lineRule="atLeast"/>
              <w:jc w:val="center"/>
              <w:rPr>
                <w:color w:val="auto"/>
              </w:rPr>
            </w:pPr>
            <w:r w:rsidRPr="00767F44">
              <w:rPr>
                <w:color w:val="auto"/>
              </w:rPr>
              <w:t>Slovenia</w:t>
            </w:r>
          </w:p>
          <w:p w14:paraId="61E6DBD4" w14:textId="77777777" w:rsidR="005E7A89" w:rsidRPr="00767F44" w:rsidRDefault="005E7A89" w:rsidP="00D14577">
            <w:pPr>
              <w:pStyle w:val="Default"/>
              <w:spacing w:after="120" w:line="20" w:lineRule="atLeast"/>
              <w:jc w:val="center"/>
              <w:rPr>
                <w:color w:val="auto"/>
              </w:rPr>
            </w:pPr>
            <w:r>
              <w:rPr>
                <w:i/>
                <w:color w:val="1D1D1D"/>
                <w:sz w:val="16"/>
                <w:lang w:eastAsia="it-IT"/>
              </w:rPr>
              <w:t>(</w:t>
            </w:r>
            <w:r w:rsidRPr="00533C06">
              <w:rPr>
                <w:i/>
                <w:color w:val="1D1D1D"/>
                <w:sz w:val="16"/>
                <w:lang w:eastAsia="it-IT"/>
              </w:rPr>
              <w:t>An</w:t>
            </w:r>
            <w:r>
              <w:rPr>
                <w:i/>
                <w:color w:val="1D1D1D"/>
                <w:sz w:val="16"/>
                <w:lang w:eastAsia="it-IT"/>
              </w:rPr>
              <w:t>a Le Marechal-Kolar)</w:t>
            </w:r>
          </w:p>
        </w:tc>
      </w:tr>
      <w:tr w:rsidR="005E7A89" w:rsidRPr="0012530B" w14:paraId="29C58B9A" w14:textId="77777777" w:rsidTr="00767F44">
        <w:trPr>
          <w:trHeight w:val="241"/>
        </w:trPr>
        <w:tc>
          <w:tcPr>
            <w:tcW w:w="3306" w:type="dxa"/>
          </w:tcPr>
          <w:p w14:paraId="50DE4D28" w14:textId="77777777" w:rsidR="005E7A89" w:rsidRPr="00767F44" w:rsidRDefault="005E7A89" w:rsidP="00D14577">
            <w:pPr>
              <w:pStyle w:val="Default"/>
              <w:spacing w:after="120" w:line="20" w:lineRule="atLeast"/>
              <w:jc w:val="center"/>
              <w:rPr>
                <w:color w:val="auto"/>
              </w:rPr>
            </w:pPr>
          </w:p>
          <w:p w14:paraId="7B42CD2C" w14:textId="576E0D40" w:rsidR="005E7A89" w:rsidRDefault="005E7A89" w:rsidP="00D14577">
            <w:pPr>
              <w:pStyle w:val="Default"/>
              <w:spacing w:after="120" w:line="20" w:lineRule="atLeast"/>
              <w:jc w:val="center"/>
              <w:rPr>
                <w:color w:val="auto"/>
                <w:lang w:val="en-US"/>
              </w:rPr>
            </w:pPr>
            <w:r>
              <w:rPr>
                <w:color w:val="auto"/>
                <w:lang w:val="en-US"/>
              </w:rPr>
              <w:t>_______________________</w:t>
            </w:r>
          </w:p>
        </w:tc>
        <w:tc>
          <w:tcPr>
            <w:tcW w:w="3306" w:type="dxa"/>
          </w:tcPr>
          <w:p w14:paraId="4CC6026D" w14:textId="568D544A" w:rsidR="005E7A89" w:rsidRDefault="005E7A89" w:rsidP="00D14577">
            <w:pPr>
              <w:pStyle w:val="Default"/>
              <w:spacing w:after="120" w:line="20" w:lineRule="atLeast"/>
              <w:jc w:val="center"/>
              <w:rPr>
                <w:color w:val="auto"/>
                <w:lang w:val="en-US"/>
              </w:rPr>
            </w:pPr>
          </w:p>
          <w:p w14:paraId="6357E9BC" w14:textId="33FF3F98" w:rsidR="005E7A89" w:rsidRDefault="005E7A89" w:rsidP="00D14577">
            <w:pPr>
              <w:pStyle w:val="Default"/>
              <w:spacing w:after="120" w:line="20" w:lineRule="atLeast"/>
              <w:jc w:val="center"/>
              <w:rPr>
                <w:color w:val="auto"/>
                <w:lang w:val="en-US"/>
              </w:rPr>
            </w:pPr>
            <w:r>
              <w:rPr>
                <w:color w:val="auto"/>
                <w:lang w:val="en-US"/>
              </w:rPr>
              <w:t>_______________________</w:t>
            </w:r>
          </w:p>
        </w:tc>
        <w:tc>
          <w:tcPr>
            <w:tcW w:w="3306" w:type="dxa"/>
          </w:tcPr>
          <w:p w14:paraId="3EAEBED8" w14:textId="77777777" w:rsidR="005E7A89" w:rsidRDefault="005E7A89" w:rsidP="00D14577">
            <w:pPr>
              <w:pStyle w:val="Default"/>
              <w:spacing w:after="120" w:line="20" w:lineRule="atLeast"/>
              <w:jc w:val="center"/>
              <w:rPr>
                <w:color w:val="auto"/>
                <w:lang w:val="en-US"/>
              </w:rPr>
            </w:pPr>
          </w:p>
          <w:p w14:paraId="50DC2D60" w14:textId="77777777" w:rsidR="005E7A89" w:rsidRDefault="005E7A89" w:rsidP="00767F44">
            <w:pPr>
              <w:pStyle w:val="Default"/>
              <w:spacing w:after="120" w:line="20" w:lineRule="atLeast"/>
              <w:rPr>
                <w:color w:val="auto"/>
                <w:lang w:val="en-US"/>
              </w:rPr>
            </w:pPr>
            <w:r>
              <w:rPr>
                <w:color w:val="auto"/>
                <w:lang w:val="en-US"/>
              </w:rPr>
              <w:t>_______________________</w:t>
            </w:r>
          </w:p>
        </w:tc>
      </w:tr>
    </w:tbl>
    <w:p w14:paraId="1A89509D" w14:textId="77777777" w:rsidR="00D14577" w:rsidRPr="0012530B" w:rsidRDefault="00D14577" w:rsidP="00D14577">
      <w:pPr>
        <w:spacing w:after="120" w:line="20" w:lineRule="atLeast"/>
        <w:jc w:val="both"/>
        <w:rPr>
          <w:rFonts w:ascii="Arial" w:hAnsi="Arial" w:cs="Arial"/>
          <w:lang w:val="en-US"/>
        </w:rPr>
      </w:pPr>
    </w:p>
    <w:sectPr w:rsidR="00D14577" w:rsidRPr="0012530B" w:rsidSect="00D14577">
      <w:headerReference w:type="even" r:id="rId6"/>
      <w:headerReference w:type="default" r:id="rId7"/>
      <w:footerReference w:type="even" r:id="rId8"/>
      <w:footerReference w:type="default" r:id="rId9"/>
      <w:headerReference w:type="first" r:id="rId10"/>
      <w:footerReference w:type="first" r:id="rId11"/>
      <w:pgSz w:w="11900" w:h="16840"/>
      <w:pgMar w:top="1134" w:right="985" w:bottom="1276" w:left="993" w:header="426" w:footer="3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A06C2" w14:textId="77777777" w:rsidR="00C54026" w:rsidRDefault="00C54026" w:rsidP="00D14577">
      <w:r>
        <w:separator/>
      </w:r>
    </w:p>
  </w:endnote>
  <w:endnote w:type="continuationSeparator" w:id="0">
    <w:p w14:paraId="23A024A9" w14:textId="77777777" w:rsidR="00C54026" w:rsidRDefault="00C54026" w:rsidP="00D1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186ED" w14:textId="77777777" w:rsidR="00D14577" w:rsidRDefault="00D1457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C30CA" w14:textId="77777777" w:rsidR="00D14577" w:rsidRDefault="00D1457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89FB" w14:textId="77777777" w:rsidR="00D14577" w:rsidRDefault="00D145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E973A" w14:textId="77777777" w:rsidR="00C54026" w:rsidRDefault="00C54026" w:rsidP="00D14577">
      <w:r>
        <w:separator/>
      </w:r>
    </w:p>
  </w:footnote>
  <w:footnote w:type="continuationSeparator" w:id="0">
    <w:p w14:paraId="47129290" w14:textId="77777777" w:rsidR="00C54026" w:rsidRDefault="00C54026" w:rsidP="00D14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2337" w14:textId="77777777" w:rsidR="00D14577" w:rsidRDefault="00B756E6">
    <w:pPr>
      <w:pStyle w:val="Glava"/>
    </w:pPr>
    <w:r>
      <w:rPr>
        <w:noProof/>
      </w:rPr>
      <w:pict w14:anchorId="1BE96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0951" o:spid="_x0000_s2051" type="#_x0000_t136" alt="" style="position:absolute;margin-left:0;margin-top:0;width:524.6pt;height:174.8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BC6F2" w14:textId="77777777" w:rsidR="00D14577" w:rsidRDefault="00B756E6">
    <w:pPr>
      <w:pStyle w:val="Glava"/>
    </w:pPr>
    <w:r>
      <w:rPr>
        <w:noProof/>
      </w:rPr>
      <w:pict w14:anchorId="64DC83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0952" o:spid="_x0000_s2050" type="#_x0000_t136" alt="" style="position:absolute;margin-left:0;margin-top:0;width:524.6pt;height:174.8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91A7" w14:textId="77777777" w:rsidR="00D14577" w:rsidRDefault="00B756E6">
    <w:pPr>
      <w:pStyle w:val="Glava"/>
    </w:pPr>
    <w:r>
      <w:rPr>
        <w:noProof/>
      </w:rPr>
      <w:pict w14:anchorId="7AAC0E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0950" o:spid="_x0000_s2049" type="#_x0000_t136" alt="" style="position:absolute;margin-left:0;margin-top:0;width:524.6pt;height:174.8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trackRevision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xMjC0MDEyNjU1MTZS0lEKTi0uzszPAykwqgUAC4R/7SwAAAA="/>
  </w:docVars>
  <w:rsids>
    <w:rsidRoot w:val="003F6B37"/>
    <w:rsid w:val="00006C3D"/>
    <w:rsid w:val="0002387A"/>
    <w:rsid w:val="00027C3D"/>
    <w:rsid w:val="00042746"/>
    <w:rsid w:val="00053971"/>
    <w:rsid w:val="00174F6D"/>
    <w:rsid w:val="001859BB"/>
    <w:rsid w:val="0020123A"/>
    <w:rsid w:val="00202F6A"/>
    <w:rsid w:val="002030CE"/>
    <w:rsid w:val="00252C50"/>
    <w:rsid w:val="002770DC"/>
    <w:rsid w:val="003213F1"/>
    <w:rsid w:val="00331FA6"/>
    <w:rsid w:val="0036567C"/>
    <w:rsid w:val="003D13B4"/>
    <w:rsid w:val="003F6B37"/>
    <w:rsid w:val="00414BE4"/>
    <w:rsid w:val="0045250E"/>
    <w:rsid w:val="00497E6C"/>
    <w:rsid w:val="004B622E"/>
    <w:rsid w:val="00595270"/>
    <w:rsid w:val="005A1331"/>
    <w:rsid w:val="005E7A89"/>
    <w:rsid w:val="00666C1C"/>
    <w:rsid w:val="0074447A"/>
    <w:rsid w:val="00767F44"/>
    <w:rsid w:val="00773719"/>
    <w:rsid w:val="007861D0"/>
    <w:rsid w:val="007E65D5"/>
    <w:rsid w:val="008A22A6"/>
    <w:rsid w:val="00901E9A"/>
    <w:rsid w:val="009415A9"/>
    <w:rsid w:val="009821D7"/>
    <w:rsid w:val="00AD73A7"/>
    <w:rsid w:val="00B519DC"/>
    <w:rsid w:val="00B53B23"/>
    <w:rsid w:val="00B756E6"/>
    <w:rsid w:val="00C54026"/>
    <w:rsid w:val="00C61098"/>
    <w:rsid w:val="00C815C8"/>
    <w:rsid w:val="00C957F3"/>
    <w:rsid w:val="00CD7A1A"/>
    <w:rsid w:val="00D14577"/>
    <w:rsid w:val="00D2258A"/>
    <w:rsid w:val="00D51C91"/>
    <w:rsid w:val="00DD6FB9"/>
    <w:rsid w:val="00DF2AA8"/>
    <w:rsid w:val="00E20981"/>
    <w:rsid w:val="00E72ACB"/>
    <w:rsid w:val="00E87357"/>
    <w:rsid w:val="00EB6B8C"/>
    <w:rsid w:val="00ED0DCC"/>
    <w:rsid w:val="00EE5EFE"/>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8A01A9"/>
  <w15:docId w15:val="{D102C167-977F-460D-8FE9-BADF58E0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10D50"/>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F6B37"/>
    <w:pPr>
      <w:widowControl w:val="0"/>
      <w:autoSpaceDE w:val="0"/>
      <w:autoSpaceDN w:val="0"/>
      <w:adjustRightInd w:val="0"/>
    </w:pPr>
    <w:rPr>
      <w:rFonts w:ascii="Arial" w:hAnsi="Arial" w:cs="Arial"/>
      <w:color w:val="000000"/>
      <w:sz w:val="24"/>
      <w:szCs w:val="24"/>
      <w:lang w:eastAsia="en-US"/>
    </w:rPr>
  </w:style>
  <w:style w:type="paragraph" w:styleId="Besedilooblaka">
    <w:name w:val="Balloon Text"/>
    <w:basedOn w:val="Navaden"/>
    <w:link w:val="BesedilooblakaZnak"/>
    <w:uiPriority w:val="99"/>
    <w:semiHidden/>
    <w:unhideWhenUsed/>
    <w:rsid w:val="00AF3A10"/>
    <w:rPr>
      <w:rFonts w:ascii="Tahoma" w:hAnsi="Tahoma"/>
      <w:sz w:val="16"/>
      <w:szCs w:val="16"/>
      <w:lang w:val="x-none" w:eastAsia="x-none"/>
    </w:rPr>
  </w:style>
  <w:style w:type="character" w:customStyle="1" w:styleId="BesedilooblakaZnak">
    <w:name w:val="Besedilo oblačka Znak"/>
    <w:link w:val="Besedilooblaka"/>
    <w:uiPriority w:val="99"/>
    <w:semiHidden/>
    <w:rsid w:val="00AF3A10"/>
    <w:rPr>
      <w:rFonts w:ascii="Tahoma" w:hAnsi="Tahoma" w:cs="Tahoma"/>
      <w:sz w:val="16"/>
      <w:szCs w:val="16"/>
    </w:rPr>
  </w:style>
  <w:style w:type="paragraph" w:styleId="Glava">
    <w:name w:val="header"/>
    <w:basedOn w:val="Navaden"/>
    <w:link w:val="GlavaZnak"/>
    <w:uiPriority w:val="99"/>
    <w:semiHidden/>
    <w:unhideWhenUsed/>
    <w:rsid w:val="00956115"/>
    <w:pPr>
      <w:tabs>
        <w:tab w:val="center" w:pos="4819"/>
        <w:tab w:val="right" w:pos="9638"/>
      </w:tabs>
    </w:pPr>
    <w:rPr>
      <w:lang w:val="x-none"/>
    </w:rPr>
  </w:style>
  <w:style w:type="character" w:customStyle="1" w:styleId="GlavaZnak">
    <w:name w:val="Glava Znak"/>
    <w:link w:val="Glava"/>
    <w:uiPriority w:val="99"/>
    <w:semiHidden/>
    <w:rsid w:val="00956115"/>
    <w:rPr>
      <w:sz w:val="24"/>
      <w:szCs w:val="24"/>
      <w:lang w:eastAsia="en-US"/>
    </w:rPr>
  </w:style>
  <w:style w:type="paragraph" w:styleId="Noga">
    <w:name w:val="footer"/>
    <w:basedOn w:val="Navaden"/>
    <w:link w:val="NogaZnak"/>
    <w:uiPriority w:val="99"/>
    <w:semiHidden/>
    <w:unhideWhenUsed/>
    <w:rsid w:val="00956115"/>
    <w:pPr>
      <w:tabs>
        <w:tab w:val="center" w:pos="4819"/>
        <w:tab w:val="right" w:pos="9638"/>
      </w:tabs>
    </w:pPr>
    <w:rPr>
      <w:lang w:val="x-none"/>
    </w:rPr>
  </w:style>
  <w:style w:type="character" w:customStyle="1" w:styleId="NogaZnak">
    <w:name w:val="Noga Znak"/>
    <w:link w:val="Noga"/>
    <w:uiPriority w:val="99"/>
    <w:semiHidden/>
    <w:rsid w:val="00956115"/>
    <w:rPr>
      <w:sz w:val="24"/>
      <w:szCs w:val="24"/>
      <w:lang w:eastAsia="en-US"/>
    </w:rPr>
  </w:style>
  <w:style w:type="character" w:styleId="Pripombasklic">
    <w:name w:val="annotation reference"/>
    <w:uiPriority w:val="99"/>
    <w:semiHidden/>
    <w:unhideWhenUsed/>
    <w:rsid w:val="00EC6909"/>
    <w:rPr>
      <w:sz w:val="16"/>
      <w:szCs w:val="16"/>
    </w:rPr>
  </w:style>
  <w:style w:type="paragraph" w:styleId="Pripombabesedilo">
    <w:name w:val="annotation text"/>
    <w:basedOn w:val="Navaden"/>
    <w:link w:val="PripombabesediloZnak"/>
    <w:uiPriority w:val="99"/>
    <w:semiHidden/>
    <w:unhideWhenUsed/>
    <w:rsid w:val="00EC6909"/>
    <w:rPr>
      <w:sz w:val="20"/>
      <w:szCs w:val="20"/>
    </w:rPr>
  </w:style>
  <w:style w:type="character" w:customStyle="1" w:styleId="PripombabesediloZnak">
    <w:name w:val="Pripomba – besedilo Znak"/>
    <w:link w:val="Pripombabesedilo"/>
    <w:uiPriority w:val="99"/>
    <w:semiHidden/>
    <w:rsid w:val="00EC6909"/>
    <w:rPr>
      <w:lang w:val="it-IT" w:eastAsia="en-US"/>
    </w:rPr>
  </w:style>
  <w:style w:type="paragraph" w:styleId="Zadevapripombe">
    <w:name w:val="annotation subject"/>
    <w:basedOn w:val="Pripombabesedilo"/>
    <w:next w:val="Pripombabesedilo"/>
    <w:link w:val="ZadevapripombeZnak"/>
    <w:uiPriority w:val="99"/>
    <w:semiHidden/>
    <w:unhideWhenUsed/>
    <w:rsid w:val="00EC6909"/>
    <w:rPr>
      <w:b/>
      <w:bCs/>
    </w:rPr>
  </w:style>
  <w:style w:type="character" w:customStyle="1" w:styleId="ZadevapripombeZnak">
    <w:name w:val="Zadeva pripombe Znak"/>
    <w:link w:val="Zadevapripombe"/>
    <w:uiPriority w:val="99"/>
    <w:semiHidden/>
    <w:rsid w:val="00EC6909"/>
    <w:rPr>
      <w:b/>
      <w:bCs/>
      <w:lang w:val="it-IT" w:eastAsia="en-US"/>
    </w:rPr>
  </w:style>
  <w:style w:type="paragraph" w:customStyle="1" w:styleId="Elencoscuro-Colore31">
    <w:name w:val="Elenco scuro - Colore 31"/>
    <w:hidden/>
    <w:uiPriority w:val="99"/>
    <w:semiHidden/>
    <w:rsid w:val="002D0F9F"/>
    <w:rPr>
      <w:sz w:val="24"/>
      <w:szCs w:val="24"/>
      <w:lang w:eastAsia="en-US"/>
    </w:rPr>
  </w:style>
  <w:style w:type="paragraph" w:styleId="Navadensplet">
    <w:name w:val="Normal (Web)"/>
    <w:basedOn w:val="Navaden"/>
    <w:uiPriority w:val="99"/>
    <w:semiHidden/>
    <w:unhideWhenUsed/>
    <w:rsid w:val="002770DC"/>
    <w:pPr>
      <w:spacing w:before="100" w:beforeAutospacing="1" w:after="100" w:afterAutospacing="1"/>
    </w:pPr>
    <w:rPr>
      <w:rFonts w:ascii="Times New Roman" w:eastAsiaTheme="minorEastAsia" w:hAnsi="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1231</Words>
  <Characters>7018</Characters>
  <Application>Microsoft Office Word</Application>
  <DocSecurity>0</DocSecurity>
  <Lines>58</Lines>
  <Paragraphs>16</Paragraphs>
  <ScaleCrop>false</ScaleCrop>
  <HeadingPairs>
    <vt:vector size="6" baseType="variant">
      <vt:variant>
        <vt:lpstr>Naslov</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K&amp;M</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Colarossi</dc:creator>
  <cp:lastModifiedBy>Eva Pučnik</cp:lastModifiedBy>
  <cp:revision>2</cp:revision>
  <cp:lastPrinted>2017-04-25T12:15:00Z</cp:lastPrinted>
  <dcterms:created xsi:type="dcterms:W3CDTF">2021-07-13T13:42:00Z</dcterms:created>
  <dcterms:modified xsi:type="dcterms:W3CDTF">2021-07-13T13:42:00Z</dcterms:modified>
</cp:coreProperties>
</file>