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442ECE" w14:textId="77777777" w:rsidR="00D14577" w:rsidRPr="00D91E7C" w:rsidRDefault="00202F6A" w:rsidP="00D14577">
      <w:pPr>
        <w:pStyle w:val="Default"/>
        <w:spacing w:after="120" w:line="20" w:lineRule="atLeast"/>
        <w:jc w:val="center"/>
        <w:rPr>
          <w:b/>
          <w:bCs/>
          <w:color w:val="auto"/>
          <w:lang w:val="sl-SI"/>
        </w:rPr>
      </w:pPr>
      <w:bookmarkStart w:id="0" w:name="_GoBack"/>
      <w:bookmarkEnd w:id="0"/>
      <w:r w:rsidRPr="00D91E7C">
        <w:rPr>
          <w:b/>
          <w:bCs/>
          <w:color w:val="auto"/>
          <w:lang w:val="sl-SI"/>
        </w:rPr>
        <w:t xml:space="preserve">Pismo o nameri v zvezi z načeli in delovnimi metodami na območju Jadranskega morja </w:t>
      </w:r>
    </w:p>
    <w:p w14:paraId="6BC49928" w14:textId="77777777" w:rsidR="00D14577" w:rsidRPr="00D91E7C" w:rsidRDefault="00D14577" w:rsidP="00D14577">
      <w:pPr>
        <w:pStyle w:val="Default"/>
        <w:spacing w:after="120" w:line="20" w:lineRule="atLeast"/>
        <w:jc w:val="center"/>
        <w:rPr>
          <w:color w:val="auto"/>
          <w:lang w:val="sl-SI"/>
        </w:rPr>
      </w:pPr>
      <w:r w:rsidRPr="00D91E7C">
        <w:rPr>
          <w:b/>
          <w:bCs/>
          <w:color w:val="auto"/>
          <w:lang w:val="sl-SI"/>
        </w:rPr>
        <w:t>(ADRIATICA)</w:t>
      </w:r>
    </w:p>
    <w:p w14:paraId="70348B57" w14:textId="77777777" w:rsidR="00D14577" w:rsidRPr="00D91E7C" w:rsidRDefault="00D14577" w:rsidP="00D14577">
      <w:pPr>
        <w:pStyle w:val="Default"/>
        <w:spacing w:after="120" w:line="20" w:lineRule="atLeast"/>
        <w:jc w:val="both"/>
        <w:rPr>
          <w:b/>
          <w:color w:val="auto"/>
          <w:lang w:val="sl-SI"/>
        </w:rPr>
      </w:pPr>
    </w:p>
    <w:p w14:paraId="2AD27388" w14:textId="77777777" w:rsidR="00D14577" w:rsidRPr="00D91E7C" w:rsidRDefault="00D14577" w:rsidP="00D14577">
      <w:pPr>
        <w:pStyle w:val="Default"/>
        <w:spacing w:after="120" w:line="20" w:lineRule="atLeast"/>
        <w:jc w:val="both"/>
        <w:rPr>
          <w:b/>
          <w:color w:val="auto"/>
          <w:lang w:val="sl-SI"/>
        </w:rPr>
      </w:pPr>
      <w:r w:rsidRPr="00D91E7C">
        <w:rPr>
          <w:b/>
          <w:bCs/>
          <w:color w:val="auto"/>
          <w:lang w:val="sl-SI"/>
        </w:rPr>
        <w:t xml:space="preserve">1. Uvodne ugotovitve </w:t>
      </w:r>
    </w:p>
    <w:p w14:paraId="66A6E3AC" w14:textId="3F89CBA6" w:rsidR="00D14577" w:rsidRPr="00D91E7C" w:rsidRDefault="00D14577" w:rsidP="00D14577">
      <w:pPr>
        <w:pStyle w:val="Default"/>
        <w:spacing w:after="120" w:line="20" w:lineRule="atLeast"/>
        <w:ind w:left="426" w:hanging="426"/>
        <w:jc w:val="both"/>
        <w:rPr>
          <w:color w:val="auto"/>
          <w:lang w:val="sl-SI"/>
        </w:rPr>
      </w:pPr>
      <w:r w:rsidRPr="00D91E7C">
        <w:rPr>
          <w:color w:val="auto"/>
          <w:lang w:val="sl-SI"/>
        </w:rPr>
        <w:t>(1)</w:t>
      </w:r>
      <w:r w:rsidRPr="00D91E7C">
        <w:rPr>
          <w:color w:val="auto"/>
          <w:lang w:val="sl-SI"/>
        </w:rPr>
        <w:tab/>
        <w:t>Hrvaška, italijanska in slovenska uprava za ribištvo (v nadaljnjem besedilu: uprave držav članic EU za ribištvo) imajo dolgoletno tradicijo učinkovitega sodelovanja z Evropsko komisijo na področjih upravljanja ribištva in znanosti na območju Jadranskega morja. S tem povezane dejavnosti so poleg sodelovanja na ravni znanosti in upravljanja vključevale tudi temeljita posvetovanja z ribiškim sektorjem.</w:t>
      </w:r>
    </w:p>
    <w:p w14:paraId="2B793153" w14:textId="7012D7BB" w:rsidR="00D14577" w:rsidRPr="00D91E7C" w:rsidRDefault="00D14577" w:rsidP="00D14577">
      <w:pPr>
        <w:pStyle w:val="Default"/>
        <w:spacing w:after="120" w:line="20" w:lineRule="atLeast"/>
        <w:ind w:left="426" w:hanging="426"/>
        <w:jc w:val="both"/>
        <w:rPr>
          <w:color w:val="auto"/>
          <w:lang w:val="sl-SI"/>
        </w:rPr>
      </w:pPr>
      <w:r w:rsidRPr="00D91E7C">
        <w:rPr>
          <w:color w:val="auto"/>
          <w:lang w:val="sl-SI"/>
        </w:rPr>
        <w:t>(2)</w:t>
      </w:r>
      <w:r w:rsidRPr="00D91E7C">
        <w:rPr>
          <w:color w:val="auto"/>
          <w:lang w:val="sl-SI"/>
        </w:rPr>
        <w:tab/>
        <w:t xml:space="preserve">Razvita je bila strukturirana oblika sodelovanja na področju ribištva. Glavni cilj je nadaljnja krepitev usklajevanja in sodelovanja med upravami držav članic EU za ribištvo </w:t>
      </w:r>
      <w:r w:rsidR="00245E69">
        <w:rPr>
          <w:color w:val="auto"/>
          <w:lang w:val="sl-SI"/>
        </w:rPr>
        <w:t>in tudi</w:t>
      </w:r>
      <w:r w:rsidR="009213FF">
        <w:rPr>
          <w:color w:val="auto"/>
          <w:lang w:val="sl-SI"/>
        </w:rPr>
        <w:t xml:space="preserve"> </w:t>
      </w:r>
      <w:r w:rsidRPr="00D91E7C">
        <w:rPr>
          <w:color w:val="auto"/>
          <w:lang w:val="sl-SI"/>
        </w:rPr>
        <w:t xml:space="preserve">med drugimi ključnimi deležniki, ki so pomembni za področje ribištva na območju Jadranskega morja. </w:t>
      </w:r>
      <w:r w:rsidR="00245E69" w:rsidRPr="00245E69">
        <w:rPr>
          <w:color w:val="auto"/>
          <w:lang w:val="sl-SI"/>
        </w:rPr>
        <w:t xml:space="preserve">Gre za forum za izmenjavo idej, mnenj in informacij, ki lahko </w:t>
      </w:r>
      <w:r w:rsidR="00245E69">
        <w:rPr>
          <w:color w:val="auto"/>
          <w:lang w:val="sl-SI"/>
        </w:rPr>
        <w:t>prispeva</w:t>
      </w:r>
      <w:r w:rsidR="00245E69" w:rsidRPr="00245E69">
        <w:rPr>
          <w:color w:val="auto"/>
          <w:lang w:val="sl-SI"/>
        </w:rPr>
        <w:t xml:space="preserve"> k skupnim prizadevanjem pri različnih projektih za razvoj trajnostnega ribištva na območju Jadranskega morja.</w:t>
      </w:r>
    </w:p>
    <w:p w14:paraId="63660FF2" w14:textId="77777777" w:rsidR="00D14577" w:rsidRPr="00D91E7C" w:rsidRDefault="00D14577" w:rsidP="00D14577">
      <w:pPr>
        <w:pStyle w:val="Default"/>
        <w:spacing w:after="120" w:line="20" w:lineRule="atLeast"/>
        <w:ind w:left="426" w:hanging="426"/>
        <w:jc w:val="both"/>
        <w:rPr>
          <w:color w:val="auto"/>
          <w:lang w:val="sl-SI"/>
        </w:rPr>
      </w:pPr>
      <w:r w:rsidRPr="00D91E7C">
        <w:rPr>
          <w:color w:val="auto"/>
          <w:lang w:val="sl-SI"/>
        </w:rPr>
        <w:t>(3)</w:t>
      </w:r>
      <w:r w:rsidRPr="00D91E7C">
        <w:rPr>
          <w:color w:val="auto"/>
          <w:lang w:val="sl-SI"/>
        </w:rPr>
        <w:tab/>
        <w:t xml:space="preserve">Reforma skupne ribiške politike (v nadaljnjem besedilu: SRP) Evropske unije iz leta 2013 kot osrednji element vključuje regionalizacijo SRP. Dejavnosti temeljijo predvsem na elementu regionalizacije iz osnovne uredbe o SRP. </w:t>
      </w:r>
    </w:p>
    <w:p w14:paraId="5D7EAC1A" w14:textId="5C74FAB9" w:rsidR="00D14577" w:rsidRPr="00D91E7C" w:rsidRDefault="00D14577" w:rsidP="00D14577">
      <w:pPr>
        <w:pStyle w:val="Default"/>
        <w:spacing w:after="120" w:line="20" w:lineRule="atLeast"/>
        <w:ind w:left="426" w:hanging="426"/>
        <w:jc w:val="both"/>
        <w:rPr>
          <w:color w:val="auto"/>
          <w:lang w:val="sl-SI"/>
        </w:rPr>
      </w:pPr>
      <w:r w:rsidRPr="00D91E7C">
        <w:rPr>
          <w:color w:val="auto"/>
          <w:lang w:val="sl-SI"/>
        </w:rPr>
        <w:t>(4)</w:t>
      </w:r>
      <w:r w:rsidRPr="00D91E7C">
        <w:rPr>
          <w:color w:val="auto"/>
          <w:lang w:val="sl-SI"/>
        </w:rPr>
        <w:tab/>
        <w:t xml:space="preserve">V okviru zgoraj navedene osnovne uredbe se uprave držav članic EU za ribištvo zavezujejo, da bodo sodelovale pri upravljanju ribištva na območju Jadranskega morja, pri čemer se bodo posvetovale s Svetovalnim svetom za Sredozemsko morje (MEDAC) in Evropsko komisijo. Uprave držav članic EU za ribištvo si bodo zlasti prizadevale </w:t>
      </w:r>
      <w:r w:rsidR="00245E69">
        <w:rPr>
          <w:color w:val="auto"/>
          <w:lang w:val="sl-SI"/>
        </w:rPr>
        <w:t>oblikovati</w:t>
      </w:r>
      <w:r w:rsidRPr="00D91E7C">
        <w:rPr>
          <w:color w:val="auto"/>
          <w:lang w:val="sl-SI"/>
        </w:rPr>
        <w:t xml:space="preserve"> skupna priporočila v skladu z 18. členom osnovne uredbe o SRP.</w:t>
      </w:r>
    </w:p>
    <w:p w14:paraId="5F9D3E94" w14:textId="77777777" w:rsidR="00D14577" w:rsidRPr="00D91E7C" w:rsidRDefault="00D14577" w:rsidP="00D14577">
      <w:pPr>
        <w:pStyle w:val="Default"/>
        <w:spacing w:after="120" w:line="20" w:lineRule="atLeast"/>
        <w:ind w:left="426" w:hanging="426"/>
        <w:jc w:val="both"/>
        <w:rPr>
          <w:color w:val="auto"/>
          <w:lang w:val="sl-SI"/>
        </w:rPr>
      </w:pPr>
      <w:r w:rsidRPr="00D91E7C">
        <w:rPr>
          <w:color w:val="auto"/>
          <w:lang w:val="sl-SI"/>
        </w:rPr>
        <w:t>(5)</w:t>
      </w:r>
      <w:r w:rsidRPr="00D91E7C">
        <w:rPr>
          <w:color w:val="auto"/>
          <w:lang w:val="sl-SI"/>
        </w:rPr>
        <w:tab/>
        <w:t xml:space="preserve">Uprave držav članic EU za ribištvo delujejo na dveh ravneh: </w:t>
      </w:r>
    </w:p>
    <w:p w14:paraId="2E76AB81" w14:textId="36CC17EE" w:rsidR="00D14577" w:rsidRPr="00D91E7C" w:rsidRDefault="00D14577" w:rsidP="00D14577">
      <w:pPr>
        <w:pStyle w:val="Default"/>
        <w:spacing w:after="120" w:line="20" w:lineRule="atLeast"/>
        <w:ind w:left="567" w:hanging="141"/>
        <w:jc w:val="both"/>
        <w:rPr>
          <w:color w:val="auto"/>
          <w:lang w:val="sl-SI"/>
        </w:rPr>
      </w:pPr>
      <w:r w:rsidRPr="00D91E7C">
        <w:rPr>
          <w:color w:val="auto"/>
          <w:lang w:val="sl-SI"/>
        </w:rPr>
        <w:t>–</w:t>
      </w:r>
      <w:r w:rsidRPr="00D91E7C">
        <w:rPr>
          <w:color w:val="auto"/>
          <w:lang w:val="sl-SI"/>
        </w:rPr>
        <w:tab/>
      </w:r>
      <w:r w:rsidRPr="00D91E7C">
        <w:rPr>
          <w:b/>
          <w:bCs/>
          <w:color w:val="auto"/>
          <w:lang w:val="sl-SI"/>
        </w:rPr>
        <w:t>usklajevalna skupina na visoki ravni</w:t>
      </w:r>
      <w:r w:rsidRPr="00D91E7C">
        <w:rPr>
          <w:color w:val="auto"/>
          <w:lang w:val="sl-SI"/>
        </w:rPr>
        <w:t xml:space="preserve">, ki jo sestavljajo hrvaški, italijanski in slovenski generalni direktor za ribištvo; in </w:t>
      </w:r>
    </w:p>
    <w:p w14:paraId="199E3162" w14:textId="283E6896" w:rsidR="00D14577" w:rsidRPr="00D91E7C" w:rsidRDefault="00D14577" w:rsidP="00D14577">
      <w:pPr>
        <w:pStyle w:val="Default"/>
        <w:spacing w:after="120" w:line="20" w:lineRule="atLeast"/>
        <w:ind w:left="567" w:hanging="141"/>
        <w:jc w:val="both"/>
        <w:rPr>
          <w:color w:val="auto"/>
          <w:lang w:val="sl-SI"/>
        </w:rPr>
      </w:pPr>
      <w:r w:rsidRPr="00D91E7C">
        <w:rPr>
          <w:color w:val="auto"/>
          <w:lang w:val="sl-SI"/>
        </w:rPr>
        <w:t>–</w:t>
      </w:r>
      <w:r w:rsidRPr="00D91E7C">
        <w:rPr>
          <w:color w:val="auto"/>
          <w:lang w:val="sl-SI"/>
        </w:rPr>
        <w:tab/>
      </w:r>
      <w:r w:rsidRPr="00D91E7C">
        <w:rPr>
          <w:b/>
          <w:bCs/>
          <w:color w:val="auto"/>
          <w:lang w:val="sl-SI"/>
        </w:rPr>
        <w:t>tehnična skupina</w:t>
      </w:r>
      <w:r w:rsidRPr="00D91E7C">
        <w:rPr>
          <w:color w:val="auto"/>
          <w:lang w:val="sl-SI"/>
        </w:rPr>
        <w:t>, ki jo sestavljajo predstavniki hrvaškega, italijanskega in slovenskega generalnega direktorata za ribištvo, uradniki Evropske komisije in MEDAC ter predstavniki Evropske agencije za nadzor ribištva (EFCA), FAO-</w:t>
      </w:r>
      <w:proofErr w:type="spellStart"/>
      <w:r w:rsidRPr="00D91E7C">
        <w:rPr>
          <w:color w:val="auto"/>
          <w:lang w:val="sl-SI"/>
        </w:rPr>
        <w:t>AdriaMed</w:t>
      </w:r>
      <w:proofErr w:type="spellEnd"/>
      <w:r w:rsidRPr="00D91E7C">
        <w:rPr>
          <w:color w:val="auto"/>
          <w:lang w:val="sl-SI"/>
        </w:rPr>
        <w:t xml:space="preserve"> in ustreznih deležnikov na področju ribištva na območju Jadranskega morja. </w:t>
      </w:r>
    </w:p>
    <w:p w14:paraId="64D934F2" w14:textId="47BABEF4" w:rsidR="00D14577" w:rsidRPr="00D91E7C" w:rsidRDefault="00D14577" w:rsidP="00D14577">
      <w:pPr>
        <w:pStyle w:val="Default"/>
        <w:spacing w:after="120" w:line="20" w:lineRule="atLeast"/>
        <w:ind w:left="426" w:hanging="426"/>
        <w:jc w:val="both"/>
        <w:rPr>
          <w:color w:val="auto"/>
          <w:lang w:val="sl-SI"/>
        </w:rPr>
      </w:pPr>
      <w:r w:rsidRPr="00D91E7C">
        <w:rPr>
          <w:color w:val="auto"/>
          <w:lang w:val="sl-SI"/>
        </w:rPr>
        <w:t>(6)</w:t>
      </w:r>
      <w:r w:rsidRPr="00D91E7C">
        <w:rPr>
          <w:color w:val="auto"/>
          <w:lang w:val="sl-SI"/>
        </w:rPr>
        <w:tab/>
        <w:t xml:space="preserve">To pismo o nameri določa načela in delovne metode, ki se bodo uporabljali v okviru usklajevalne skupine na visoki ravni in tehnične skupine. Pismo o nameri izraža pripravljenost hrvaškega, italijanskega in slovenskega generalnega direktorja za ribištvo za delo v skladu z načeli in delovnimi metodami, opisanimi v točkah 2–4. Pismo o nameri ni pravno zavezujoč instrument ali dokument. </w:t>
      </w:r>
    </w:p>
    <w:p w14:paraId="7BD11887" w14:textId="77777777" w:rsidR="00D14577" w:rsidRPr="00D91E7C" w:rsidRDefault="00D14577" w:rsidP="00D14577">
      <w:pPr>
        <w:pStyle w:val="Default"/>
        <w:spacing w:after="120" w:line="20" w:lineRule="atLeast"/>
        <w:jc w:val="both"/>
        <w:rPr>
          <w:b/>
          <w:color w:val="auto"/>
          <w:lang w:val="sl-SI"/>
        </w:rPr>
      </w:pPr>
    </w:p>
    <w:p w14:paraId="1FA6F379" w14:textId="77777777" w:rsidR="00D14577" w:rsidRPr="00D91E7C" w:rsidRDefault="00D14577" w:rsidP="00D14577">
      <w:pPr>
        <w:pStyle w:val="Default"/>
        <w:spacing w:after="120" w:line="20" w:lineRule="atLeast"/>
        <w:jc w:val="both"/>
        <w:rPr>
          <w:b/>
          <w:bCs/>
          <w:color w:val="auto"/>
          <w:lang w:val="sl-SI"/>
        </w:rPr>
      </w:pPr>
      <w:r w:rsidRPr="00D91E7C">
        <w:rPr>
          <w:b/>
          <w:bCs/>
          <w:color w:val="auto"/>
          <w:lang w:val="sl-SI"/>
        </w:rPr>
        <w:t>2. Načela in delovne metode usklajevalne skupine na visoki ravni in tehnične skupine</w:t>
      </w:r>
    </w:p>
    <w:p w14:paraId="62D72952" w14:textId="77777777" w:rsidR="00D14577" w:rsidRPr="00D91E7C" w:rsidRDefault="0045250E" w:rsidP="00D14577">
      <w:pPr>
        <w:pStyle w:val="Default"/>
        <w:spacing w:after="120" w:line="20" w:lineRule="atLeast"/>
        <w:jc w:val="both"/>
        <w:rPr>
          <w:bCs/>
          <w:color w:val="auto"/>
          <w:lang w:val="sl-SI"/>
        </w:rPr>
      </w:pPr>
      <w:r w:rsidRPr="00D91E7C">
        <w:rPr>
          <w:color w:val="auto"/>
          <w:lang w:val="sl-SI"/>
        </w:rPr>
        <w:t xml:space="preserve">Uprave držav članic EU za ribištvo spoštujejo določbe Pogodbe o delovanju Evropske unije (v nadaljnjem besedilu: PDEU), osnovne uredbe o SRP in ustrezne nacionalne zahteve v zvezi s postopki odločanja držav članic. </w:t>
      </w:r>
    </w:p>
    <w:p w14:paraId="735909C0" w14:textId="77777777" w:rsidR="00D14577" w:rsidRPr="00D91E7C" w:rsidRDefault="00D14577" w:rsidP="00D14577">
      <w:pPr>
        <w:pStyle w:val="Default"/>
        <w:spacing w:after="120" w:line="20" w:lineRule="atLeast"/>
        <w:ind w:left="284"/>
        <w:jc w:val="both"/>
        <w:rPr>
          <w:color w:val="auto"/>
          <w:lang w:val="sl-SI"/>
        </w:rPr>
      </w:pPr>
      <w:r w:rsidRPr="00D91E7C">
        <w:rPr>
          <w:b/>
          <w:bCs/>
          <w:color w:val="auto"/>
          <w:lang w:val="sl-SI"/>
        </w:rPr>
        <w:t xml:space="preserve">2.1. Usklajevalna skupina na visoki ravni </w:t>
      </w:r>
    </w:p>
    <w:p w14:paraId="39D7F839" w14:textId="77777777" w:rsidR="00D14577" w:rsidRPr="00D91E7C" w:rsidRDefault="00D14577" w:rsidP="00D14577">
      <w:pPr>
        <w:pStyle w:val="Default"/>
        <w:spacing w:after="120" w:line="20" w:lineRule="atLeast"/>
        <w:ind w:left="284"/>
        <w:jc w:val="both"/>
        <w:rPr>
          <w:color w:val="auto"/>
          <w:lang w:val="sl-SI"/>
        </w:rPr>
      </w:pPr>
      <w:r w:rsidRPr="00D91E7C">
        <w:rPr>
          <w:color w:val="auto"/>
          <w:lang w:val="sl-SI"/>
        </w:rPr>
        <w:t xml:space="preserve">Pri delu usklajevalne skupine na visoki ravni se bodo uporabljala ta načela in delovne metode: </w:t>
      </w:r>
    </w:p>
    <w:p w14:paraId="2D5A64B8" w14:textId="499C84A1" w:rsidR="00D14577" w:rsidRPr="00D91E7C" w:rsidRDefault="00D14577" w:rsidP="00D14577">
      <w:pPr>
        <w:pStyle w:val="Default"/>
        <w:spacing w:after="120" w:line="20" w:lineRule="atLeast"/>
        <w:ind w:left="1134" w:hanging="850"/>
        <w:jc w:val="both"/>
        <w:rPr>
          <w:color w:val="auto"/>
          <w:lang w:val="sl-SI"/>
        </w:rPr>
      </w:pPr>
      <w:r w:rsidRPr="00D91E7C">
        <w:rPr>
          <w:color w:val="auto"/>
          <w:lang w:val="sl-SI"/>
        </w:rPr>
        <w:t xml:space="preserve">2.1.1 </w:t>
      </w:r>
      <w:r w:rsidRPr="00D91E7C">
        <w:rPr>
          <w:color w:val="auto"/>
          <w:lang w:val="sl-SI"/>
        </w:rPr>
        <w:tab/>
        <w:t xml:space="preserve">Predsedstvo usklajevalne skupine na visoki ravni se izmenjuje med hrvaško, </w:t>
      </w:r>
      <w:r w:rsidRPr="00D91E7C">
        <w:rPr>
          <w:color w:val="auto"/>
          <w:lang w:val="sl-SI"/>
        </w:rPr>
        <w:lastRenderedPageBreak/>
        <w:t>italijansko in slovensko upravo za ribištvo, pri čemer obdobje predsedstva traja eno leto in se začne 1. januarja (IT 2021, HR 2022 in SI 2023 – po letu 2023 se cikel ponovi).</w:t>
      </w:r>
    </w:p>
    <w:p w14:paraId="7FD6C1A7" w14:textId="77777777" w:rsidR="00D14577" w:rsidRPr="00D91E7C" w:rsidRDefault="00D14577" w:rsidP="00D14577">
      <w:pPr>
        <w:pStyle w:val="Default"/>
        <w:spacing w:after="120" w:line="20" w:lineRule="atLeast"/>
        <w:ind w:left="1134" w:hanging="850"/>
        <w:jc w:val="both"/>
        <w:rPr>
          <w:color w:val="auto"/>
          <w:lang w:val="sl-SI"/>
        </w:rPr>
      </w:pPr>
      <w:r w:rsidRPr="00D91E7C">
        <w:rPr>
          <w:color w:val="auto"/>
          <w:lang w:val="sl-SI"/>
        </w:rPr>
        <w:t xml:space="preserve">2.1.2 </w:t>
      </w:r>
      <w:r w:rsidRPr="00D91E7C">
        <w:rPr>
          <w:color w:val="auto"/>
          <w:lang w:val="sl-SI"/>
        </w:rPr>
        <w:tab/>
        <w:t>Predsedstvo določi datume in kraje srečanj, predlaga ohranitev vsaj enega srečanja na leto in poda okvirni seznam tem za razpravo. Osnovni delovni jezik je angleščina.</w:t>
      </w:r>
    </w:p>
    <w:p w14:paraId="6CD02990" w14:textId="77777777" w:rsidR="00D14577" w:rsidRPr="00D91E7C" w:rsidRDefault="00D14577" w:rsidP="00D14577">
      <w:pPr>
        <w:pStyle w:val="Default"/>
        <w:spacing w:after="120" w:line="20" w:lineRule="atLeast"/>
        <w:ind w:left="1134" w:hanging="850"/>
        <w:jc w:val="both"/>
        <w:rPr>
          <w:color w:val="auto"/>
          <w:lang w:val="sl-SI"/>
        </w:rPr>
      </w:pPr>
      <w:r w:rsidRPr="00D91E7C">
        <w:rPr>
          <w:color w:val="auto"/>
          <w:lang w:val="sl-SI"/>
        </w:rPr>
        <w:t xml:space="preserve">2.1.3 </w:t>
      </w:r>
      <w:r w:rsidRPr="00D91E7C">
        <w:rPr>
          <w:color w:val="auto"/>
          <w:lang w:val="sl-SI"/>
        </w:rPr>
        <w:tab/>
        <w:t xml:space="preserve">V vsaki upravi države članice EU za ribištvo se določi uradnik, ki je odgovoren za upravno delo in komunikacijo (koordinator). </w:t>
      </w:r>
    </w:p>
    <w:p w14:paraId="08D769EF" w14:textId="77777777" w:rsidR="00D14577" w:rsidRPr="00D91E7C" w:rsidRDefault="00D14577" w:rsidP="00D14577">
      <w:pPr>
        <w:pStyle w:val="Default"/>
        <w:spacing w:after="120" w:line="20" w:lineRule="atLeast"/>
        <w:ind w:left="1134" w:hanging="850"/>
        <w:jc w:val="both"/>
        <w:rPr>
          <w:color w:val="auto"/>
          <w:lang w:val="sl-SI"/>
        </w:rPr>
      </w:pPr>
      <w:r w:rsidRPr="00D91E7C">
        <w:rPr>
          <w:color w:val="auto"/>
          <w:lang w:val="sl-SI"/>
        </w:rPr>
        <w:t xml:space="preserve">2.1.4. </w:t>
      </w:r>
      <w:r w:rsidRPr="00D91E7C">
        <w:rPr>
          <w:color w:val="auto"/>
          <w:lang w:val="sl-SI"/>
        </w:rPr>
        <w:tab/>
        <w:t xml:space="preserve">Deležniki na področju ribištva na območju Jadranskega morja lahko svoja stališča in predloge naslovijo na uprave držav članic EU za ribištvo. Po potrebi bodo ta stališča in predlogi uvrščeni na dnevni red prihodnjega srečanja usklajevalne skupine na visoki ravni ali predvideni za obravnavo v tehnični skupini. </w:t>
      </w:r>
    </w:p>
    <w:p w14:paraId="4B07A999" w14:textId="20FD53FB" w:rsidR="00D14577" w:rsidRPr="00D91E7C" w:rsidRDefault="00D14577" w:rsidP="00D14577">
      <w:pPr>
        <w:pStyle w:val="Default"/>
        <w:spacing w:after="120" w:line="20" w:lineRule="atLeast"/>
        <w:ind w:left="1134" w:hanging="850"/>
        <w:jc w:val="both"/>
        <w:rPr>
          <w:color w:val="auto"/>
          <w:lang w:val="sl-SI"/>
        </w:rPr>
      </w:pPr>
      <w:r w:rsidRPr="00D91E7C">
        <w:rPr>
          <w:color w:val="auto"/>
          <w:lang w:val="sl-SI"/>
        </w:rPr>
        <w:t xml:space="preserve">2.1.5. </w:t>
      </w:r>
      <w:r w:rsidRPr="00D91E7C">
        <w:rPr>
          <w:color w:val="auto"/>
          <w:lang w:val="sl-SI"/>
        </w:rPr>
        <w:tab/>
        <w:t>Usklajevalna skupina na visoki ravni lahko pripravi stališča in skupna priporočila ter predloge za obravnavo in morebitno nadaljnje ukrepanje na ravni institucij EU ali, če je tako dogovorjeno, na nacionalni ravni</w:t>
      </w:r>
      <w:r w:rsidR="009213FF">
        <w:rPr>
          <w:color w:val="auto"/>
          <w:lang w:val="sl-SI"/>
        </w:rPr>
        <w:t>, in sicer brez poseganja v nacionalne predpise</w:t>
      </w:r>
      <w:r w:rsidRPr="00D91E7C">
        <w:rPr>
          <w:color w:val="auto"/>
          <w:lang w:val="sl-SI"/>
        </w:rPr>
        <w:t xml:space="preserve"> in postopke.</w:t>
      </w:r>
    </w:p>
    <w:p w14:paraId="00024022" w14:textId="77777777" w:rsidR="00D14577" w:rsidRPr="00D91E7C" w:rsidRDefault="00D14577" w:rsidP="00D14577">
      <w:pPr>
        <w:pStyle w:val="Default"/>
        <w:spacing w:after="120" w:line="20" w:lineRule="atLeast"/>
        <w:ind w:left="1134" w:hanging="850"/>
        <w:jc w:val="both"/>
        <w:rPr>
          <w:color w:val="auto"/>
          <w:lang w:val="sl-SI"/>
        </w:rPr>
      </w:pPr>
      <w:r w:rsidRPr="00D91E7C">
        <w:rPr>
          <w:color w:val="auto"/>
          <w:lang w:val="sl-SI"/>
        </w:rPr>
        <w:t xml:space="preserve">2.1.6. </w:t>
      </w:r>
      <w:r w:rsidRPr="00D91E7C">
        <w:rPr>
          <w:color w:val="auto"/>
          <w:lang w:val="sl-SI"/>
        </w:rPr>
        <w:tab/>
        <w:t xml:space="preserve">Uprave držav članic EU za ribištvo pri pripravi in obravnavi osnutkov stališč ali skupnih priporočil ustrezno upoštevajo mnenja Evropske komisije. </w:t>
      </w:r>
    </w:p>
    <w:p w14:paraId="7162FAE4" w14:textId="77777777" w:rsidR="00D14577" w:rsidRPr="00D91E7C" w:rsidRDefault="00D14577" w:rsidP="00D14577">
      <w:pPr>
        <w:pStyle w:val="Default"/>
        <w:spacing w:after="120" w:line="20" w:lineRule="atLeast"/>
        <w:ind w:left="1134" w:hanging="850"/>
        <w:jc w:val="both"/>
        <w:rPr>
          <w:color w:val="auto"/>
          <w:lang w:val="sl-SI"/>
        </w:rPr>
      </w:pPr>
      <w:r w:rsidRPr="00D91E7C">
        <w:rPr>
          <w:color w:val="auto"/>
          <w:lang w:val="sl-SI"/>
        </w:rPr>
        <w:t xml:space="preserve">2.1.7. </w:t>
      </w:r>
      <w:r w:rsidRPr="00D91E7C">
        <w:rPr>
          <w:color w:val="auto"/>
          <w:lang w:val="sl-SI"/>
        </w:rPr>
        <w:tab/>
        <w:t>Uprave držav članic EU za ribištvo svoja stališča utemeljujejo na podlagi najboljših razpoložljivih znanstvenih in drugih informacijah, pri čemer se zanašajo na dobro sodelovanje in izmenjavo informacij z ustreznimi organizacijami na območju Jadranskega morja. Te organizacije so zlasti MEDAC, EFCA, FAO-</w:t>
      </w:r>
      <w:proofErr w:type="spellStart"/>
      <w:r w:rsidRPr="00D91E7C">
        <w:rPr>
          <w:color w:val="auto"/>
          <w:lang w:val="sl-SI"/>
        </w:rPr>
        <w:t>AdriaMed</w:t>
      </w:r>
      <w:proofErr w:type="spellEnd"/>
      <w:r w:rsidRPr="00D91E7C">
        <w:rPr>
          <w:color w:val="auto"/>
          <w:lang w:val="sl-SI"/>
        </w:rPr>
        <w:t xml:space="preserve"> in drugi ustrezni deležniki na področju ribištva na območju Jadranskega morja v skladu z dogovorom uprav držav članic EU za ribištvo. Usklajevalna skupina na visoki ravni lahko deležnike, za katere meni, da so pomembni, povabi, da predstavijo svoja stališča ali se udeležijo razprav na srečanjih skupine za usklajevanje na visoki ravni. </w:t>
      </w:r>
    </w:p>
    <w:p w14:paraId="7D3FF2EA" w14:textId="77777777" w:rsidR="00D14577" w:rsidRPr="00D91E7C" w:rsidRDefault="00D14577" w:rsidP="00D14577">
      <w:pPr>
        <w:pStyle w:val="Default"/>
        <w:spacing w:after="120" w:line="20" w:lineRule="atLeast"/>
        <w:ind w:left="1134" w:hanging="850"/>
        <w:jc w:val="both"/>
        <w:rPr>
          <w:color w:val="auto"/>
          <w:lang w:val="sl-SI"/>
        </w:rPr>
      </w:pPr>
      <w:r w:rsidRPr="00D91E7C">
        <w:rPr>
          <w:color w:val="auto"/>
          <w:lang w:val="sl-SI"/>
        </w:rPr>
        <w:t>2.1.8.</w:t>
      </w:r>
      <w:r w:rsidRPr="00D91E7C">
        <w:rPr>
          <w:color w:val="auto"/>
          <w:lang w:val="sl-SI"/>
        </w:rPr>
        <w:tab/>
        <w:t>Pri razpravah usklajevalne skupine na visoki ravni se bodo upoštevale vloge in odgovornosti uprav držav članic EU za ribištvo in institucij EU v zvezi s pogajanji s tretjimi državami, pri čemer se bo usklajevalna skupina na visoki ravni konstruktivno in pravočasno pridružila obstoječim dvostranskim postopkom.</w:t>
      </w:r>
    </w:p>
    <w:p w14:paraId="1956ECFA" w14:textId="0CA37FAB" w:rsidR="00D14577" w:rsidRPr="00D91E7C" w:rsidRDefault="00D14577" w:rsidP="00D14577">
      <w:pPr>
        <w:pStyle w:val="Default"/>
        <w:spacing w:after="120" w:line="20" w:lineRule="atLeast"/>
        <w:ind w:left="1134" w:hanging="850"/>
        <w:jc w:val="both"/>
        <w:rPr>
          <w:color w:val="auto"/>
          <w:lang w:val="sl-SI"/>
        </w:rPr>
      </w:pPr>
      <w:r w:rsidRPr="00D91E7C">
        <w:rPr>
          <w:color w:val="auto"/>
          <w:lang w:val="sl-SI"/>
        </w:rPr>
        <w:t>2.1.9.</w:t>
      </w:r>
      <w:r w:rsidRPr="00D91E7C">
        <w:rPr>
          <w:color w:val="auto"/>
          <w:lang w:val="sl-SI"/>
        </w:rPr>
        <w:tab/>
        <w:t>Usklajevalna skupina na visoki ravni se lahko odloči, da bo ustanovila ad hoc delovne skupine za posebna vprašanja, ki zahtevajo pogl</w:t>
      </w:r>
      <w:r w:rsidR="009213FF">
        <w:rPr>
          <w:color w:val="auto"/>
          <w:lang w:val="sl-SI"/>
        </w:rPr>
        <w:t xml:space="preserve">obljeno delo strokovnjakov, ali </w:t>
      </w:r>
      <w:r w:rsidRPr="00D91E7C">
        <w:rPr>
          <w:color w:val="auto"/>
          <w:lang w:val="sl-SI"/>
        </w:rPr>
        <w:t xml:space="preserve">organizirala posebne tehnične skupine in srečanja. </w:t>
      </w:r>
    </w:p>
    <w:p w14:paraId="36CDF0F0" w14:textId="77777777" w:rsidR="00D14577" w:rsidRPr="00D91E7C" w:rsidRDefault="00D14577" w:rsidP="00D14577">
      <w:pPr>
        <w:pStyle w:val="Default"/>
        <w:spacing w:after="120" w:line="20" w:lineRule="atLeast"/>
        <w:ind w:left="284"/>
        <w:jc w:val="both"/>
        <w:rPr>
          <w:color w:val="auto"/>
          <w:lang w:val="sl-SI"/>
        </w:rPr>
      </w:pPr>
      <w:r w:rsidRPr="00D91E7C">
        <w:rPr>
          <w:b/>
          <w:bCs/>
          <w:color w:val="auto"/>
          <w:lang w:val="sl-SI"/>
        </w:rPr>
        <w:t>2.2. Tehnična skupina</w:t>
      </w:r>
    </w:p>
    <w:p w14:paraId="15A0F0EB" w14:textId="77777777" w:rsidR="00D14577" w:rsidRPr="00D91E7C" w:rsidRDefault="00D14577" w:rsidP="00D14577">
      <w:pPr>
        <w:pStyle w:val="Default"/>
        <w:spacing w:after="120" w:line="20" w:lineRule="atLeast"/>
        <w:ind w:left="284"/>
        <w:jc w:val="both"/>
        <w:rPr>
          <w:color w:val="auto"/>
          <w:lang w:val="sl-SI"/>
        </w:rPr>
      </w:pPr>
      <w:r w:rsidRPr="00D91E7C">
        <w:rPr>
          <w:color w:val="auto"/>
          <w:lang w:val="sl-SI"/>
        </w:rPr>
        <w:t xml:space="preserve">Pri organizaciji tehnične skupine se bodo uporabljala ta načela: </w:t>
      </w:r>
    </w:p>
    <w:p w14:paraId="5A473705" w14:textId="77777777" w:rsidR="00D14577" w:rsidRPr="00D91E7C" w:rsidRDefault="00D14577" w:rsidP="00D14577">
      <w:pPr>
        <w:pStyle w:val="Default"/>
        <w:spacing w:after="120" w:line="20" w:lineRule="atLeast"/>
        <w:ind w:left="1134" w:hanging="850"/>
        <w:jc w:val="both"/>
        <w:rPr>
          <w:color w:val="auto"/>
          <w:lang w:val="sl-SI"/>
        </w:rPr>
      </w:pPr>
      <w:r w:rsidRPr="00D91E7C">
        <w:rPr>
          <w:color w:val="auto"/>
          <w:lang w:val="sl-SI"/>
        </w:rPr>
        <w:t xml:space="preserve">2.2.1 </w:t>
      </w:r>
      <w:r w:rsidRPr="00D91E7C">
        <w:rPr>
          <w:color w:val="auto"/>
          <w:lang w:val="sl-SI"/>
        </w:rPr>
        <w:tab/>
        <w:t xml:space="preserve">Usklajevalna skupina na visoki ravni predlaga datume in kraj srečanj tehnične skupine. </w:t>
      </w:r>
    </w:p>
    <w:p w14:paraId="791697E0" w14:textId="77777777" w:rsidR="00D14577" w:rsidRPr="00D91E7C" w:rsidRDefault="00D14577" w:rsidP="00D14577">
      <w:pPr>
        <w:pStyle w:val="Default"/>
        <w:spacing w:after="120" w:line="20" w:lineRule="atLeast"/>
        <w:ind w:left="1134" w:hanging="850"/>
        <w:jc w:val="both"/>
        <w:rPr>
          <w:color w:val="auto"/>
          <w:lang w:val="sl-SI"/>
        </w:rPr>
      </w:pPr>
      <w:r w:rsidRPr="00D91E7C">
        <w:rPr>
          <w:color w:val="auto"/>
          <w:lang w:val="sl-SI"/>
        </w:rPr>
        <w:t xml:space="preserve">2.2.2 </w:t>
      </w:r>
      <w:r w:rsidRPr="00D91E7C">
        <w:rPr>
          <w:color w:val="auto"/>
          <w:lang w:val="sl-SI"/>
        </w:rPr>
        <w:tab/>
        <w:t>V okviru tehnične skupine se lahko o osnutkih stališč, skupnih priporočilih in drugih temah, pomembnih za področje ribištva na območju Jadranskega morja, razpravlja z ustreznimi deležniki, preden usklajevalna skupina na visoki ravni oblikuje kakršno koli stališče.</w:t>
      </w:r>
    </w:p>
    <w:p w14:paraId="72CD5D24" w14:textId="77777777" w:rsidR="00D14577" w:rsidRPr="00D91E7C" w:rsidRDefault="00D14577" w:rsidP="00D14577">
      <w:pPr>
        <w:pStyle w:val="Default"/>
        <w:spacing w:after="120" w:line="20" w:lineRule="atLeast"/>
        <w:ind w:left="1134" w:hanging="850"/>
        <w:jc w:val="both"/>
        <w:rPr>
          <w:color w:val="auto"/>
          <w:lang w:val="sl-SI"/>
        </w:rPr>
      </w:pPr>
      <w:r w:rsidRPr="00D91E7C">
        <w:rPr>
          <w:color w:val="auto"/>
          <w:lang w:val="sl-SI"/>
        </w:rPr>
        <w:t xml:space="preserve">2.2.3. </w:t>
      </w:r>
      <w:r w:rsidRPr="00D91E7C">
        <w:rPr>
          <w:color w:val="auto"/>
          <w:lang w:val="sl-SI"/>
        </w:rPr>
        <w:tab/>
        <w:t xml:space="preserve">Razprave, posvetovanja in predstavitve v okviru tehnične skupine zagotavljajo potrebne povratne informacije in strokovno znanje deležnikov, ki so usklajevalni skupini na visoki ravni v pomoč pri pripravi stališč in skupnih priporočil. </w:t>
      </w:r>
    </w:p>
    <w:p w14:paraId="4B7B1627" w14:textId="77777777" w:rsidR="00D14577" w:rsidRPr="00D91E7C" w:rsidRDefault="00D14577" w:rsidP="00D14577">
      <w:pPr>
        <w:pStyle w:val="Default"/>
        <w:spacing w:after="120" w:line="20" w:lineRule="atLeast"/>
        <w:jc w:val="both"/>
        <w:rPr>
          <w:b/>
          <w:color w:val="auto"/>
          <w:lang w:val="sl-SI"/>
        </w:rPr>
      </w:pPr>
    </w:p>
    <w:p w14:paraId="4C0DBB8C" w14:textId="77777777" w:rsidR="00D14577" w:rsidRPr="00D91E7C" w:rsidRDefault="00D14577" w:rsidP="00D14577">
      <w:pPr>
        <w:pStyle w:val="Default"/>
        <w:spacing w:after="120" w:line="20" w:lineRule="atLeast"/>
        <w:jc w:val="both"/>
        <w:rPr>
          <w:b/>
          <w:bCs/>
          <w:color w:val="auto"/>
          <w:lang w:val="sl-SI"/>
        </w:rPr>
      </w:pPr>
      <w:r w:rsidRPr="00D91E7C">
        <w:rPr>
          <w:b/>
          <w:bCs/>
          <w:color w:val="auto"/>
          <w:lang w:val="sl-SI"/>
        </w:rPr>
        <w:t xml:space="preserve">3. Postopki za prenos stališč ali skupnih priporočil v zakonodajo </w:t>
      </w:r>
    </w:p>
    <w:p w14:paraId="45E0BA7B" w14:textId="77777777" w:rsidR="00D14577" w:rsidRPr="00D91E7C" w:rsidRDefault="00D14577" w:rsidP="00D14577">
      <w:pPr>
        <w:pStyle w:val="Default"/>
        <w:spacing w:after="120" w:line="20" w:lineRule="atLeast"/>
        <w:ind w:left="284"/>
        <w:jc w:val="both"/>
        <w:rPr>
          <w:color w:val="auto"/>
          <w:lang w:val="sl-SI"/>
        </w:rPr>
      </w:pPr>
      <w:r w:rsidRPr="00D91E7C">
        <w:rPr>
          <w:b/>
          <w:bCs/>
          <w:color w:val="auto"/>
          <w:lang w:val="sl-SI"/>
        </w:rPr>
        <w:lastRenderedPageBreak/>
        <w:t xml:space="preserve">3.1. Uporaba regionalnega pristopa na območju Jadranskega morja z delegiranim ali izvedbenim aktom Komisije (izvajanje na ravni EU) </w:t>
      </w:r>
    </w:p>
    <w:p w14:paraId="595EEB9B" w14:textId="77777777" w:rsidR="00D14577" w:rsidRPr="00D91E7C" w:rsidRDefault="00D14577" w:rsidP="00D14577">
      <w:pPr>
        <w:pStyle w:val="Default"/>
        <w:spacing w:after="120" w:line="20" w:lineRule="atLeast"/>
        <w:ind w:left="284"/>
        <w:jc w:val="both"/>
        <w:rPr>
          <w:color w:val="auto"/>
          <w:lang w:val="sl-SI"/>
        </w:rPr>
      </w:pPr>
      <w:r w:rsidRPr="00D91E7C">
        <w:rPr>
          <w:color w:val="auto"/>
          <w:lang w:val="sl-SI"/>
        </w:rPr>
        <w:t xml:space="preserve">Če so stališča ali skupna priporočila usklajevalne skupine na visoki ravni po svoji naravi v skladu z določbami delegiranih aktov (nebistveni elementi, klavzula o časovni omejitvi veljavnosti, omejeno in natančno opredeljeno področje uporabe), jih lahko predsedstvo usklajevalne skupine na visoki ravni pošlje Komisiji in po potrebi predsedstvu Sveta Evropske unije, da jih obravnavata kot podlago za pripravo delegiranih aktov. Stališča ali skupna priporočila usklajevalne skupine na visoki ravni se lahko pošljejo tudi Evropski komisiji, da jih obravnava kot podlago za izvedbene akte. </w:t>
      </w:r>
    </w:p>
    <w:p w14:paraId="29817ADE" w14:textId="77777777" w:rsidR="00D14577" w:rsidRPr="00D91E7C" w:rsidRDefault="00D14577" w:rsidP="00D14577">
      <w:pPr>
        <w:pStyle w:val="Default"/>
        <w:spacing w:after="120" w:line="20" w:lineRule="atLeast"/>
        <w:ind w:left="284"/>
        <w:jc w:val="both"/>
        <w:rPr>
          <w:b/>
          <w:bCs/>
          <w:iCs/>
          <w:color w:val="auto"/>
          <w:lang w:val="sl-SI"/>
        </w:rPr>
      </w:pPr>
      <w:r w:rsidRPr="00D91E7C">
        <w:rPr>
          <w:b/>
          <w:bCs/>
          <w:color w:val="auto"/>
          <w:lang w:val="sl-SI"/>
        </w:rPr>
        <w:t>3.2. Regionalno usklajevanje območja Jadranskega morja z nacionalno zakonodajo</w:t>
      </w:r>
    </w:p>
    <w:p w14:paraId="67535D27" w14:textId="0D637C26" w:rsidR="00D14577" w:rsidRPr="00D91E7C" w:rsidRDefault="00D14577" w:rsidP="00D14577">
      <w:pPr>
        <w:pStyle w:val="Default"/>
        <w:spacing w:after="120" w:line="20" w:lineRule="atLeast"/>
        <w:ind w:left="284"/>
        <w:jc w:val="both"/>
        <w:rPr>
          <w:color w:val="auto"/>
          <w:lang w:val="sl-SI"/>
        </w:rPr>
      </w:pPr>
      <w:r w:rsidRPr="00D91E7C">
        <w:rPr>
          <w:color w:val="auto"/>
          <w:lang w:val="sl-SI"/>
        </w:rPr>
        <w:t>Če se uprave držav članic EU za ribištvo soglasno strinjajo, se lahko odločijo, da začnejo uveljavljati stališče ali skupno priporočilo usklajevalne skupine na visoki ravni prek nacionalne zakonodaje, in sicer brez poseganja v nacionalne predpise in zakonodajne postopke. Dogovorijo se lahko, da nacionalni ukrepi začnejo veljati na določen dat</w:t>
      </w:r>
      <w:r w:rsidR="009213FF">
        <w:rPr>
          <w:color w:val="auto"/>
          <w:lang w:val="sl-SI"/>
        </w:rPr>
        <w:t>um, kar državam članicam omogoči</w:t>
      </w:r>
      <w:r w:rsidRPr="00D91E7C">
        <w:rPr>
          <w:color w:val="auto"/>
          <w:lang w:val="sl-SI"/>
        </w:rPr>
        <w:t xml:space="preserve">, da se medsebojno seznanijo z določbami, s čimer se zagotovi usklajena uveljavitev. </w:t>
      </w:r>
    </w:p>
    <w:p w14:paraId="04299E74" w14:textId="77777777" w:rsidR="00D14577" w:rsidRPr="00D91E7C" w:rsidRDefault="00D14577" w:rsidP="00D14577">
      <w:pPr>
        <w:pStyle w:val="Default"/>
        <w:spacing w:after="120" w:line="20" w:lineRule="atLeast"/>
        <w:ind w:left="284"/>
        <w:jc w:val="both"/>
        <w:rPr>
          <w:color w:val="auto"/>
          <w:lang w:val="sl-SI"/>
        </w:rPr>
      </w:pPr>
      <w:r w:rsidRPr="00D91E7C">
        <w:rPr>
          <w:color w:val="auto"/>
          <w:lang w:val="sl-SI"/>
        </w:rPr>
        <w:t xml:space="preserve">O določbah, ki se uveljavijo na nacionalni ravni, se v skladu s postopki iz osnovne uredbe o SRP uradno obvesti Evropsko komisijo in druge države članice. </w:t>
      </w:r>
    </w:p>
    <w:p w14:paraId="4BB0703A" w14:textId="77777777" w:rsidR="00D14577" w:rsidRPr="00D91E7C" w:rsidRDefault="00D14577" w:rsidP="00D14577">
      <w:pPr>
        <w:pStyle w:val="Default"/>
        <w:spacing w:after="120" w:line="20" w:lineRule="atLeast"/>
        <w:ind w:left="284"/>
        <w:jc w:val="both"/>
        <w:rPr>
          <w:color w:val="auto"/>
          <w:lang w:val="sl-SI"/>
        </w:rPr>
      </w:pPr>
    </w:p>
    <w:p w14:paraId="4ACE41BA" w14:textId="77777777" w:rsidR="00D14577" w:rsidRPr="00D91E7C" w:rsidRDefault="00D14577" w:rsidP="00D14577">
      <w:pPr>
        <w:pStyle w:val="Default"/>
        <w:spacing w:after="120" w:line="20" w:lineRule="atLeast"/>
        <w:jc w:val="both"/>
        <w:rPr>
          <w:color w:val="auto"/>
          <w:lang w:val="sl-SI"/>
        </w:rPr>
      </w:pPr>
      <w:r w:rsidRPr="00D91E7C">
        <w:rPr>
          <w:b/>
          <w:bCs/>
          <w:color w:val="auto"/>
          <w:lang w:val="sl-SI"/>
        </w:rPr>
        <w:t xml:space="preserve">4. Druge pobude </w:t>
      </w:r>
    </w:p>
    <w:p w14:paraId="65BC628C" w14:textId="77777777" w:rsidR="00D14577" w:rsidRPr="00D91E7C" w:rsidRDefault="00D14577" w:rsidP="00D14577">
      <w:pPr>
        <w:pStyle w:val="Default"/>
        <w:spacing w:after="120" w:line="20" w:lineRule="atLeast"/>
        <w:jc w:val="both"/>
        <w:rPr>
          <w:color w:val="auto"/>
          <w:lang w:val="sl-SI"/>
        </w:rPr>
      </w:pPr>
      <w:r w:rsidRPr="00D91E7C">
        <w:rPr>
          <w:color w:val="auto"/>
          <w:lang w:val="sl-SI"/>
        </w:rPr>
        <w:t xml:space="preserve">Stališča ali skupna priporočila usklajevalne skupine na visoki ravni se lahko kot predlogi o vseh vprašanjih, ki se nanašajo na razvoj trajnostnega ribištva na območju Jadranskega morja, pošljejo tudi Evropski komisiji ali se prek nje posredujejo drugim ustreznim organizacijam. </w:t>
      </w:r>
    </w:p>
    <w:p w14:paraId="071D76DF" w14:textId="77777777" w:rsidR="00D14577" w:rsidRPr="00D91E7C" w:rsidRDefault="00D14577" w:rsidP="00D14577">
      <w:pPr>
        <w:pStyle w:val="Default"/>
        <w:spacing w:after="120" w:line="20" w:lineRule="atLeast"/>
        <w:jc w:val="both"/>
        <w:rPr>
          <w:b/>
          <w:bCs/>
          <w:color w:val="auto"/>
          <w:lang w:val="sl-SI"/>
        </w:rPr>
      </w:pPr>
      <w:r w:rsidRPr="00D91E7C">
        <w:rPr>
          <w:color w:val="auto"/>
          <w:lang w:val="sl-SI"/>
        </w:rPr>
        <w:t>Načela in delovne metode usklajevalne skupine na visoki ravni in tehnične skupine se revidirajo vsaka štiri leta.</w:t>
      </w:r>
      <w:r w:rsidRPr="00D91E7C">
        <w:rPr>
          <w:b/>
          <w:bCs/>
          <w:color w:val="auto"/>
          <w:lang w:val="sl-SI"/>
        </w:rPr>
        <w:t xml:space="preserve"> </w:t>
      </w:r>
    </w:p>
    <w:p w14:paraId="1065EC9B" w14:textId="77777777" w:rsidR="00D14577" w:rsidRPr="00D91E7C" w:rsidRDefault="00D14577" w:rsidP="00D14577">
      <w:pPr>
        <w:pStyle w:val="Default"/>
        <w:spacing w:after="120" w:line="20" w:lineRule="atLeast"/>
        <w:jc w:val="both"/>
        <w:rPr>
          <w:bCs/>
          <w:color w:val="auto"/>
          <w:lang w:val="sl-SI"/>
        </w:rPr>
      </w:pPr>
      <w:r w:rsidRPr="00D91E7C">
        <w:rPr>
          <w:color w:val="auto"/>
          <w:lang w:val="sl-SI"/>
        </w:rPr>
        <w:t>To pismo o nameri lahko podpiše katera koli druga uprava držav članic EU za ribištvo, ki ima interes na področju ribolovnih dejavnosti na območju Jadranskega morja.</w:t>
      </w:r>
    </w:p>
    <w:p w14:paraId="3132B480" w14:textId="2B27A72A" w:rsidR="00D14577" w:rsidRPr="00D91E7C" w:rsidRDefault="00027C3D" w:rsidP="00D14577">
      <w:pPr>
        <w:pStyle w:val="Default"/>
        <w:spacing w:after="120" w:line="20" w:lineRule="atLeast"/>
        <w:jc w:val="both"/>
        <w:rPr>
          <w:color w:val="auto"/>
          <w:lang w:val="sl-SI"/>
        </w:rPr>
      </w:pPr>
      <w:r w:rsidRPr="00D91E7C">
        <w:rPr>
          <w:lang w:val="sl-SI"/>
        </w:rPr>
        <w:t>To pismo o nameri je sestavljeno v angleščini in v primeru razhajanj pri razlagi se za izvirnik šteje angleško besedilo.</w:t>
      </w:r>
      <w:r w:rsidRPr="00D91E7C">
        <w:rPr>
          <w:color w:val="auto"/>
          <w:lang w:val="sl-SI"/>
        </w:rPr>
        <w:t xml:space="preserve"> </w:t>
      </w:r>
    </w:p>
    <w:p w14:paraId="01436334" w14:textId="77777777" w:rsidR="00D14577" w:rsidRPr="00D91E7C" w:rsidRDefault="00D14577" w:rsidP="00D14577">
      <w:pPr>
        <w:pStyle w:val="Default"/>
        <w:spacing w:after="120" w:line="20" w:lineRule="atLeast"/>
        <w:jc w:val="both"/>
        <w:rPr>
          <w:color w:val="auto"/>
          <w:lang w:val="sl-SI"/>
        </w:rPr>
      </w:pPr>
    </w:p>
    <w:p w14:paraId="1141670F" w14:textId="2B44BB32" w:rsidR="00D14577" w:rsidRPr="00D91E7C" w:rsidRDefault="00D14577" w:rsidP="00D14577">
      <w:pPr>
        <w:pStyle w:val="Default"/>
        <w:spacing w:after="120" w:line="20" w:lineRule="atLeast"/>
        <w:jc w:val="both"/>
        <w:rPr>
          <w:color w:val="auto"/>
          <w:lang w:val="sl-SI"/>
        </w:rPr>
      </w:pPr>
      <w:r w:rsidRPr="00D91E7C">
        <w:rPr>
          <w:color w:val="auto"/>
          <w:lang w:val="sl-SI"/>
        </w:rPr>
        <w:t xml:space="preserve">Podpisano v _____________, ________________ </w:t>
      </w:r>
    </w:p>
    <w:p w14:paraId="151B6187" w14:textId="77777777" w:rsidR="00D14577" w:rsidRPr="00D91E7C" w:rsidRDefault="00D14577" w:rsidP="00D14577">
      <w:pPr>
        <w:pStyle w:val="Default"/>
        <w:spacing w:after="120" w:line="20" w:lineRule="atLeast"/>
        <w:jc w:val="both"/>
        <w:rPr>
          <w:color w:val="auto"/>
          <w:lang w:val="sl-SI"/>
        </w:rPr>
      </w:pPr>
    </w:p>
    <w:tbl>
      <w:tblPr>
        <w:tblW w:w="9923" w:type="dxa"/>
        <w:tblBorders>
          <w:top w:val="nil"/>
          <w:left w:val="nil"/>
          <w:bottom w:val="nil"/>
          <w:right w:val="nil"/>
        </w:tblBorders>
        <w:tblLayout w:type="fixed"/>
        <w:tblLook w:val="0000" w:firstRow="0" w:lastRow="0" w:firstColumn="0" w:lastColumn="0" w:noHBand="0" w:noVBand="0"/>
      </w:tblPr>
      <w:tblGrid>
        <w:gridCol w:w="3307"/>
        <w:gridCol w:w="3308"/>
        <w:gridCol w:w="3308"/>
      </w:tblGrid>
      <w:tr w:rsidR="005E7A89" w:rsidRPr="00D91E7C" w14:paraId="4882E765" w14:textId="77777777" w:rsidTr="00767F44">
        <w:trPr>
          <w:trHeight w:val="241"/>
        </w:trPr>
        <w:tc>
          <w:tcPr>
            <w:tcW w:w="3306" w:type="dxa"/>
          </w:tcPr>
          <w:p w14:paraId="56792410" w14:textId="77777777" w:rsidR="005E7A89" w:rsidRPr="00D91E7C" w:rsidRDefault="005E7A89" w:rsidP="00767F44">
            <w:pPr>
              <w:pStyle w:val="Default"/>
              <w:spacing w:after="120" w:line="20" w:lineRule="atLeast"/>
              <w:ind w:right="40"/>
              <w:rPr>
                <w:color w:val="auto"/>
                <w:lang w:val="sl-SI"/>
              </w:rPr>
            </w:pPr>
            <w:r w:rsidRPr="00D91E7C">
              <w:rPr>
                <w:color w:val="auto"/>
                <w:lang w:val="sl-SI"/>
              </w:rPr>
              <w:t>Generalni direktorji za ribištvo:</w:t>
            </w:r>
          </w:p>
          <w:p w14:paraId="00695BDC" w14:textId="77777777" w:rsidR="005E7A89" w:rsidRPr="00D91E7C" w:rsidRDefault="005E7A89" w:rsidP="00D14577">
            <w:pPr>
              <w:pStyle w:val="Default"/>
              <w:spacing w:after="120" w:line="20" w:lineRule="atLeast"/>
              <w:rPr>
                <w:color w:val="auto"/>
                <w:lang w:val="sl-SI"/>
              </w:rPr>
            </w:pPr>
          </w:p>
        </w:tc>
        <w:tc>
          <w:tcPr>
            <w:tcW w:w="3306" w:type="dxa"/>
          </w:tcPr>
          <w:p w14:paraId="64F5C137" w14:textId="77777777" w:rsidR="005E7A89" w:rsidRPr="00D91E7C" w:rsidRDefault="005E7A89" w:rsidP="00D14577">
            <w:pPr>
              <w:pStyle w:val="Default"/>
              <w:spacing w:after="120" w:line="20" w:lineRule="atLeast"/>
              <w:rPr>
                <w:color w:val="auto"/>
                <w:lang w:val="sl-SI"/>
              </w:rPr>
            </w:pPr>
          </w:p>
        </w:tc>
        <w:tc>
          <w:tcPr>
            <w:tcW w:w="3306" w:type="dxa"/>
          </w:tcPr>
          <w:p w14:paraId="430240F6" w14:textId="77777777" w:rsidR="005E7A89" w:rsidRPr="00D91E7C" w:rsidRDefault="005E7A89" w:rsidP="00D14577">
            <w:pPr>
              <w:pStyle w:val="Default"/>
              <w:spacing w:after="120" w:line="20" w:lineRule="atLeast"/>
              <w:rPr>
                <w:color w:val="auto"/>
                <w:lang w:val="sl-SI"/>
              </w:rPr>
            </w:pPr>
          </w:p>
        </w:tc>
      </w:tr>
      <w:tr w:rsidR="005E7A89" w:rsidRPr="00D91E7C" w14:paraId="708C4920" w14:textId="77777777" w:rsidTr="00767F44">
        <w:trPr>
          <w:trHeight w:val="241"/>
        </w:trPr>
        <w:tc>
          <w:tcPr>
            <w:tcW w:w="3306" w:type="dxa"/>
          </w:tcPr>
          <w:p w14:paraId="60F3F936" w14:textId="06CE24D7" w:rsidR="005E7A89" w:rsidRPr="00D91E7C" w:rsidRDefault="00497E6C" w:rsidP="00D14577">
            <w:pPr>
              <w:pStyle w:val="Default"/>
              <w:spacing w:after="120" w:line="20" w:lineRule="atLeast"/>
              <w:jc w:val="center"/>
              <w:rPr>
                <w:color w:val="auto"/>
                <w:lang w:val="sl-SI"/>
              </w:rPr>
            </w:pPr>
            <w:r w:rsidRPr="00D91E7C">
              <w:rPr>
                <w:color w:val="auto"/>
                <w:lang w:val="sl-SI"/>
              </w:rPr>
              <w:t>Hrvaška</w:t>
            </w:r>
          </w:p>
          <w:p w14:paraId="0AAC7F90" w14:textId="2D67FE02" w:rsidR="005E7A89" w:rsidRPr="00D91E7C" w:rsidRDefault="005E7A89" w:rsidP="00497E6C">
            <w:pPr>
              <w:pStyle w:val="Default"/>
              <w:spacing w:after="120" w:line="20" w:lineRule="atLeast"/>
              <w:jc w:val="center"/>
              <w:rPr>
                <w:i/>
                <w:color w:val="auto"/>
                <w:sz w:val="16"/>
                <w:lang w:val="sl-SI"/>
              </w:rPr>
            </w:pPr>
            <w:r w:rsidRPr="00D91E7C">
              <w:rPr>
                <w:i/>
                <w:iCs/>
                <w:color w:val="auto"/>
                <w:sz w:val="16"/>
                <w:lang w:val="sl-SI"/>
              </w:rPr>
              <w:t>(</w:t>
            </w:r>
            <w:r w:rsidRPr="00D91E7C">
              <w:rPr>
                <w:i/>
                <w:iCs/>
                <w:color w:val="1D1D1D"/>
                <w:sz w:val="16"/>
                <w:lang w:val="sl-SI"/>
              </w:rPr>
              <w:t xml:space="preserve">Ante </w:t>
            </w:r>
            <w:proofErr w:type="spellStart"/>
            <w:r w:rsidRPr="00D91E7C">
              <w:rPr>
                <w:i/>
                <w:iCs/>
                <w:color w:val="1D1D1D"/>
                <w:sz w:val="16"/>
                <w:lang w:val="sl-SI"/>
              </w:rPr>
              <w:t>Mišura</w:t>
            </w:r>
            <w:proofErr w:type="spellEnd"/>
            <w:r w:rsidRPr="00D91E7C">
              <w:rPr>
                <w:i/>
                <w:iCs/>
                <w:color w:val="auto"/>
                <w:sz w:val="16"/>
                <w:lang w:val="sl-SI"/>
              </w:rPr>
              <w:t>)</w:t>
            </w:r>
          </w:p>
        </w:tc>
        <w:tc>
          <w:tcPr>
            <w:tcW w:w="3306" w:type="dxa"/>
          </w:tcPr>
          <w:p w14:paraId="16A65CDB" w14:textId="09886B85" w:rsidR="005E7A89" w:rsidRPr="00D91E7C" w:rsidRDefault="00497E6C" w:rsidP="00D14577">
            <w:pPr>
              <w:pStyle w:val="Default"/>
              <w:spacing w:after="120" w:line="20" w:lineRule="atLeast"/>
              <w:jc w:val="center"/>
              <w:rPr>
                <w:color w:val="auto"/>
                <w:lang w:val="sl-SI"/>
              </w:rPr>
            </w:pPr>
            <w:r w:rsidRPr="00D91E7C">
              <w:rPr>
                <w:color w:val="auto"/>
                <w:lang w:val="sl-SI"/>
              </w:rPr>
              <w:t>Italija</w:t>
            </w:r>
          </w:p>
          <w:p w14:paraId="0744F11D" w14:textId="51918A28" w:rsidR="005E7A89" w:rsidRPr="00D91E7C" w:rsidRDefault="005E7A89" w:rsidP="00D14577">
            <w:pPr>
              <w:pStyle w:val="Default"/>
              <w:spacing w:after="120" w:line="20" w:lineRule="atLeast"/>
              <w:jc w:val="center"/>
              <w:rPr>
                <w:i/>
                <w:color w:val="auto"/>
                <w:sz w:val="16"/>
                <w:lang w:val="sl-SI"/>
              </w:rPr>
            </w:pPr>
            <w:r w:rsidRPr="00D91E7C">
              <w:rPr>
                <w:i/>
                <w:iCs/>
                <w:color w:val="1D1D1D"/>
                <w:sz w:val="16"/>
                <w:lang w:val="sl-SI"/>
              </w:rPr>
              <w:t>(</w:t>
            </w:r>
            <w:r w:rsidRPr="00D91E7C">
              <w:rPr>
                <w:i/>
                <w:iCs/>
                <w:color w:val="auto"/>
                <w:sz w:val="16"/>
                <w:lang w:val="sl-SI"/>
              </w:rPr>
              <w:t xml:space="preserve">Riccardo </w:t>
            </w:r>
            <w:proofErr w:type="spellStart"/>
            <w:r w:rsidRPr="00D91E7C">
              <w:rPr>
                <w:i/>
                <w:iCs/>
                <w:color w:val="auto"/>
                <w:sz w:val="16"/>
                <w:lang w:val="sl-SI"/>
              </w:rPr>
              <w:t>Rigillo</w:t>
            </w:r>
            <w:proofErr w:type="spellEnd"/>
            <w:r w:rsidRPr="00D91E7C">
              <w:rPr>
                <w:i/>
                <w:iCs/>
                <w:color w:val="1D1D1D"/>
                <w:sz w:val="16"/>
                <w:lang w:val="sl-SI"/>
              </w:rPr>
              <w:t>)</w:t>
            </w:r>
          </w:p>
        </w:tc>
        <w:tc>
          <w:tcPr>
            <w:tcW w:w="3306" w:type="dxa"/>
          </w:tcPr>
          <w:p w14:paraId="7AE297CF" w14:textId="77777777" w:rsidR="005E7A89" w:rsidRPr="00D91E7C" w:rsidRDefault="005E7A89" w:rsidP="00D14577">
            <w:pPr>
              <w:pStyle w:val="Default"/>
              <w:spacing w:after="120" w:line="20" w:lineRule="atLeast"/>
              <w:jc w:val="center"/>
              <w:rPr>
                <w:color w:val="auto"/>
                <w:lang w:val="sl-SI"/>
              </w:rPr>
            </w:pPr>
            <w:r w:rsidRPr="00D91E7C">
              <w:rPr>
                <w:color w:val="auto"/>
                <w:lang w:val="sl-SI"/>
              </w:rPr>
              <w:t>Slovenija</w:t>
            </w:r>
          </w:p>
          <w:p w14:paraId="61E6DBD4" w14:textId="77777777" w:rsidR="005E7A89" w:rsidRPr="00D91E7C" w:rsidRDefault="005E7A89" w:rsidP="00D14577">
            <w:pPr>
              <w:pStyle w:val="Default"/>
              <w:spacing w:after="120" w:line="20" w:lineRule="atLeast"/>
              <w:jc w:val="center"/>
              <w:rPr>
                <w:color w:val="auto"/>
                <w:lang w:val="sl-SI"/>
              </w:rPr>
            </w:pPr>
            <w:r w:rsidRPr="00D91E7C">
              <w:rPr>
                <w:i/>
                <w:iCs/>
                <w:color w:val="1D1D1D"/>
                <w:sz w:val="16"/>
                <w:lang w:val="sl-SI"/>
              </w:rPr>
              <w:t xml:space="preserve">(Ana Le </w:t>
            </w:r>
            <w:proofErr w:type="spellStart"/>
            <w:r w:rsidRPr="00D91E7C">
              <w:rPr>
                <w:i/>
                <w:iCs/>
                <w:color w:val="1D1D1D"/>
                <w:sz w:val="16"/>
                <w:lang w:val="sl-SI"/>
              </w:rPr>
              <w:t>Marechal</w:t>
            </w:r>
            <w:proofErr w:type="spellEnd"/>
            <w:r w:rsidRPr="00D91E7C">
              <w:rPr>
                <w:i/>
                <w:iCs/>
                <w:color w:val="1D1D1D"/>
                <w:sz w:val="16"/>
                <w:lang w:val="sl-SI"/>
              </w:rPr>
              <w:t>-Kolar)</w:t>
            </w:r>
          </w:p>
        </w:tc>
      </w:tr>
      <w:tr w:rsidR="005E7A89" w:rsidRPr="00D91E7C" w14:paraId="29C58B9A" w14:textId="77777777" w:rsidTr="00767F44">
        <w:trPr>
          <w:trHeight w:val="241"/>
        </w:trPr>
        <w:tc>
          <w:tcPr>
            <w:tcW w:w="3306" w:type="dxa"/>
          </w:tcPr>
          <w:p w14:paraId="50DE4D28" w14:textId="77777777" w:rsidR="005E7A89" w:rsidRPr="00D91E7C" w:rsidRDefault="005E7A89" w:rsidP="00D14577">
            <w:pPr>
              <w:pStyle w:val="Default"/>
              <w:spacing w:after="120" w:line="20" w:lineRule="atLeast"/>
              <w:jc w:val="center"/>
              <w:rPr>
                <w:color w:val="auto"/>
                <w:lang w:val="sl-SI"/>
              </w:rPr>
            </w:pPr>
          </w:p>
          <w:p w14:paraId="7B42CD2C" w14:textId="576E0D40" w:rsidR="005E7A89" w:rsidRPr="00D91E7C" w:rsidRDefault="005E7A89" w:rsidP="00D14577">
            <w:pPr>
              <w:pStyle w:val="Default"/>
              <w:spacing w:after="120" w:line="20" w:lineRule="atLeast"/>
              <w:jc w:val="center"/>
              <w:rPr>
                <w:color w:val="auto"/>
                <w:lang w:val="sl-SI"/>
              </w:rPr>
            </w:pPr>
            <w:r w:rsidRPr="00D91E7C">
              <w:rPr>
                <w:color w:val="auto"/>
                <w:lang w:val="sl-SI"/>
              </w:rPr>
              <w:t>_______________________</w:t>
            </w:r>
          </w:p>
        </w:tc>
        <w:tc>
          <w:tcPr>
            <w:tcW w:w="3306" w:type="dxa"/>
          </w:tcPr>
          <w:p w14:paraId="4CC6026D" w14:textId="568D544A" w:rsidR="005E7A89" w:rsidRPr="00D91E7C" w:rsidRDefault="005E7A89" w:rsidP="00D14577">
            <w:pPr>
              <w:pStyle w:val="Default"/>
              <w:spacing w:after="120" w:line="20" w:lineRule="atLeast"/>
              <w:jc w:val="center"/>
              <w:rPr>
                <w:color w:val="auto"/>
                <w:lang w:val="sl-SI"/>
              </w:rPr>
            </w:pPr>
          </w:p>
          <w:p w14:paraId="6357E9BC" w14:textId="33FF3F98" w:rsidR="005E7A89" w:rsidRPr="00D91E7C" w:rsidRDefault="005E7A89" w:rsidP="00D14577">
            <w:pPr>
              <w:pStyle w:val="Default"/>
              <w:spacing w:after="120" w:line="20" w:lineRule="atLeast"/>
              <w:jc w:val="center"/>
              <w:rPr>
                <w:color w:val="auto"/>
                <w:lang w:val="sl-SI"/>
              </w:rPr>
            </w:pPr>
            <w:r w:rsidRPr="00D91E7C">
              <w:rPr>
                <w:color w:val="auto"/>
                <w:lang w:val="sl-SI"/>
              </w:rPr>
              <w:t>_______________________</w:t>
            </w:r>
          </w:p>
        </w:tc>
        <w:tc>
          <w:tcPr>
            <w:tcW w:w="3306" w:type="dxa"/>
          </w:tcPr>
          <w:p w14:paraId="3EAEBED8" w14:textId="77777777" w:rsidR="005E7A89" w:rsidRPr="00D91E7C" w:rsidRDefault="005E7A89" w:rsidP="00D14577">
            <w:pPr>
              <w:pStyle w:val="Default"/>
              <w:spacing w:after="120" w:line="20" w:lineRule="atLeast"/>
              <w:jc w:val="center"/>
              <w:rPr>
                <w:color w:val="auto"/>
                <w:lang w:val="sl-SI"/>
              </w:rPr>
            </w:pPr>
          </w:p>
          <w:p w14:paraId="50DC2D60" w14:textId="77777777" w:rsidR="005E7A89" w:rsidRPr="00D91E7C" w:rsidRDefault="005E7A89" w:rsidP="00767F44">
            <w:pPr>
              <w:pStyle w:val="Default"/>
              <w:spacing w:after="120" w:line="20" w:lineRule="atLeast"/>
              <w:rPr>
                <w:color w:val="auto"/>
                <w:lang w:val="sl-SI"/>
              </w:rPr>
            </w:pPr>
            <w:r w:rsidRPr="00D91E7C">
              <w:rPr>
                <w:color w:val="auto"/>
                <w:lang w:val="sl-SI"/>
              </w:rPr>
              <w:t>_______________________</w:t>
            </w:r>
          </w:p>
        </w:tc>
      </w:tr>
    </w:tbl>
    <w:p w14:paraId="1A89509D" w14:textId="77777777" w:rsidR="00D14577" w:rsidRPr="00D91E7C" w:rsidRDefault="00D14577" w:rsidP="00D14577">
      <w:pPr>
        <w:spacing w:after="120" w:line="20" w:lineRule="atLeast"/>
        <w:jc w:val="both"/>
        <w:rPr>
          <w:rFonts w:ascii="Arial" w:hAnsi="Arial" w:cs="Arial"/>
          <w:lang w:val="sl-SI"/>
        </w:rPr>
      </w:pPr>
    </w:p>
    <w:sectPr w:rsidR="00D14577" w:rsidRPr="00D91E7C" w:rsidSect="00D14577">
      <w:headerReference w:type="even" r:id="rId6"/>
      <w:headerReference w:type="default" r:id="rId7"/>
      <w:footerReference w:type="even" r:id="rId8"/>
      <w:footerReference w:type="default" r:id="rId9"/>
      <w:headerReference w:type="first" r:id="rId10"/>
      <w:footerReference w:type="first" r:id="rId11"/>
      <w:pgSz w:w="11900" w:h="16840"/>
      <w:pgMar w:top="1134" w:right="985" w:bottom="1276" w:left="993" w:header="426" w:footer="39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E8F462" w14:textId="77777777" w:rsidR="00F16C94" w:rsidRDefault="00F16C94" w:rsidP="00D14577">
      <w:r>
        <w:separator/>
      </w:r>
    </w:p>
  </w:endnote>
  <w:endnote w:type="continuationSeparator" w:id="0">
    <w:p w14:paraId="54858271" w14:textId="77777777" w:rsidR="00F16C94" w:rsidRDefault="00F16C94" w:rsidP="00D145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E186ED" w14:textId="77777777" w:rsidR="00D14577" w:rsidRDefault="00D14577">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5C30CA" w14:textId="77777777" w:rsidR="00D14577" w:rsidRDefault="00D14577">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F889FB" w14:textId="77777777" w:rsidR="00D14577" w:rsidRDefault="00D14577">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25F2E0" w14:textId="77777777" w:rsidR="00F16C94" w:rsidRDefault="00F16C94" w:rsidP="00D14577">
      <w:r>
        <w:separator/>
      </w:r>
    </w:p>
  </w:footnote>
  <w:footnote w:type="continuationSeparator" w:id="0">
    <w:p w14:paraId="608AE22B" w14:textId="77777777" w:rsidR="00F16C94" w:rsidRDefault="00F16C94" w:rsidP="00D145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8C2337" w14:textId="77777777" w:rsidR="00D14577" w:rsidRDefault="00B65764">
    <w:pPr>
      <w:pStyle w:val="Glava"/>
    </w:pPr>
    <w:r>
      <w:rPr>
        <w:noProof/>
        <w:lang w:val="sl"/>
      </w:rPr>
      <w:pict w14:anchorId="1BE96BE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50951" o:spid="_x0000_s2051" type="#_x0000_t136" alt="" style="position:absolute;margin-left:0;margin-top:0;width:524.6pt;height:174.8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mbria&quot;;font-size:1pt" string="OSNUTE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4BC6F2" w14:textId="77777777" w:rsidR="00D14577" w:rsidRDefault="00B65764">
    <w:pPr>
      <w:pStyle w:val="Glava"/>
    </w:pPr>
    <w:r>
      <w:rPr>
        <w:noProof/>
        <w:lang w:val="sl"/>
      </w:rPr>
      <w:pict w14:anchorId="64DC837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50952" o:spid="_x0000_s2050" type="#_x0000_t136" alt="" style="position:absolute;margin-left:0;margin-top:0;width:524.6pt;height:174.85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Cambria&quot;;font-size:1pt" string="OSNUTEK"/>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3191A7" w14:textId="77777777" w:rsidR="00D14577" w:rsidRDefault="00B65764">
    <w:pPr>
      <w:pStyle w:val="Glava"/>
    </w:pPr>
    <w:r>
      <w:rPr>
        <w:noProof/>
        <w:lang w:val="sl"/>
      </w:rPr>
      <w:pict w14:anchorId="7AAC0ED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50950" o:spid="_x0000_s2049" type="#_x0000_t136" alt="" style="position:absolute;margin-left:0;margin-top:0;width:524.6pt;height:174.8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Cambria&quot;;font-size:1pt" string="OSNUTEK"/>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embedSystemFonts/>
  <w:proofState w:spelling="clean" w:grammar="clean"/>
  <w:defaultTabStop w:val="708"/>
  <w:hyphenationZone w:val="283"/>
  <w:drawingGridHorizontalSpacing w:val="360"/>
  <w:drawingGridVerticalSpacing w:val="360"/>
  <w:displayHorizontalDrawingGridEvery w:val="0"/>
  <w:displayVerticalDrawingGridEvery w:val="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IxMjC0MDEyNjU1MTZS0lEKTi0uzszPAykwqgUAC4R/7SwAAAA="/>
  </w:docVars>
  <w:rsids>
    <w:rsidRoot w:val="003F6B37"/>
    <w:rsid w:val="00006C3D"/>
    <w:rsid w:val="0002387A"/>
    <w:rsid w:val="00027C3D"/>
    <w:rsid w:val="00042746"/>
    <w:rsid w:val="00053971"/>
    <w:rsid w:val="00174F6D"/>
    <w:rsid w:val="001859BB"/>
    <w:rsid w:val="0020123A"/>
    <w:rsid w:val="00202F6A"/>
    <w:rsid w:val="002030CE"/>
    <w:rsid w:val="00245E69"/>
    <w:rsid w:val="00252C50"/>
    <w:rsid w:val="002770DC"/>
    <w:rsid w:val="002E6C4D"/>
    <w:rsid w:val="00304393"/>
    <w:rsid w:val="003213F1"/>
    <w:rsid w:val="00331FA6"/>
    <w:rsid w:val="0036567C"/>
    <w:rsid w:val="003D13B4"/>
    <w:rsid w:val="003F6B37"/>
    <w:rsid w:val="00414BE4"/>
    <w:rsid w:val="0045250E"/>
    <w:rsid w:val="00497E6C"/>
    <w:rsid w:val="004B622E"/>
    <w:rsid w:val="00595270"/>
    <w:rsid w:val="005A1331"/>
    <w:rsid w:val="005E7A89"/>
    <w:rsid w:val="00666C1C"/>
    <w:rsid w:val="0074447A"/>
    <w:rsid w:val="00767F44"/>
    <w:rsid w:val="00773719"/>
    <w:rsid w:val="007861D0"/>
    <w:rsid w:val="007E65D5"/>
    <w:rsid w:val="00816FF1"/>
    <w:rsid w:val="0087769D"/>
    <w:rsid w:val="008A22A6"/>
    <w:rsid w:val="00901E9A"/>
    <w:rsid w:val="009213FF"/>
    <w:rsid w:val="009415A9"/>
    <w:rsid w:val="009821D7"/>
    <w:rsid w:val="00AD73A7"/>
    <w:rsid w:val="00B519DC"/>
    <w:rsid w:val="00B53B23"/>
    <w:rsid w:val="00B65764"/>
    <w:rsid w:val="00C54026"/>
    <w:rsid w:val="00C61098"/>
    <w:rsid w:val="00C64204"/>
    <w:rsid w:val="00C815C8"/>
    <w:rsid w:val="00C957F3"/>
    <w:rsid w:val="00C96EED"/>
    <w:rsid w:val="00CD7A1A"/>
    <w:rsid w:val="00D14577"/>
    <w:rsid w:val="00D2258A"/>
    <w:rsid w:val="00D51C91"/>
    <w:rsid w:val="00D91E7C"/>
    <w:rsid w:val="00DD6FB9"/>
    <w:rsid w:val="00DF2AA8"/>
    <w:rsid w:val="00E20981"/>
    <w:rsid w:val="00E72ACB"/>
    <w:rsid w:val="00E87357"/>
    <w:rsid w:val="00EB6B8C"/>
    <w:rsid w:val="00ED0DCC"/>
    <w:rsid w:val="00EE5EFE"/>
    <w:rsid w:val="00F16C94"/>
  </w:rsids>
  <m:mathPr>
    <m:mathFont m:val="Cambria Math"/>
    <m:brkBin m:val="before"/>
    <m:brkBinSub m:val="--"/>
    <m:smallFrac m:val="0"/>
    <m:dispDef m:val="0"/>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F8A0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710D50"/>
    <w:rPr>
      <w:sz w:val="24"/>
      <w:szCs w:val="24"/>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Default">
    <w:name w:val="Default"/>
    <w:rsid w:val="003F6B37"/>
    <w:pPr>
      <w:widowControl w:val="0"/>
      <w:autoSpaceDE w:val="0"/>
      <w:autoSpaceDN w:val="0"/>
      <w:adjustRightInd w:val="0"/>
    </w:pPr>
    <w:rPr>
      <w:rFonts w:ascii="Arial" w:hAnsi="Arial" w:cs="Arial"/>
      <w:color w:val="000000"/>
      <w:sz w:val="24"/>
      <w:szCs w:val="24"/>
      <w:lang w:eastAsia="en-US"/>
    </w:rPr>
  </w:style>
  <w:style w:type="paragraph" w:styleId="Besedilooblaka">
    <w:name w:val="Balloon Text"/>
    <w:basedOn w:val="Navaden"/>
    <w:link w:val="BesedilooblakaZnak"/>
    <w:uiPriority w:val="99"/>
    <w:semiHidden/>
    <w:unhideWhenUsed/>
    <w:rsid w:val="00AF3A10"/>
    <w:rPr>
      <w:rFonts w:ascii="Tahoma" w:hAnsi="Tahoma"/>
      <w:sz w:val="16"/>
      <w:szCs w:val="16"/>
      <w:lang w:val="x-none" w:eastAsia="x-none"/>
    </w:rPr>
  </w:style>
  <w:style w:type="character" w:customStyle="1" w:styleId="BesedilooblakaZnak">
    <w:name w:val="Besedilo oblačka Znak"/>
    <w:link w:val="Besedilooblaka"/>
    <w:uiPriority w:val="99"/>
    <w:semiHidden/>
    <w:rsid w:val="00AF3A10"/>
    <w:rPr>
      <w:rFonts w:ascii="Tahoma" w:hAnsi="Tahoma" w:cs="Tahoma"/>
      <w:sz w:val="16"/>
      <w:szCs w:val="16"/>
    </w:rPr>
  </w:style>
  <w:style w:type="paragraph" w:styleId="Glava">
    <w:name w:val="header"/>
    <w:basedOn w:val="Navaden"/>
    <w:link w:val="GlavaZnak"/>
    <w:uiPriority w:val="99"/>
    <w:semiHidden/>
    <w:unhideWhenUsed/>
    <w:rsid w:val="00956115"/>
    <w:pPr>
      <w:tabs>
        <w:tab w:val="center" w:pos="4819"/>
        <w:tab w:val="right" w:pos="9638"/>
      </w:tabs>
    </w:pPr>
    <w:rPr>
      <w:lang w:val="x-none"/>
    </w:rPr>
  </w:style>
  <w:style w:type="character" w:customStyle="1" w:styleId="GlavaZnak">
    <w:name w:val="Glava Znak"/>
    <w:link w:val="Glava"/>
    <w:uiPriority w:val="99"/>
    <w:semiHidden/>
    <w:rsid w:val="00956115"/>
    <w:rPr>
      <w:sz w:val="24"/>
      <w:szCs w:val="24"/>
      <w:lang w:eastAsia="en-US"/>
    </w:rPr>
  </w:style>
  <w:style w:type="paragraph" w:styleId="Noga">
    <w:name w:val="footer"/>
    <w:basedOn w:val="Navaden"/>
    <w:link w:val="NogaZnak"/>
    <w:uiPriority w:val="99"/>
    <w:semiHidden/>
    <w:unhideWhenUsed/>
    <w:rsid w:val="00956115"/>
    <w:pPr>
      <w:tabs>
        <w:tab w:val="center" w:pos="4819"/>
        <w:tab w:val="right" w:pos="9638"/>
      </w:tabs>
    </w:pPr>
    <w:rPr>
      <w:lang w:val="x-none"/>
    </w:rPr>
  </w:style>
  <w:style w:type="character" w:customStyle="1" w:styleId="NogaZnak">
    <w:name w:val="Noga Znak"/>
    <w:link w:val="Noga"/>
    <w:uiPriority w:val="99"/>
    <w:semiHidden/>
    <w:rsid w:val="00956115"/>
    <w:rPr>
      <w:sz w:val="24"/>
      <w:szCs w:val="24"/>
      <w:lang w:eastAsia="en-US"/>
    </w:rPr>
  </w:style>
  <w:style w:type="character" w:styleId="Pripombasklic">
    <w:name w:val="annotation reference"/>
    <w:uiPriority w:val="99"/>
    <w:semiHidden/>
    <w:unhideWhenUsed/>
    <w:rsid w:val="00EC6909"/>
    <w:rPr>
      <w:sz w:val="16"/>
      <w:szCs w:val="16"/>
    </w:rPr>
  </w:style>
  <w:style w:type="paragraph" w:styleId="Pripombabesedilo">
    <w:name w:val="annotation text"/>
    <w:basedOn w:val="Navaden"/>
    <w:link w:val="PripombabesediloZnak"/>
    <w:uiPriority w:val="99"/>
    <w:semiHidden/>
    <w:unhideWhenUsed/>
    <w:rsid w:val="00EC6909"/>
    <w:rPr>
      <w:sz w:val="20"/>
      <w:szCs w:val="20"/>
    </w:rPr>
  </w:style>
  <w:style w:type="character" w:customStyle="1" w:styleId="PripombabesediloZnak">
    <w:name w:val="Pripomba – besedilo Znak"/>
    <w:link w:val="Pripombabesedilo"/>
    <w:uiPriority w:val="99"/>
    <w:semiHidden/>
    <w:rsid w:val="00EC6909"/>
    <w:rPr>
      <w:lang w:val="it-IT" w:eastAsia="en-US"/>
    </w:rPr>
  </w:style>
  <w:style w:type="paragraph" w:styleId="Zadevapripombe">
    <w:name w:val="annotation subject"/>
    <w:basedOn w:val="Pripombabesedilo"/>
    <w:next w:val="Pripombabesedilo"/>
    <w:link w:val="ZadevapripombeZnak"/>
    <w:uiPriority w:val="99"/>
    <w:semiHidden/>
    <w:unhideWhenUsed/>
    <w:rsid w:val="00EC6909"/>
    <w:rPr>
      <w:b/>
      <w:bCs/>
    </w:rPr>
  </w:style>
  <w:style w:type="character" w:customStyle="1" w:styleId="ZadevapripombeZnak">
    <w:name w:val="Zadeva pripombe Znak"/>
    <w:link w:val="Zadevapripombe"/>
    <w:uiPriority w:val="99"/>
    <w:semiHidden/>
    <w:rsid w:val="00EC6909"/>
    <w:rPr>
      <w:b/>
      <w:bCs/>
      <w:lang w:val="it-IT" w:eastAsia="en-US"/>
    </w:rPr>
  </w:style>
  <w:style w:type="paragraph" w:customStyle="1" w:styleId="Elencoscuro-Colore31">
    <w:name w:val="Elenco scuro - Colore 31"/>
    <w:hidden/>
    <w:uiPriority w:val="99"/>
    <w:semiHidden/>
    <w:rsid w:val="002D0F9F"/>
    <w:rPr>
      <w:sz w:val="24"/>
      <w:szCs w:val="24"/>
      <w:lang w:eastAsia="en-US"/>
    </w:rPr>
  </w:style>
  <w:style w:type="paragraph" w:styleId="Navadensplet">
    <w:name w:val="Normal (Web)"/>
    <w:basedOn w:val="Navaden"/>
    <w:uiPriority w:val="99"/>
    <w:semiHidden/>
    <w:unhideWhenUsed/>
    <w:rsid w:val="002770DC"/>
    <w:pPr>
      <w:spacing w:before="100" w:beforeAutospacing="1" w:after="100" w:afterAutospacing="1"/>
    </w:pPr>
    <w:rPr>
      <w:rFonts w:ascii="Times New Roman" w:eastAsiaTheme="minorEastAsia" w:hAnsi="Times New Roman"/>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1287</Words>
  <Characters>7339</Characters>
  <Application>Microsoft Office Word</Application>
  <DocSecurity>0</DocSecurity>
  <Lines>61</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2021-07-13T13:44:00Z</dcterms:created>
  <dcterms:modified xsi:type="dcterms:W3CDTF">2021-07-13T13:44:00Z</dcterms:modified>
</cp:coreProperties>
</file>