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EB026A" w:rsidRPr="00EB026A" w14:paraId="609C83EA" w14:textId="77777777" w:rsidTr="00E60900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2563784" w14:textId="77777777" w:rsidR="00EB026A" w:rsidRPr="00EB026A" w:rsidRDefault="00EB026A" w:rsidP="005A4378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textAlignment w:val="baseline"/>
              <w:rPr>
                <w:rFonts w:cs="Arial"/>
                <w:szCs w:val="20"/>
              </w:rPr>
            </w:pPr>
            <w:bookmarkStart w:id="0" w:name="_GoBack"/>
            <w:bookmarkEnd w:id="0"/>
            <w:r w:rsidRPr="00EB026A">
              <w:rPr>
                <w:rFonts w:cs="Arial"/>
                <w:szCs w:val="20"/>
              </w:rPr>
              <w:t xml:space="preserve">Številka: </w:t>
            </w:r>
            <w:r w:rsidR="00627F62">
              <w:rPr>
                <w:rFonts w:cs="Arial"/>
                <w:szCs w:val="20"/>
              </w:rPr>
              <w:t>007-8/2021-2</w:t>
            </w:r>
          </w:p>
        </w:tc>
      </w:tr>
      <w:tr w:rsidR="00EB026A" w:rsidRPr="00EB026A" w14:paraId="3FB13390" w14:textId="77777777" w:rsidTr="00E60900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F7D945A" w14:textId="77777777" w:rsidR="00EB026A" w:rsidRPr="00EB026A" w:rsidRDefault="00EB026A" w:rsidP="0010563F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textAlignment w:val="baseline"/>
              <w:rPr>
                <w:rFonts w:cs="Arial"/>
                <w:szCs w:val="20"/>
              </w:rPr>
            </w:pPr>
            <w:r w:rsidRPr="00EB026A">
              <w:rPr>
                <w:rFonts w:cs="Arial"/>
                <w:szCs w:val="20"/>
              </w:rPr>
              <w:t xml:space="preserve">Ljubljana, </w:t>
            </w:r>
            <w:r w:rsidR="0010563F">
              <w:rPr>
                <w:rFonts w:cs="Arial"/>
                <w:szCs w:val="20"/>
              </w:rPr>
              <w:t>9</w:t>
            </w:r>
            <w:r w:rsidR="004B55C0">
              <w:rPr>
                <w:rFonts w:cs="Arial"/>
                <w:szCs w:val="20"/>
              </w:rPr>
              <w:t>.</w:t>
            </w:r>
            <w:r w:rsidR="0010563F">
              <w:rPr>
                <w:rFonts w:cs="Arial"/>
                <w:szCs w:val="20"/>
              </w:rPr>
              <w:t>2</w:t>
            </w:r>
            <w:r w:rsidR="004B55C0">
              <w:rPr>
                <w:rFonts w:cs="Arial"/>
                <w:szCs w:val="20"/>
              </w:rPr>
              <w:t>.2021</w:t>
            </w:r>
          </w:p>
        </w:tc>
      </w:tr>
      <w:tr w:rsidR="00EB026A" w:rsidRPr="00EB026A" w14:paraId="71918ECA" w14:textId="77777777" w:rsidTr="00E60900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C13E053" w14:textId="77777777" w:rsidR="00EB026A" w:rsidRPr="00EB026A" w:rsidRDefault="009B7BDD" w:rsidP="005A4378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EVA: </w:t>
            </w:r>
            <w:r w:rsidR="004B55C0">
              <w:rPr>
                <w:rFonts w:cs="Arial"/>
                <w:iCs/>
                <w:szCs w:val="20"/>
              </w:rPr>
              <w:t>2021-2430-0005</w:t>
            </w:r>
          </w:p>
        </w:tc>
      </w:tr>
      <w:tr w:rsidR="00EB026A" w:rsidRPr="00EB026A" w14:paraId="4B459814" w14:textId="77777777" w:rsidTr="00E60900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81FD5E3" w14:textId="77777777" w:rsidR="00EB026A" w:rsidRPr="00EB026A" w:rsidRDefault="00EB026A" w:rsidP="00EB026A">
            <w:pPr>
              <w:spacing w:line="240" w:lineRule="exact"/>
              <w:contextualSpacing/>
              <w:rPr>
                <w:rFonts w:cs="Arial"/>
                <w:szCs w:val="20"/>
                <w:lang w:val="nn-NO"/>
              </w:rPr>
            </w:pPr>
          </w:p>
          <w:p w14:paraId="785D6511" w14:textId="77777777" w:rsidR="00EB026A" w:rsidRPr="0093321D" w:rsidRDefault="00EB026A" w:rsidP="00EB026A">
            <w:pPr>
              <w:spacing w:line="240" w:lineRule="exact"/>
              <w:contextualSpacing/>
              <w:rPr>
                <w:rFonts w:cs="Arial"/>
                <w:b/>
                <w:szCs w:val="20"/>
                <w:lang w:val="nn-NO"/>
              </w:rPr>
            </w:pPr>
            <w:r w:rsidRPr="0093321D">
              <w:rPr>
                <w:rFonts w:cs="Arial"/>
                <w:b/>
                <w:szCs w:val="20"/>
                <w:lang w:val="nn-NO"/>
              </w:rPr>
              <w:t>GENERALNI SEKRETARIAT VLADE REPUBLIKE SLOVENIJE</w:t>
            </w:r>
          </w:p>
          <w:p w14:paraId="31FB23E7" w14:textId="77777777" w:rsidR="00EB026A" w:rsidRPr="00EB026A" w:rsidRDefault="003F248B" w:rsidP="00EB026A">
            <w:pPr>
              <w:spacing w:line="240" w:lineRule="exact"/>
              <w:contextualSpacing/>
              <w:rPr>
                <w:rFonts w:cs="Arial"/>
                <w:szCs w:val="20"/>
                <w:lang w:val="nn-NO"/>
              </w:rPr>
            </w:pPr>
            <w:hyperlink r:id="rId8" w:history="1">
              <w:r w:rsidR="00EB026A" w:rsidRPr="00EB026A">
                <w:rPr>
                  <w:rFonts w:cs="Arial"/>
                  <w:szCs w:val="20"/>
                  <w:u w:val="single"/>
                  <w:lang w:val="nn-NO"/>
                </w:rPr>
                <w:t>Gp.gs@gov.si</w:t>
              </w:r>
            </w:hyperlink>
          </w:p>
          <w:p w14:paraId="0A9D2FF6" w14:textId="77777777" w:rsidR="00EB026A" w:rsidRPr="00EB026A" w:rsidRDefault="00EB026A" w:rsidP="00EB026A">
            <w:pPr>
              <w:spacing w:line="240" w:lineRule="exact"/>
              <w:contextualSpacing/>
              <w:rPr>
                <w:rFonts w:cs="Arial"/>
                <w:szCs w:val="20"/>
                <w:lang w:val="nn-NO"/>
              </w:rPr>
            </w:pPr>
          </w:p>
        </w:tc>
      </w:tr>
      <w:tr w:rsidR="00EB026A" w:rsidRPr="00EB026A" w14:paraId="2E71B8A3" w14:textId="77777777" w:rsidTr="00E60900">
        <w:tc>
          <w:tcPr>
            <w:tcW w:w="9163" w:type="dxa"/>
            <w:gridSpan w:val="4"/>
          </w:tcPr>
          <w:p w14:paraId="47E81B72" w14:textId="77777777" w:rsidR="00EB026A" w:rsidRPr="00EB026A" w:rsidRDefault="00EB026A" w:rsidP="00A15A1E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b/>
                <w:szCs w:val="20"/>
              </w:rPr>
            </w:pPr>
            <w:r w:rsidRPr="00EB026A">
              <w:rPr>
                <w:rFonts w:cs="Arial"/>
                <w:b/>
                <w:szCs w:val="20"/>
              </w:rPr>
              <w:t xml:space="preserve">ZADEVA:  </w:t>
            </w:r>
            <w:r w:rsidR="00D60266">
              <w:rPr>
                <w:rFonts w:cs="Arial"/>
                <w:b/>
                <w:szCs w:val="20"/>
              </w:rPr>
              <w:t xml:space="preserve">Uredba </w:t>
            </w:r>
            <w:r w:rsidR="00D06452">
              <w:rPr>
                <w:rFonts w:cs="Arial"/>
                <w:b/>
                <w:szCs w:val="20"/>
              </w:rPr>
              <w:t xml:space="preserve">o </w:t>
            </w:r>
            <w:r w:rsidR="00A15A1E">
              <w:rPr>
                <w:rFonts w:cs="Arial"/>
                <w:b/>
                <w:szCs w:val="20"/>
              </w:rPr>
              <w:t>dopolnitvi</w:t>
            </w:r>
            <w:r w:rsidR="004966D8">
              <w:rPr>
                <w:rFonts w:cs="Arial"/>
                <w:b/>
                <w:szCs w:val="20"/>
              </w:rPr>
              <w:t xml:space="preserve"> Uredbe o </w:t>
            </w:r>
            <w:r w:rsidR="00D06452">
              <w:rPr>
                <w:rFonts w:cs="Arial"/>
                <w:b/>
                <w:szCs w:val="20"/>
              </w:rPr>
              <w:t>obnovljivih virih energije v prometu</w:t>
            </w:r>
          </w:p>
        </w:tc>
      </w:tr>
      <w:tr w:rsidR="00EB026A" w:rsidRPr="00EB026A" w14:paraId="2F76E51C" w14:textId="77777777" w:rsidTr="00E60900">
        <w:tc>
          <w:tcPr>
            <w:tcW w:w="9163" w:type="dxa"/>
            <w:gridSpan w:val="4"/>
          </w:tcPr>
          <w:p w14:paraId="5BC4FEFC" w14:textId="77777777" w:rsidR="00EB026A" w:rsidRPr="00EB026A" w:rsidRDefault="00EB026A" w:rsidP="00EB026A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textAlignment w:val="baseline"/>
              <w:outlineLvl w:val="3"/>
              <w:rPr>
                <w:rFonts w:cs="Arial"/>
                <w:b/>
                <w:szCs w:val="20"/>
              </w:rPr>
            </w:pPr>
            <w:r w:rsidRPr="00EB026A">
              <w:rPr>
                <w:rFonts w:cs="Arial"/>
                <w:b/>
                <w:szCs w:val="20"/>
              </w:rPr>
              <w:t>1. Predlog sklepov vlade:</w:t>
            </w:r>
          </w:p>
        </w:tc>
      </w:tr>
      <w:tr w:rsidR="00EB026A" w:rsidRPr="00EB026A" w14:paraId="4815ADCF" w14:textId="77777777" w:rsidTr="00E60900">
        <w:tc>
          <w:tcPr>
            <w:tcW w:w="9163" w:type="dxa"/>
            <w:gridSpan w:val="4"/>
          </w:tcPr>
          <w:p w14:paraId="7F403BA9" w14:textId="77777777" w:rsidR="0010563F" w:rsidRDefault="00D60266" w:rsidP="00E30D0D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Na podlagi </w:t>
            </w:r>
            <w:r w:rsidR="00492B0A">
              <w:rPr>
                <w:rFonts w:eastAsia="Calibri" w:cs="Arial"/>
                <w:szCs w:val="20"/>
              </w:rPr>
              <w:t>druge</w:t>
            </w:r>
            <w:r w:rsidR="00391AAF">
              <w:rPr>
                <w:rFonts w:eastAsia="Calibri" w:cs="Arial"/>
                <w:szCs w:val="20"/>
              </w:rPr>
              <w:t>ga</w:t>
            </w:r>
            <w:r w:rsidR="00492B0A">
              <w:rPr>
                <w:rFonts w:eastAsia="Calibri" w:cs="Arial"/>
                <w:szCs w:val="20"/>
              </w:rPr>
              <w:t xml:space="preserve"> </w:t>
            </w:r>
            <w:r w:rsidR="00391AAF">
              <w:rPr>
                <w:rFonts w:eastAsia="Calibri" w:cs="Arial"/>
                <w:szCs w:val="20"/>
              </w:rPr>
              <w:t>odstavka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="00E82141">
              <w:rPr>
                <w:rFonts w:eastAsia="Calibri" w:cs="Arial"/>
                <w:szCs w:val="20"/>
              </w:rPr>
              <w:t>380</w:t>
            </w:r>
            <w:r>
              <w:rPr>
                <w:rFonts w:eastAsia="Calibri" w:cs="Arial"/>
                <w:szCs w:val="20"/>
              </w:rPr>
              <w:t xml:space="preserve">. člena Energetskega zakona </w:t>
            </w:r>
            <w:r w:rsidR="00E82141">
              <w:rPr>
                <w:rFonts w:eastAsia="Calibri" w:cs="Arial"/>
                <w:szCs w:val="20"/>
              </w:rPr>
              <w:t>(</w:t>
            </w:r>
            <w:r w:rsidR="00E82141" w:rsidRPr="00E82141">
              <w:rPr>
                <w:rFonts w:eastAsia="Calibri" w:cs="Arial"/>
                <w:szCs w:val="20"/>
              </w:rPr>
              <w:t>Uradni list RS, št. 60/19 – uradno prečiščeno besedilo, 65/20 in 158/20 – ZURE)</w:t>
            </w:r>
            <w:r>
              <w:rPr>
                <w:rFonts w:eastAsia="Calibri" w:cs="Arial"/>
                <w:szCs w:val="20"/>
              </w:rPr>
              <w:t xml:space="preserve"> </w:t>
            </w:r>
            <w:r w:rsidR="00D4748B">
              <w:rPr>
                <w:rFonts w:eastAsia="Calibri" w:cs="Arial"/>
                <w:szCs w:val="20"/>
              </w:rPr>
              <w:t xml:space="preserve"> </w:t>
            </w:r>
            <w:r w:rsidR="00EB026A" w:rsidRPr="00EB026A">
              <w:rPr>
                <w:rFonts w:cs="Arial"/>
                <w:iCs/>
                <w:szCs w:val="20"/>
              </w:rPr>
              <w:t xml:space="preserve">je Vlada Republike Slovenije na……… seji dne </w:t>
            </w:r>
            <w:r>
              <w:rPr>
                <w:rFonts w:cs="Arial"/>
                <w:iCs/>
                <w:szCs w:val="20"/>
              </w:rPr>
              <w:t xml:space="preserve"> pod točko</w:t>
            </w:r>
            <w:r w:rsidR="00EB026A" w:rsidRPr="00EB026A">
              <w:rPr>
                <w:rFonts w:cs="Arial"/>
                <w:iCs/>
                <w:szCs w:val="20"/>
              </w:rPr>
              <w:t>…………. sprejela naslednji</w:t>
            </w:r>
            <w:r>
              <w:rPr>
                <w:rFonts w:cs="Arial"/>
                <w:iCs/>
                <w:szCs w:val="20"/>
              </w:rPr>
              <w:t xml:space="preserve"> </w:t>
            </w:r>
          </w:p>
          <w:p w14:paraId="5E3DB017" w14:textId="77777777" w:rsidR="0010563F" w:rsidRDefault="0010563F" w:rsidP="00E30D0D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</w:p>
          <w:p w14:paraId="7F993932" w14:textId="77777777" w:rsidR="00EB026A" w:rsidRPr="00EB026A" w:rsidRDefault="0010563F" w:rsidP="00E30D0D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                                                                   SKLEP:</w:t>
            </w:r>
          </w:p>
          <w:p w14:paraId="34342103" w14:textId="77777777" w:rsidR="00EB026A" w:rsidRDefault="00EB026A" w:rsidP="00E30D0D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</w:p>
          <w:p w14:paraId="4EE32EA8" w14:textId="77777777" w:rsidR="00EB026A" w:rsidRPr="00EB026A" w:rsidRDefault="00EB026A" w:rsidP="00E30D0D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left="72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</w:p>
          <w:p w14:paraId="7C81B034" w14:textId="77777777" w:rsidR="00EB026A" w:rsidRPr="00EB026A" w:rsidRDefault="00EB026A" w:rsidP="00E30D0D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Vlada R</w:t>
            </w:r>
            <w:r w:rsidR="00FA709A">
              <w:rPr>
                <w:rFonts w:cs="Arial"/>
                <w:iCs/>
                <w:szCs w:val="20"/>
              </w:rPr>
              <w:t xml:space="preserve">epublike Slovenije je </w:t>
            </w:r>
            <w:r w:rsidR="00D60266">
              <w:rPr>
                <w:rFonts w:cs="Arial"/>
                <w:iCs/>
                <w:szCs w:val="20"/>
              </w:rPr>
              <w:t xml:space="preserve">izdala </w:t>
            </w:r>
            <w:r w:rsidR="004966D8">
              <w:rPr>
                <w:rFonts w:cs="Arial"/>
                <w:iCs/>
                <w:szCs w:val="20"/>
              </w:rPr>
              <w:t xml:space="preserve">Uredbo o </w:t>
            </w:r>
            <w:r w:rsidR="00A15A1E">
              <w:rPr>
                <w:rFonts w:cs="Arial"/>
                <w:iCs/>
                <w:szCs w:val="20"/>
              </w:rPr>
              <w:t>dopolnitvi</w:t>
            </w:r>
            <w:r w:rsidR="00D14212">
              <w:rPr>
                <w:rFonts w:cs="Arial"/>
                <w:iCs/>
                <w:szCs w:val="20"/>
              </w:rPr>
              <w:t xml:space="preserve"> </w:t>
            </w:r>
            <w:r w:rsidR="00D06452">
              <w:rPr>
                <w:rFonts w:cs="Arial"/>
                <w:iCs/>
                <w:szCs w:val="20"/>
              </w:rPr>
              <w:t>U</w:t>
            </w:r>
            <w:r w:rsidR="00D14212">
              <w:rPr>
                <w:rFonts w:cs="Arial"/>
                <w:iCs/>
                <w:szCs w:val="20"/>
              </w:rPr>
              <w:t>redbe o</w:t>
            </w:r>
            <w:r w:rsidR="00D06452">
              <w:rPr>
                <w:rFonts w:cs="Arial"/>
                <w:iCs/>
                <w:szCs w:val="20"/>
              </w:rPr>
              <w:t xml:space="preserve"> obnovljivih virih energije v prometu</w:t>
            </w:r>
            <w:r w:rsidR="0010563F">
              <w:rPr>
                <w:rFonts w:cs="Arial"/>
                <w:iCs/>
                <w:szCs w:val="20"/>
              </w:rPr>
              <w:t xml:space="preserve"> in jo objavi v Uradnem listu Republike Slovenije.</w:t>
            </w:r>
          </w:p>
          <w:p w14:paraId="1651BE8B" w14:textId="77777777" w:rsidR="00EB026A" w:rsidRPr="00EB026A" w:rsidRDefault="00EB026A" w:rsidP="00E30D0D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left="72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 xml:space="preserve">                                                                 </w:t>
            </w:r>
          </w:p>
          <w:p w14:paraId="59079384" w14:textId="77777777" w:rsidR="00EB026A" w:rsidRDefault="00EB026A" w:rsidP="00E30D0D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left="720"/>
              <w:contextualSpacing/>
              <w:jc w:val="center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 xml:space="preserve">                              </w:t>
            </w:r>
          </w:p>
          <w:p w14:paraId="12B31190" w14:textId="77777777" w:rsidR="00EB026A" w:rsidRPr="00EB026A" w:rsidRDefault="00EB026A" w:rsidP="00E30D0D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720"/>
              <w:contextualSpacing/>
              <w:jc w:val="center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                                                    </w:t>
            </w:r>
            <w:r w:rsidR="0093321D">
              <w:rPr>
                <w:rFonts w:cs="Arial"/>
                <w:iCs/>
                <w:szCs w:val="20"/>
              </w:rPr>
              <w:t xml:space="preserve">       </w:t>
            </w:r>
            <w:r>
              <w:rPr>
                <w:rFonts w:cs="Arial"/>
                <w:iCs/>
                <w:szCs w:val="20"/>
              </w:rPr>
              <w:t xml:space="preserve"> </w:t>
            </w:r>
            <w:r w:rsidR="00E82141">
              <w:rPr>
                <w:rFonts w:cs="Arial"/>
                <w:iCs/>
                <w:szCs w:val="20"/>
              </w:rPr>
              <w:t>dr. Božo Predalič</w:t>
            </w:r>
          </w:p>
          <w:p w14:paraId="7AB57649" w14:textId="77777777" w:rsidR="00EB026A" w:rsidRPr="00EB026A" w:rsidRDefault="00EB026A" w:rsidP="00E30D0D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72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ab/>
              <w:t xml:space="preserve">                                                     </w:t>
            </w:r>
            <w:r>
              <w:rPr>
                <w:rFonts w:cs="Arial"/>
                <w:iCs/>
                <w:szCs w:val="20"/>
              </w:rPr>
              <w:t xml:space="preserve">                     </w:t>
            </w:r>
            <w:r w:rsidR="0087499E">
              <w:rPr>
                <w:rFonts w:cs="Arial"/>
                <w:iCs/>
                <w:szCs w:val="20"/>
              </w:rPr>
              <w:t xml:space="preserve">   </w:t>
            </w:r>
            <w:r w:rsidR="0093321D">
              <w:rPr>
                <w:rFonts w:cs="Arial"/>
                <w:iCs/>
                <w:szCs w:val="20"/>
              </w:rPr>
              <w:t>Generalni sekretar</w:t>
            </w:r>
            <w:r w:rsidRPr="00EB026A">
              <w:rPr>
                <w:rFonts w:cs="Arial"/>
                <w:iCs/>
                <w:szCs w:val="20"/>
              </w:rPr>
              <w:t xml:space="preserve"> </w:t>
            </w:r>
          </w:p>
          <w:p w14:paraId="1E87B878" w14:textId="77777777" w:rsidR="00EB026A" w:rsidRDefault="00EB026A" w:rsidP="00E30D0D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left="72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</w:p>
          <w:p w14:paraId="57BCA770" w14:textId="77777777" w:rsidR="002B2E79" w:rsidRDefault="002B2E79" w:rsidP="00E30D0D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left="72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</w:p>
          <w:p w14:paraId="7B705757" w14:textId="77777777" w:rsidR="002B2E79" w:rsidRDefault="002B2E79" w:rsidP="00E30D0D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left="72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</w:p>
          <w:p w14:paraId="1FD394C7" w14:textId="77777777" w:rsidR="002B2E79" w:rsidRDefault="002B2E79" w:rsidP="00E30D0D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left="72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</w:p>
          <w:p w14:paraId="12FF46A0" w14:textId="77777777" w:rsidR="002B2E79" w:rsidRDefault="00A14C0D" w:rsidP="002B2E7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Priloga</w:t>
            </w:r>
            <w:r w:rsidR="002B2E79">
              <w:rPr>
                <w:rFonts w:cs="Arial"/>
                <w:iCs/>
                <w:szCs w:val="20"/>
              </w:rPr>
              <w:t>:</w:t>
            </w:r>
          </w:p>
          <w:p w14:paraId="664521AB" w14:textId="77777777" w:rsidR="002B2E79" w:rsidRDefault="001568A3" w:rsidP="00C057C1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before="60"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Uredba o </w:t>
            </w:r>
            <w:r w:rsidR="00A15A1E">
              <w:rPr>
                <w:rFonts w:cs="Arial"/>
                <w:iCs/>
                <w:szCs w:val="20"/>
              </w:rPr>
              <w:t>dopolnitvi</w:t>
            </w:r>
            <w:r>
              <w:rPr>
                <w:rFonts w:cs="Arial"/>
                <w:iCs/>
                <w:szCs w:val="20"/>
              </w:rPr>
              <w:t xml:space="preserve"> Uredbe</w:t>
            </w:r>
            <w:r w:rsidR="002B2E79">
              <w:rPr>
                <w:rFonts w:cs="Arial"/>
                <w:iCs/>
                <w:szCs w:val="20"/>
              </w:rPr>
              <w:t xml:space="preserve"> o </w:t>
            </w:r>
            <w:r w:rsidR="00E82141">
              <w:rPr>
                <w:rFonts w:cs="Arial"/>
                <w:iCs/>
                <w:szCs w:val="20"/>
              </w:rPr>
              <w:t>obnovljivih virih energije v prometu</w:t>
            </w:r>
          </w:p>
          <w:p w14:paraId="05298A25" w14:textId="77777777" w:rsidR="00E82141" w:rsidRDefault="00E82141" w:rsidP="00E82141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</w:p>
          <w:p w14:paraId="25A56BEF" w14:textId="77777777" w:rsidR="00EB026A" w:rsidRPr="00EB026A" w:rsidRDefault="00E30D0D" w:rsidP="00E30D0D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Prejmejo:</w:t>
            </w:r>
          </w:p>
          <w:p w14:paraId="562A7608" w14:textId="77777777" w:rsidR="00EB026A" w:rsidRDefault="002B2E79" w:rsidP="00105CA8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Ministrstvo za infrastrukturo;</w:t>
            </w:r>
          </w:p>
          <w:p w14:paraId="35FEF250" w14:textId="77777777" w:rsidR="004B0DB9" w:rsidRDefault="002B2E79" w:rsidP="002B2E7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Ministrstvo za finance;</w:t>
            </w:r>
          </w:p>
          <w:p w14:paraId="10A2C600" w14:textId="77777777" w:rsidR="002B2E79" w:rsidRPr="002B2E79" w:rsidRDefault="002B2E79" w:rsidP="002B2E7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Ministrstvo za </w:t>
            </w:r>
            <w:r w:rsidR="00C057C1">
              <w:rPr>
                <w:rFonts w:cs="Arial"/>
                <w:iCs/>
                <w:szCs w:val="20"/>
              </w:rPr>
              <w:t>okolje in prostor</w:t>
            </w:r>
            <w:r>
              <w:rPr>
                <w:rFonts w:cs="Arial"/>
                <w:iCs/>
                <w:szCs w:val="20"/>
              </w:rPr>
              <w:t>;</w:t>
            </w:r>
          </w:p>
          <w:p w14:paraId="4F92A6CC" w14:textId="77777777" w:rsidR="00EB026A" w:rsidRPr="00EB026A" w:rsidRDefault="002B2E79" w:rsidP="00105CA8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szCs w:val="20"/>
              </w:rPr>
              <w:t>Služba Vlade Republike Slovenije za zakonodajo.</w:t>
            </w:r>
          </w:p>
        </w:tc>
      </w:tr>
      <w:tr w:rsidR="00EB026A" w:rsidRPr="00EB026A" w14:paraId="2BE9F162" w14:textId="77777777" w:rsidTr="00E60900">
        <w:tc>
          <w:tcPr>
            <w:tcW w:w="9163" w:type="dxa"/>
            <w:gridSpan w:val="4"/>
          </w:tcPr>
          <w:p w14:paraId="02B9C5E7" w14:textId="77777777" w:rsidR="00EB026A" w:rsidRPr="00EB026A" w:rsidRDefault="00EB026A" w:rsidP="00E30D0D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b/>
                <w:iCs/>
                <w:szCs w:val="20"/>
              </w:rPr>
            </w:pPr>
            <w:r w:rsidRPr="00EB026A">
              <w:rPr>
                <w:rFonts w:cs="Arial"/>
                <w:b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EB026A" w:rsidRPr="00EB026A" w14:paraId="05F9B050" w14:textId="77777777" w:rsidTr="00E60900">
        <w:tc>
          <w:tcPr>
            <w:tcW w:w="9163" w:type="dxa"/>
            <w:gridSpan w:val="4"/>
          </w:tcPr>
          <w:p w14:paraId="48DDF480" w14:textId="77777777" w:rsidR="00EB026A" w:rsidRPr="00EB026A" w:rsidRDefault="00EB026A" w:rsidP="00E30D0D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/</w:t>
            </w:r>
          </w:p>
        </w:tc>
      </w:tr>
      <w:tr w:rsidR="00EB026A" w:rsidRPr="00EB026A" w14:paraId="77960462" w14:textId="77777777" w:rsidTr="00E60900">
        <w:tc>
          <w:tcPr>
            <w:tcW w:w="9163" w:type="dxa"/>
            <w:gridSpan w:val="4"/>
          </w:tcPr>
          <w:p w14:paraId="56EDB06C" w14:textId="77777777" w:rsidR="00EB026A" w:rsidRPr="00EB026A" w:rsidRDefault="00EB026A" w:rsidP="00E30D0D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b/>
                <w:iCs/>
                <w:szCs w:val="20"/>
              </w:rPr>
            </w:pPr>
            <w:r w:rsidRPr="00EB026A">
              <w:rPr>
                <w:rFonts w:cs="Arial"/>
                <w:b/>
                <w:szCs w:val="20"/>
              </w:rPr>
              <w:t>3.a Osebe, odgovorne za strokovno pripravo in usklajenost gradiva:</w:t>
            </w:r>
          </w:p>
        </w:tc>
      </w:tr>
      <w:tr w:rsidR="00EB026A" w:rsidRPr="00EB026A" w14:paraId="0BA546C0" w14:textId="77777777" w:rsidTr="00E60900">
        <w:tc>
          <w:tcPr>
            <w:tcW w:w="9163" w:type="dxa"/>
            <w:gridSpan w:val="4"/>
          </w:tcPr>
          <w:p w14:paraId="51332C0C" w14:textId="77777777" w:rsidR="00EB026A" w:rsidRPr="00EB026A" w:rsidRDefault="00EB026A" w:rsidP="00BA1C96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 xml:space="preserve">mag. </w:t>
            </w:r>
            <w:r w:rsidR="00C057C1">
              <w:rPr>
                <w:rFonts w:cs="Arial"/>
                <w:iCs/>
                <w:szCs w:val="20"/>
              </w:rPr>
              <w:t xml:space="preserve">Blaž </w:t>
            </w:r>
            <w:proofErr w:type="spellStart"/>
            <w:r w:rsidR="00C057C1">
              <w:rPr>
                <w:rFonts w:cs="Arial"/>
                <w:iCs/>
                <w:szCs w:val="20"/>
              </w:rPr>
              <w:t>Košorok</w:t>
            </w:r>
            <w:proofErr w:type="spellEnd"/>
            <w:r w:rsidRPr="00EB026A">
              <w:rPr>
                <w:rFonts w:cs="Arial"/>
                <w:iCs/>
                <w:szCs w:val="20"/>
              </w:rPr>
              <w:t xml:space="preserve">, državni sekretar, </w:t>
            </w:r>
          </w:p>
          <w:p w14:paraId="332D995C" w14:textId="77777777" w:rsidR="00C064EC" w:rsidRDefault="00EB026A" w:rsidP="00BA1C96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 xml:space="preserve">mag. Hinko </w:t>
            </w:r>
            <w:proofErr w:type="spellStart"/>
            <w:r w:rsidRPr="00EB026A">
              <w:rPr>
                <w:rFonts w:cs="Arial"/>
                <w:iCs/>
                <w:szCs w:val="20"/>
              </w:rPr>
              <w:t>Šolinc</w:t>
            </w:r>
            <w:proofErr w:type="spellEnd"/>
            <w:r w:rsidRPr="00EB026A">
              <w:rPr>
                <w:rFonts w:cs="Arial"/>
                <w:iCs/>
                <w:szCs w:val="20"/>
              </w:rPr>
              <w:t>, generaln</w:t>
            </w:r>
            <w:r w:rsidR="00376DCB">
              <w:rPr>
                <w:rFonts w:cs="Arial"/>
                <w:iCs/>
                <w:szCs w:val="20"/>
              </w:rPr>
              <w:t>i</w:t>
            </w:r>
            <w:r w:rsidRPr="00EB026A">
              <w:rPr>
                <w:rFonts w:cs="Arial"/>
                <w:iCs/>
                <w:szCs w:val="20"/>
              </w:rPr>
              <w:t xml:space="preserve"> direktor Direktorata za energijo</w:t>
            </w:r>
            <w:r w:rsidR="00BA1C96">
              <w:rPr>
                <w:rFonts w:cs="Arial"/>
                <w:iCs/>
                <w:szCs w:val="20"/>
              </w:rPr>
              <w:t>,</w:t>
            </w:r>
          </w:p>
          <w:p w14:paraId="77611F75" w14:textId="77777777" w:rsidR="00EB026A" w:rsidRDefault="00C064EC" w:rsidP="00BA1C96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mag.</w:t>
            </w:r>
            <w:r w:rsidR="00EE7F56">
              <w:rPr>
                <w:rFonts w:cs="Arial"/>
                <w:iCs/>
                <w:szCs w:val="20"/>
              </w:rPr>
              <w:t xml:space="preserve"> Erik Potočar, sekretar</w:t>
            </w:r>
            <w:r w:rsidR="00EB026A" w:rsidRPr="00EB026A">
              <w:rPr>
                <w:rFonts w:cs="Arial"/>
                <w:iCs/>
                <w:szCs w:val="20"/>
              </w:rPr>
              <w:t xml:space="preserve"> </w:t>
            </w:r>
          </w:p>
          <w:p w14:paraId="6400BED1" w14:textId="77777777" w:rsidR="00EB026A" w:rsidRPr="00EE7F56" w:rsidRDefault="00EB026A" w:rsidP="00EE7F56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mag.</w:t>
            </w:r>
            <w:r w:rsidR="00C064EC">
              <w:rPr>
                <w:rFonts w:cs="Arial"/>
                <w:iCs/>
                <w:szCs w:val="20"/>
              </w:rPr>
              <w:t xml:space="preserve"> Martina Gračner, podsekretarka</w:t>
            </w:r>
            <w:r w:rsidRPr="00EE7F56">
              <w:rPr>
                <w:rFonts w:cs="Arial"/>
                <w:iCs/>
                <w:szCs w:val="20"/>
              </w:rPr>
              <w:t xml:space="preserve"> </w:t>
            </w:r>
          </w:p>
        </w:tc>
      </w:tr>
      <w:tr w:rsidR="00EB026A" w:rsidRPr="00EB026A" w14:paraId="02862527" w14:textId="77777777" w:rsidTr="00E60900">
        <w:tc>
          <w:tcPr>
            <w:tcW w:w="9163" w:type="dxa"/>
            <w:gridSpan w:val="4"/>
          </w:tcPr>
          <w:p w14:paraId="5E97D9AA" w14:textId="77777777" w:rsidR="00EB026A" w:rsidRPr="00EB026A" w:rsidRDefault="00EB026A" w:rsidP="00E30D0D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b/>
                <w:iCs/>
                <w:szCs w:val="20"/>
              </w:rPr>
            </w:pPr>
            <w:r w:rsidRPr="00EB026A">
              <w:rPr>
                <w:rFonts w:cs="Arial"/>
                <w:b/>
                <w:iCs/>
                <w:szCs w:val="20"/>
              </w:rPr>
              <w:t xml:space="preserve">3.b Zunanji strokovnjaki, ki so </w:t>
            </w:r>
            <w:r w:rsidRPr="00EB026A">
              <w:rPr>
                <w:rFonts w:cs="Arial"/>
                <w:b/>
                <w:szCs w:val="20"/>
              </w:rPr>
              <w:t>sodelovali pri pripravi dela ali celotnega gradiva:</w:t>
            </w:r>
          </w:p>
        </w:tc>
      </w:tr>
      <w:tr w:rsidR="00EB026A" w:rsidRPr="00EB026A" w14:paraId="53A35B09" w14:textId="77777777" w:rsidTr="00E60900">
        <w:tc>
          <w:tcPr>
            <w:tcW w:w="9163" w:type="dxa"/>
            <w:gridSpan w:val="4"/>
          </w:tcPr>
          <w:p w14:paraId="6F4C0D33" w14:textId="77777777" w:rsidR="00EB026A" w:rsidRPr="00EB026A" w:rsidRDefault="00EB026A" w:rsidP="00E30D0D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/</w:t>
            </w:r>
          </w:p>
        </w:tc>
      </w:tr>
      <w:tr w:rsidR="00EB026A" w:rsidRPr="00EB026A" w14:paraId="345CC7EF" w14:textId="77777777" w:rsidTr="00E60900">
        <w:tc>
          <w:tcPr>
            <w:tcW w:w="9163" w:type="dxa"/>
            <w:gridSpan w:val="4"/>
          </w:tcPr>
          <w:p w14:paraId="3CE83C44" w14:textId="77777777" w:rsidR="00EB026A" w:rsidRPr="00EB026A" w:rsidRDefault="00EB026A" w:rsidP="00E30D0D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b/>
                <w:iCs/>
                <w:szCs w:val="20"/>
              </w:rPr>
            </w:pPr>
            <w:r w:rsidRPr="00EB026A">
              <w:rPr>
                <w:rFonts w:cs="Arial"/>
                <w:b/>
                <w:szCs w:val="20"/>
              </w:rPr>
              <w:t>4. Predstavniki vlade, ki bodo sodelovali pri delu državnega zbora:</w:t>
            </w:r>
          </w:p>
        </w:tc>
      </w:tr>
      <w:tr w:rsidR="00EB026A" w:rsidRPr="00EB026A" w14:paraId="462FF655" w14:textId="77777777" w:rsidTr="00E60900">
        <w:tc>
          <w:tcPr>
            <w:tcW w:w="9163" w:type="dxa"/>
            <w:gridSpan w:val="4"/>
          </w:tcPr>
          <w:p w14:paraId="666EDD62" w14:textId="77777777" w:rsidR="00EB026A" w:rsidRPr="00EB026A" w:rsidRDefault="00EB026A" w:rsidP="00E30D0D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b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/</w:t>
            </w:r>
          </w:p>
        </w:tc>
      </w:tr>
      <w:tr w:rsidR="00EB026A" w:rsidRPr="00EB026A" w14:paraId="4CCD5639" w14:textId="77777777" w:rsidTr="00E60900">
        <w:tc>
          <w:tcPr>
            <w:tcW w:w="9163" w:type="dxa"/>
            <w:gridSpan w:val="4"/>
          </w:tcPr>
          <w:p w14:paraId="3909ECC7" w14:textId="77777777" w:rsidR="00EB026A" w:rsidRPr="00EB026A" w:rsidRDefault="00EB026A" w:rsidP="00E30D0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textAlignment w:val="baseline"/>
              <w:outlineLvl w:val="3"/>
              <w:rPr>
                <w:rFonts w:cs="Arial"/>
                <w:b/>
                <w:szCs w:val="20"/>
              </w:rPr>
            </w:pPr>
            <w:r w:rsidRPr="00EB026A">
              <w:rPr>
                <w:rFonts w:cs="Arial"/>
                <w:b/>
                <w:szCs w:val="20"/>
              </w:rPr>
              <w:t>5. Kratek povzetek gradiva:</w:t>
            </w:r>
          </w:p>
        </w:tc>
      </w:tr>
      <w:tr w:rsidR="00EB026A" w:rsidRPr="00EB026A" w14:paraId="72E66708" w14:textId="77777777" w:rsidTr="00E60900">
        <w:tc>
          <w:tcPr>
            <w:tcW w:w="9163" w:type="dxa"/>
            <w:gridSpan w:val="4"/>
          </w:tcPr>
          <w:p w14:paraId="7C71B0EE" w14:textId="77777777" w:rsidR="00EB026A" w:rsidRDefault="00EB026A" w:rsidP="00EE7F56">
            <w:pPr>
              <w:spacing w:line="240" w:lineRule="exact"/>
              <w:contextualSpacing/>
              <w:jc w:val="both"/>
              <w:rPr>
                <w:rFonts w:eastAsia="Calibri" w:cs="Arial"/>
                <w:szCs w:val="20"/>
              </w:rPr>
            </w:pPr>
          </w:p>
          <w:p w14:paraId="309D8DB4" w14:textId="77777777" w:rsidR="00B2407D" w:rsidRDefault="00B2407D" w:rsidP="00EE7F56">
            <w:pPr>
              <w:spacing w:line="240" w:lineRule="exact"/>
              <w:contextualSpacing/>
              <w:jc w:val="both"/>
              <w:rPr>
                <w:highlight w:val="yellow"/>
              </w:rPr>
            </w:pPr>
            <w:r w:rsidRPr="009B703A">
              <w:lastRenderedPageBreak/>
              <w:t>Energetski zakon (</w:t>
            </w:r>
            <w:r w:rsidRPr="009B703A">
              <w:rPr>
                <w:rFonts w:eastAsia="Calibri" w:cs="Arial"/>
                <w:szCs w:val="20"/>
              </w:rPr>
              <w:t>Uradni</w:t>
            </w:r>
            <w:r w:rsidRPr="00E82141">
              <w:rPr>
                <w:rFonts w:eastAsia="Calibri" w:cs="Arial"/>
                <w:szCs w:val="20"/>
              </w:rPr>
              <w:t xml:space="preserve"> list RS, št. 60/19 – uradno prečiščeno besedilo, 65/20 in 158/20 – ZURE)</w:t>
            </w:r>
            <w:r>
              <w:rPr>
                <w:rFonts w:eastAsia="Calibri" w:cs="Arial"/>
                <w:szCs w:val="20"/>
              </w:rPr>
              <w:t xml:space="preserve"> v 380. členu določa, da morajo distributerji plinastih in tekočih goriv za promet dati v posameznem letu na trg </w:t>
            </w:r>
            <w:proofErr w:type="spellStart"/>
            <w:r>
              <w:rPr>
                <w:rFonts w:eastAsia="Calibri" w:cs="Arial"/>
                <w:szCs w:val="20"/>
              </w:rPr>
              <w:t>biogoriva</w:t>
            </w:r>
            <w:proofErr w:type="spellEnd"/>
            <w:r>
              <w:rPr>
                <w:rFonts w:eastAsia="Calibri" w:cs="Arial"/>
                <w:szCs w:val="20"/>
              </w:rPr>
              <w:t xml:space="preserve"> ali druge obnovljive vire energije za promet v predpisanem deležu, pri čemer Vlada z uredbo določi mehanizme in obveznosti za izpolnjevanje te zahteve. </w:t>
            </w:r>
          </w:p>
          <w:p w14:paraId="2751F3F4" w14:textId="77777777" w:rsidR="00B2407D" w:rsidRDefault="00B2407D" w:rsidP="00EE7F56">
            <w:pPr>
              <w:spacing w:line="240" w:lineRule="exact"/>
              <w:contextualSpacing/>
              <w:jc w:val="both"/>
              <w:rPr>
                <w:highlight w:val="yellow"/>
              </w:rPr>
            </w:pPr>
          </w:p>
          <w:p w14:paraId="0E08AF03" w14:textId="77777777" w:rsidR="0072051B" w:rsidRPr="00C744E6" w:rsidRDefault="00B2407D" w:rsidP="00EE7F56">
            <w:pPr>
              <w:spacing w:line="240" w:lineRule="exact"/>
              <w:contextualSpacing/>
              <w:jc w:val="both"/>
              <w:rPr>
                <w:rFonts w:eastAsia="Calibri" w:cs="Arial"/>
                <w:szCs w:val="20"/>
              </w:rPr>
            </w:pPr>
            <w:r>
              <w:t xml:space="preserve">Obveznost dajanja na trg </w:t>
            </w:r>
            <w:proofErr w:type="spellStart"/>
            <w:r>
              <w:t>biogoriv</w:t>
            </w:r>
            <w:proofErr w:type="spellEnd"/>
            <w:r>
              <w:t xml:space="preserve"> ali druge obnovljive vire energije za promet v predpisanem deležu </w:t>
            </w:r>
            <w:r w:rsidRPr="00C744E6">
              <w:rPr>
                <w:rFonts w:eastAsia="Calibri" w:cs="Arial"/>
                <w:szCs w:val="20"/>
              </w:rPr>
              <w:t>ureja</w:t>
            </w:r>
            <w:r w:rsidR="0072051B" w:rsidRPr="00C744E6">
              <w:rPr>
                <w:rFonts w:eastAsia="Calibri" w:cs="Arial"/>
                <w:szCs w:val="20"/>
              </w:rPr>
              <w:t xml:space="preserve"> veljavna</w:t>
            </w:r>
            <w:r w:rsidRPr="00C744E6">
              <w:rPr>
                <w:rFonts w:eastAsia="Calibri" w:cs="Arial"/>
                <w:szCs w:val="20"/>
              </w:rPr>
              <w:t xml:space="preserve"> Uredba o obnovljivih virih energije v prometu (Uradni list RS, št. </w:t>
            </w:r>
            <w:hyperlink r:id="rId9" w:tgtFrame="_blank" w:tooltip="Uredba o obnovljivih virih energije v prometu" w:history="1">
              <w:r w:rsidRPr="00C744E6">
                <w:rPr>
                  <w:rFonts w:eastAsia="Calibri"/>
                  <w:szCs w:val="20"/>
                </w:rPr>
                <w:t>64/16</w:t>
              </w:r>
            </w:hyperlink>
            <w:r w:rsidRPr="00C744E6">
              <w:rPr>
                <w:rFonts w:eastAsia="Calibri" w:cs="Arial"/>
                <w:szCs w:val="20"/>
              </w:rPr>
              <w:t>)</w:t>
            </w:r>
            <w:r w:rsidR="0072051B" w:rsidRPr="00C744E6">
              <w:rPr>
                <w:rFonts w:eastAsia="Calibri" w:cs="Arial"/>
                <w:szCs w:val="20"/>
              </w:rPr>
              <w:t xml:space="preserve">, ki v 4. členu določa, da morajo </w:t>
            </w:r>
            <w:r w:rsidR="00C744E6" w:rsidRPr="00C744E6">
              <w:rPr>
                <w:rFonts w:eastAsia="Calibri" w:cs="Arial"/>
                <w:szCs w:val="20"/>
              </w:rPr>
              <w:t>distributerji</w:t>
            </w:r>
            <w:r w:rsidR="0072051B" w:rsidRPr="00C744E6">
              <w:rPr>
                <w:rFonts w:eastAsia="Calibri" w:cs="Arial"/>
                <w:szCs w:val="20"/>
              </w:rPr>
              <w:t xml:space="preserve"> goriv dosegati predpisan energijski delež obnovljivih virov energije v </w:t>
            </w:r>
            <w:proofErr w:type="spellStart"/>
            <w:r w:rsidR="00C744E6" w:rsidRPr="00C744E6">
              <w:rPr>
                <w:rFonts w:eastAsia="Calibri" w:cs="Arial"/>
                <w:szCs w:val="20"/>
              </w:rPr>
              <w:t>v</w:t>
            </w:r>
            <w:proofErr w:type="spellEnd"/>
            <w:r w:rsidR="00C744E6" w:rsidRPr="00C744E6">
              <w:rPr>
                <w:rFonts w:eastAsia="Calibri" w:cs="Arial"/>
                <w:szCs w:val="20"/>
              </w:rPr>
              <w:t xml:space="preserve"> prometu v </w:t>
            </w:r>
            <w:r w:rsidR="0072051B" w:rsidRPr="00C744E6">
              <w:rPr>
                <w:rFonts w:eastAsia="Calibri" w:cs="Arial"/>
                <w:szCs w:val="20"/>
              </w:rPr>
              <w:t xml:space="preserve">posamičnih letih 2017, 2018, 2019 ter 2020.  </w:t>
            </w:r>
          </w:p>
          <w:p w14:paraId="7E2EB19F" w14:textId="77777777" w:rsidR="0072051B" w:rsidRPr="00C744E6" w:rsidRDefault="0072051B" w:rsidP="00EE7F56">
            <w:pPr>
              <w:spacing w:line="240" w:lineRule="exact"/>
              <w:contextualSpacing/>
              <w:jc w:val="both"/>
              <w:rPr>
                <w:rFonts w:eastAsia="Calibri" w:cs="Arial"/>
                <w:szCs w:val="20"/>
              </w:rPr>
            </w:pPr>
          </w:p>
          <w:p w14:paraId="60610F0E" w14:textId="77777777" w:rsidR="005067D3" w:rsidRDefault="00C744E6" w:rsidP="00C744E6">
            <w:pPr>
              <w:spacing w:line="240" w:lineRule="exact"/>
              <w:contextualSpacing/>
              <w:jc w:val="both"/>
            </w:pPr>
            <w:r w:rsidRPr="00C744E6">
              <w:rPr>
                <w:rFonts w:eastAsia="Calibri" w:cs="Arial"/>
                <w:szCs w:val="20"/>
              </w:rPr>
              <w:t xml:space="preserve">Direktiva (EU) 2018/2001 Evropskega parlamenta in Sveta z dne 11. decembra 2018 o spodbujanju uporabe energije iz obnovljivih virov </w:t>
            </w:r>
            <w:r w:rsidR="00CB138D">
              <w:rPr>
                <w:rFonts w:eastAsia="Calibri" w:cs="Arial"/>
                <w:szCs w:val="20"/>
              </w:rPr>
              <w:t xml:space="preserve"> v 25. členu </w:t>
            </w:r>
            <w:r w:rsidR="00466551">
              <w:rPr>
                <w:rFonts w:eastAsia="Calibri" w:cs="Arial"/>
                <w:szCs w:val="20"/>
              </w:rPr>
              <w:t>določa</w:t>
            </w:r>
            <w:r w:rsidR="00CB138D">
              <w:rPr>
                <w:rFonts w:eastAsia="Calibri" w:cs="Arial"/>
                <w:szCs w:val="20"/>
              </w:rPr>
              <w:t>, da morajo države članice zagotoviti, da delež</w:t>
            </w:r>
            <w:r w:rsidR="00CB138D">
              <w:t xml:space="preserve"> energije iz obnovljivih virov v okviru končne porabe energije v prometnem sektorju, do leta 2030 doseže vsaj 14 %.</w:t>
            </w:r>
          </w:p>
          <w:p w14:paraId="068B7451" w14:textId="77777777" w:rsidR="00CB138D" w:rsidRDefault="00CB138D" w:rsidP="00C744E6">
            <w:pPr>
              <w:spacing w:line="240" w:lineRule="exact"/>
              <w:contextualSpacing/>
              <w:jc w:val="both"/>
            </w:pPr>
          </w:p>
          <w:p w14:paraId="2EF9EDF1" w14:textId="77777777" w:rsidR="00CB138D" w:rsidRPr="00C744E6" w:rsidRDefault="00CB138D" w:rsidP="00C744E6">
            <w:pPr>
              <w:spacing w:line="240" w:lineRule="exact"/>
              <w:contextualSpacing/>
              <w:jc w:val="both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Predmetna direktiva je v postopku prenosa v nacionalni pravni red. Ker bo prišlo v obdobju do sprejetja nove zakonodaje na področju obnovljivih virov energije</w:t>
            </w:r>
            <w:r w:rsidR="00050ECF">
              <w:rPr>
                <w:rFonts w:eastAsia="Calibri" w:cs="Arial"/>
                <w:szCs w:val="20"/>
              </w:rPr>
              <w:t>, ki bo prenovila mehanizme za doseganje deležev obnovljivih virov energije v prometu,</w:t>
            </w:r>
            <w:r>
              <w:rPr>
                <w:rFonts w:eastAsia="Calibri" w:cs="Arial"/>
                <w:szCs w:val="20"/>
              </w:rPr>
              <w:t xml:space="preserve"> do pravne praznine, je nujno zagotoviti kontinuiteto obveznosti doseganja predpisanega energetskega deleža obnovljivih virov energije tudi po letu 2020 in posledično dodati v okvir  4. člena Uredbe o obnovljivih virih energije obveznost </w:t>
            </w:r>
            <w:proofErr w:type="spellStart"/>
            <w:r>
              <w:rPr>
                <w:rFonts w:eastAsia="Calibri" w:cs="Arial"/>
                <w:szCs w:val="20"/>
              </w:rPr>
              <w:t>namešavanja</w:t>
            </w:r>
            <w:proofErr w:type="spellEnd"/>
            <w:r>
              <w:rPr>
                <w:rFonts w:eastAsia="Calibri" w:cs="Arial"/>
                <w:szCs w:val="20"/>
              </w:rPr>
              <w:t xml:space="preserve"> v letu 2021.</w:t>
            </w:r>
            <w:r w:rsidR="005E3E29">
              <w:rPr>
                <w:rFonts w:eastAsia="Calibri" w:cs="Arial"/>
                <w:szCs w:val="20"/>
              </w:rPr>
              <w:t xml:space="preserve"> </w:t>
            </w:r>
          </w:p>
          <w:p w14:paraId="4529F7F7" w14:textId="77777777" w:rsidR="00C744E6" w:rsidRDefault="00C744E6" w:rsidP="00C744E6">
            <w:pPr>
              <w:spacing w:line="240" w:lineRule="exact"/>
              <w:contextualSpacing/>
              <w:jc w:val="both"/>
              <w:rPr>
                <w:rFonts w:ascii="Segoe UI" w:hAnsi="Segoe UI" w:cs="Segoe UI"/>
                <w:color w:val="444444"/>
                <w:sz w:val="21"/>
                <w:szCs w:val="21"/>
                <w:shd w:val="clear" w:color="auto" w:fill="FFFFFF"/>
              </w:rPr>
            </w:pPr>
          </w:p>
          <w:p w14:paraId="761A8828" w14:textId="77777777" w:rsidR="00C744E6" w:rsidRPr="00EB026A" w:rsidRDefault="00C744E6" w:rsidP="00C744E6">
            <w:pPr>
              <w:spacing w:line="240" w:lineRule="exact"/>
              <w:contextualSpacing/>
              <w:jc w:val="both"/>
              <w:rPr>
                <w:rFonts w:eastAsia="Calibri" w:cs="Arial"/>
                <w:szCs w:val="20"/>
              </w:rPr>
            </w:pPr>
          </w:p>
        </w:tc>
      </w:tr>
      <w:tr w:rsidR="00EB026A" w:rsidRPr="00EB026A" w14:paraId="31F489FE" w14:textId="77777777" w:rsidTr="00E60900">
        <w:tc>
          <w:tcPr>
            <w:tcW w:w="9163" w:type="dxa"/>
            <w:gridSpan w:val="4"/>
          </w:tcPr>
          <w:p w14:paraId="0C0B8B88" w14:textId="77777777" w:rsidR="00EB026A" w:rsidRPr="00EB026A" w:rsidRDefault="00EB026A" w:rsidP="00EB026A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textAlignment w:val="baseline"/>
              <w:outlineLvl w:val="3"/>
              <w:rPr>
                <w:rFonts w:cs="Arial"/>
                <w:b/>
                <w:szCs w:val="20"/>
              </w:rPr>
            </w:pPr>
            <w:r w:rsidRPr="00EB026A">
              <w:rPr>
                <w:rFonts w:cs="Arial"/>
                <w:b/>
                <w:szCs w:val="20"/>
              </w:rPr>
              <w:lastRenderedPageBreak/>
              <w:t>6. Presoja posledic za:</w:t>
            </w:r>
          </w:p>
        </w:tc>
      </w:tr>
      <w:tr w:rsidR="00EB026A" w:rsidRPr="00EB026A" w14:paraId="02D1EB81" w14:textId="77777777" w:rsidTr="00E60900">
        <w:tc>
          <w:tcPr>
            <w:tcW w:w="1448" w:type="dxa"/>
          </w:tcPr>
          <w:p w14:paraId="0D5EA7D9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6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0359E9C1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szCs w:val="20"/>
              </w:rPr>
            </w:pPr>
            <w:r w:rsidRPr="00EB026A">
              <w:rPr>
                <w:rFonts w:cs="Arial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2B695440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szCs w:val="20"/>
              </w:rPr>
              <w:t>NE</w:t>
            </w:r>
          </w:p>
        </w:tc>
      </w:tr>
      <w:tr w:rsidR="00EB026A" w:rsidRPr="00EB026A" w14:paraId="70C0708A" w14:textId="77777777" w:rsidTr="00E60900">
        <w:tc>
          <w:tcPr>
            <w:tcW w:w="1448" w:type="dxa"/>
          </w:tcPr>
          <w:p w14:paraId="4A445595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6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3A9404EE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bCs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B8DFA19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szCs w:val="20"/>
              </w:rPr>
              <w:t>NE</w:t>
            </w:r>
          </w:p>
        </w:tc>
      </w:tr>
      <w:tr w:rsidR="00EB026A" w:rsidRPr="00EB026A" w14:paraId="6B560FEF" w14:textId="77777777" w:rsidTr="00E60900">
        <w:tc>
          <w:tcPr>
            <w:tcW w:w="1448" w:type="dxa"/>
          </w:tcPr>
          <w:p w14:paraId="21AA47B5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6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1C8DC20C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55A114B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textAlignment w:val="baseline"/>
              <w:rPr>
                <w:rFonts w:cs="Arial"/>
                <w:szCs w:val="20"/>
              </w:rPr>
            </w:pPr>
            <w:r w:rsidRPr="00EB026A">
              <w:rPr>
                <w:rFonts w:cs="Arial"/>
                <w:szCs w:val="20"/>
              </w:rPr>
              <w:t>NE</w:t>
            </w:r>
          </w:p>
        </w:tc>
      </w:tr>
      <w:tr w:rsidR="00EB026A" w:rsidRPr="00EB026A" w14:paraId="6C2A099E" w14:textId="77777777" w:rsidTr="00E60900">
        <w:tc>
          <w:tcPr>
            <w:tcW w:w="1448" w:type="dxa"/>
          </w:tcPr>
          <w:p w14:paraId="5FAE2BAC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6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37CE5C65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EB026A">
              <w:rPr>
                <w:rFonts w:cs="Arial"/>
                <w:szCs w:val="20"/>
              </w:rPr>
              <w:t>gospodarstvo, zlasti</w:t>
            </w:r>
            <w:r w:rsidRPr="00EB026A">
              <w:rPr>
                <w:rFonts w:cs="Arial"/>
                <w:bCs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2BB72A6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szCs w:val="20"/>
              </w:rPr>
              <w:t>NE</w:t>
            </w:r>
          </w:p>
        </w:tc>
      </w:tr>
      <w:tr w:rsidR="00EB026A" w:rsidRPr="00EB026A" w14:paraId="74B4499A" w14:textId="77777777" w:rsidTr="00E60900">
        <w:tc>
          <w:tcPr>
            <w:tcW w:w="1448" w:type="dxa"/>
          </w:tcPr>
          <w:p w14:paraId="23BFDEE6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6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12D6E8B6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EB026A">
              <w:rPr>
                <w:rFonts w:cs="Arial"/>
                <w:bCs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9AA48B6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szCs w:val="20"/>
              </w:rPr>
              <w:t>NE</w:t>
            </w:r>
          </w:p>
        </w:tc>
      </w:tr>
      <w:tr w:rsidR="00EB026A" w:rsidRPr="00EB026A" w14:paraId="736922D5" w14:textId="77777777" w:rsidTr="00E60900">
        <w:tc>
          <w:tcPr>
            <w:tcW w:w="1448" w:type="dxa"/>
          </w:tcPr>
          <w:p w14:paraId="437890D5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6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035906D6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EB026A">
              <w:rPr>
                <w:rFonts w:cs="Arial"/>
                <w:bCs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967EFDA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szCs w:val="20"/>
              </w:rPr>
              <w:t>NE</w:t>
            </w:r>
          </w:p>
        </w:tc>
      </w:tr>
      <w:tr w:rsidR="00EB026A" w:rsidRPr="00EB026A" w14:paraId="1BC595BE" w14:textId="77777777" w:rsidTr="00E60900">
        <w:tc>
          <w:tcPr>
            <w:tcW w:w="1448" w:type="dxa"/>
            <w:tcBorders>
              <w:bottom w:val="single" w:sz="4" w:space="0" w:color="auto"/>
            </w:tcBorders>
          </w:tcPr>
          <w:p w14:paraId="236A3EC4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6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DF6A292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EB026A">
              <w:rPr>
                <w:rFonts w:cs="Arial"/>
                <w:bCs/>
                <w:szCs w:val="20"/>
              </w:rPr>
              <w:t>dokumente razvojnega načrtovanja:</w:t>
            </w:r>
          </w:p>
          <w:p w14:paraId="39C78BD0" w14:textId="77777777" w:rsidR="00EB026A" w:rsidRPr="00EB026A" w:rsidRDefault="00EB026A" w:rsidP="00105CA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EB026A">
              <w:rPr>
                <w:rFonts w:cs="Arial"/>
                <w:bCs/>
                <w:szCs w:val="20"/>
              </w:rPr>
              <w:t>nacionalne dokumente razvojnega načrtovanja</w:t>
            </w:r>
          </w:p>
          <w:p w14:paraId="374B7D0F" w14:textId="77777777" w:rsidR="00EB026A" w:rsidRPr="00EB026A" w:rsidRDefault="00EB026A" w:rsidP="00105CA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EB026A">
              <w:rPr>
                <w:rFonts w:cs="Arial"/>
                <w:bCs/>
                <w:szCs w:val="20"/>
              </w:rPr>
              <w:t>razvojne politike na ravni programov po strukturi razvojne klasifikacije programskega proračuna</w:t>
            </w:r>
          </w:p>
          <w:p w14:paraId="660981C3" w14:textId="77777777" w:rsidR="00EB026A" w:rsidRPr="00EB026A" w:rsidRDefault="00EB026A" w:rsidP="00105CA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EB026A">
              <w:rPr>
                <w:rFonts w:cs="Arial"/>
                <w:bCs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5C40376" w14:textId="77777777" w:rsidR="00EB026A" w:rsidRPr="00EB026A" w:rsidRDefault="00EB026A" w:rsidP="00EB026A">
            <w:p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szCs w:val="20"/>
              </w:rPr>
              <w:t>NE</w:t>
            </w:r>
          </w:p>
        </w:tc>
      </w:tr>
      <w:tr w:rsidR="00EB026A" w:rsidRPr="00EB026A" w14:paraId="715D8F87" w14:textId="77777777" w:rsidTr="00E60900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5A1" w14:textId="77777777" w:rsidR="00EB026A" w:rsidRPr="00EB026A" w:rsidRDefault="00EB026A" w:rsidP="00EB02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textAlignment w:val="baseline"/>
              <w:outlineLvl w:val="3"/>
              <w:rPr>
                <w:rFonts w:cs="Arial"/>
                <w:b/>
                <w:szCs w:val="20"/>
              </w:rPr>
            </w:pPr>
            <w:r w:rsidRPr="00EB026A">
              <w:rPr>
                <w:rFonts w:cs="Arial"/>
                <w:b/>
                <w:szCs w:val="20"/>
              </w:rPr>
              <w:t>7.a Predstavitev ocene finančnih posledic nad 40.000 EUR:</w:t>
            </w:r>
          </w:p>
        </w:tc>
      </w:tr>
    </w:tbl>
    <w:p w14:paraId="2D58172B" w14:textId="77777777" w:rsidR="00EB026A" w:rsidRPr="00EB026A" w:rsidRDefault="00EB026A" w:rsidP="00EB026A">
      <w:pPr>
        <w:spacing w:line="240" w:lineRule="exact"/>
        <w:contextualSpacing/>
        <w:rPr>
          <w:rFonts w:cs="Arial"/>
          <w:vanish/>
          <w:szCs w:val="20"/>
          <w:lang w:val="en-US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EB026A" w:rsidRPr="00EB026A" w14:paraId="1981D8E3" w14:textId="77777777" w:rsidTr="00E60900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7DA078" w14:textId="77777777" w:rsidR="00EB026A" w:rsidRPr="00EB026A" w:rsidRDefault="00EB026A" w:rsidP="00EB026A">
            <w:pPr>
              <w:pageBreakBefore/>
              <w:widowControl w:val="0"/>
              <w:tabs>
                <w:tab w:val="left" w:pos="2340"/>
              </w:tabs>
              <w:spacing w:line="240" w:lineRule="exact"/>
              <w:ind w:left="142" w:hanging="142"/>
              <w:contextualSpacing/>
              <w:outlineLvl w:val="0"/>
              <w:rPr>
                <w:rFonts w:cs="Arial"/>
                <w:b/>
                <w:kern w:val="32"/>
                <w:szCs w:val="20"/>
              </w:rPr>
            </w:pPr>
            <w:bookmarkStart w:id="1" w:name="_Toc452788221"/>
            <w:bookmarkStart w:id="2" w:name="_Toc452799079"/>
            <w:r w:rsidRPr="00EB026A">
              <w:rPr>
                <w:rFonts w:cs="Arial"/>
                <w:b/>
                <w:kern w:val="32"/>
                <w:szCs w:val="20"/>
              </w:rPr>
              <w:lastRenderedPageBreak/>
              <w:t>I. Ocena finančnih posledic, ki niso načrtovane v sprejetem proračunu</w:t>
            </w:r>
            <w:bookmarkEnd w:id="1"/>
            <w:bookmarkEnd w:id="2"/>
          </w:p>
        </w:tc>
      </w:tr>
      <w:tr w:rsidR="00EB026A" w:rsidRPr="00EB026A" w14:paraId="78007EFF" w14:textId="77777777" w:rsidTr="00E60900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4645" w14:textId="77777777" w:rsidR="00EB026A" w:rsidRPr="004B0DB9" w:rsidRDefault="00EB026A" w:rsidP="00EB026A">
            <w:pPr>
              <w:widowControl w:val="0"/>
              <w:spacing w:line="240" w:lineRule="exact"/>
              <w:ind w:left="-122" w:right="-112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9BAE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6183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CFCF" w14:textId="77777777" w:rsidR="00EB026A" w:rsidRPr="00EB026A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  <w:lang w:val="en-US"/>
              </w:rPr>
            </w:pPr>
            <w:r w:rsidRPr="00EB026A">
              <w:rPr>
                <w:rFonts w:cs="Arial"/>
                <w:szCs w:val="20"/>
                <w:lang w:val="en-US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FD5C" w14:textId="77777777" w:rsidR="00EB026A" w:rsidRPr="00EB026A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  <w:lang w:val="en-US"/>
              </w:rPr>
            </w:pPr>
            <w:r w:rsidRPr="00EB026A">
              <w:rPr>
                <w:rFonts w:cs="Arial"/>
                <w:szCs w:val="20"/>
                <w:lang w:val="en-US"/>
              </w:rPr>
              <w:t>t + 3</w:t>
            </w:r>
          </w:p>
        </w:tc>
      </w:tr>
      <w:tr w:rsidR="00EB026A" w:rsidRPr="00EB026A" w14:paraId="05EE26D3" w14:textId="77777777" w:rsidTr="00E6090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EEE7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rPr>
                <w:rFonts w:cs="Arial"/>
                <w:bCs/>
                <w:szCs w:val="20"/>
              </w:rPr>
            </w:pPr>
            <w:r w:rsidRPr="004B0DB9">
              <w:rPr>
                <w:rFonts w:cs="Arial"/>
                <w:bCs/>
                <w:szCs w:val="20"/>
              </w:rPr>
              <w:t>Predvideno povečanje (+) ali zmanjšanje (</w:t>
            </w:r>
            <w:r w:rsidRPr="004B0DB9">
              <w:rPr>
                <w:rFonts w:cs="Arial"/>
                <w:b/>
                <w:szCs w:val="20"/>
              </w:rPr>
              <w:t>–</w:t>
            </w:r>
            <w:r w:rsidRPr="004B0DB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EDE9" w14:textId="77777777" w:rsidR="00EB026A" w:rsidRPr="004B0DB9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jc w:val="center"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BCE5" w14:textId="77777777" w:rsidR="00EB026A" w:rsidRPr="004B0DB9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jc w:val="center"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47FA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jc w:val="center"/>
              <w:outlineLvl w:val="0"/>
              <w:rPr>
                <w:rFonts w:cs="Arial"/>
                <w:kern w:val="32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10CC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jc w:val="center"/>
              <w:outlineLvl w:val="0"/>
              <w:rPr>
                <w:rFonts w:cs="Arial"/>
                <w:kern w:val="32"/>
                <w:szCs w:val="20"/>
              </w:rPr>
            </w:pPr>
          </w:p>
        </w:tc>
      </w:tr>
      <w:tr w:rsidR="00EB026A" w:rsidRPr="00EB026A" w14:paraId="052FA76C" w14:textId="77777777" w:rsidTr="00E6090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0F6C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rPr>
                <w:rFonts w:cs="Arial"/>
                <w:bCs/>
                <w:szCs w:val="20"/>
              </w:rPr>
            </w:pPr>
            <w:r w:rsidRPr="004B0DB9">
              <w:rPr>
                <w:rFonts w:cs="Arial"/>
                <w:bCs/>
                <w:szCs w:val="20"/>
              </w:rPr>
              <w:t>Predvideno povečanje (+) ali zmanjšanje (</w:t>
            </w:r>
            <w:r w:rsidRPr="004B0DB9">
              <w:rPr>
                <w:rFonts w:cs="Arial"/>
                <w:b/>
                <w:szCs w:val="20"/>
              </w:rPr>
              <w:t>–</w:t>
            </w:r>
            <w:r w:rsidRPr="004B0DB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6080" w14:textId="77777777" w:rsidR="00EB026A" w:rsidRPr="004B0DB9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jc w:val="center"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E62B" w14:textId="77777777" w:rsidR="00EB026A" w:rsidRPr="004B0DB9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jc w:val="center"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C707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jc w:val="center"/>
              <w:outlineLvl w:val="0"/>
              <w:rPr>
                <w:rFonts w:cs="Arial"/>
                <w:kern w:val="32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355B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jc w:val="center"/>
              <w:outlineLvl w:val="0"/>
              <w:rPr>
                <w:rFonts w:cs="Arial"/>
                <w:kern w:val="32"/>
                <w:szCs w:val="20"/>
              </w:rPr>
            </w:pPr>
          </w:p>
        </w:tc>
      </w:tr>
      <w:tr w:rsidR="00EB026A" w:rsidRPr="00EB026A" w14:paraId="5D30D807" w14:textId="77777777" w:rsidTr="00E6090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907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rPr>
                <w:rFonts w:cs="Arial"/>
                <w:bCs/>
                <w:szCs w:val="20"/>
              </w:rPr>
            </w:pPr>
            <w:r w:rsidRPr="004B0DB9">
              <w:rPr>
                <w:rFonts w:cs="Arial"/>
                <w:bCs/>
                <w:szCs w:val="20"/>
              </w:rPr>
              <w:t>Predvideno povečanje (+) ali zmanjšanje (</w:t>
            </w:r>
            <w:r w:rsidRPr="004B0DB9">
              <w:rPr>
                <w:rFonts w:cs="Arial"/>
                <w:b/>
                <w:szCs w:val="20"/>
              </w:rPr>
              <w:t>–</w:t>
            </w:r>
            <w:r w:rsidRPr="004B0DB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68C3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B26D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C45D" w14:textId="77777777" w:rsidR="00EB026A" w:rsidRPr="00EB026A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FBC1" w14:textId="77777777" w:rsidR="00EB026A" w:rsidRPr="00EB026A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EB026A" w:rsidRPr="00EB026A" w14:paraId="2A1B7874" w14:textId="77777777" w:rsidTr="00E60900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783C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rPr>
                <w:rFonts w:cs="Arial"/>
                <w:bCs/>
                <w:szCs w:val="20"/>
              </w:rPr>
            </w:pPr>
            <w:r w:rsidRPr="004B0DB9">
              <w:rPr>
                <w:rFonts w:cs="Arial"/>
                <w:bCs/>
                <w:szCs w:val="20"/>
              </w:rPr>
              <w:t>Predvideno povečanje (+) ali zmanjšanje (</w:t>
            </w:r>
            <w:r w:rsidRPr="004B0DB9">
              <w:rPr>
                <w:rFonts w:cs="Arial"/>
                <w:b/>
                <w:szCs w:val="20"/>
              </w:rPr>
              <w:t>–</w:t>
            </w:r>
            <w:r w:rsidRPr="004B0DB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5AA7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B619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B978" w14:textId="77777777" w:rsidR="00EB026A" w:rsidRPr="00EB026A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902" w14:textId="77777777" w:rsidR="00EB026A" w:rsidRPr="00EB026A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EB026A" w:rsidRPr="00EB026A" w14:paraId="3378C42D" w14:textId="77777777" w:rsidTr="00E6090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D51A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rPr>
                <w:rFonts w:cs="Arial"/>
                <w:bCs/>
                <w:szCs w:val="20"/>
              </w:rPr>
            </w:pPr>
            <w:r w:rsidRPr="004B0DB9">
              <w:rPr>
                <w:rFonts w:cs="Arial"/>
                <w:bCs/>
                <w:szCs w:val="20"/>
              </w:rPr>
              <w:t>Predvideno povečanje (+) ali zmanjšanje (</w:t>
            </w:r>
            <w:r w:rsidRPr="004B0DB9">
              <w:rPr>
                <w:rFonts w:cs="Arial"/>
                <w:b/>
                <w:szCs w:val="20"/>
              </w:rPr>
              <w:t>–</w:t>
            </w:r>
            <w:r w:rsidRPr="004B0DB9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33EA" w14:textId="77777777" w:rsidR="00EB026A" w:rsidRPr="004B0DB9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jc w:val="center"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8062" w14:textId="77777777" w:rsidR="00EB026A" w:rsidRPr="004B0DB9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jc w:val="center"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A6A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jc w:val="center"/>
              <w:outlineLvl w:val="0"/>
              <w:rPr>
                <w:rFonts w:cs="Arial"/>
                <w:kern w:val="32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640A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jc w:val="center"/>
              <w:outlineLvl w:val="0"/>
              <w:rPr>
                <w:rFonts w:cs="Arial"/>
                <w:kern w:val="32"/>
                <w:szCs w:val="20"/>
              </w:rPr>
            </w:pPr>
          </w:p>
        </w:tc>
      </w:tr>
      <w:tr w:rsidR="00EB026A" w:rsidRPr="00EB026A" w14:paraId="274B2A7E" w14:textId="77777777" w:rsidTr="00E60900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0AC598" w14:textId="77777777" w:rsidR="00EB026A" w:rsidRPr="004B0DB9" w:rsidRDefault="00EB026A" w:rsidP="00EB026A">
            <w:pPr>
              <w:widowControl w:val="0"/>
              <w:tabs>
                <w:tab w:val="left" w:pos="2340"/>
              </w:tabs>
              <w:spacing w:line="240" w:lineRule="exact"/>
              <w:ind w:left="142" w:hanging="142"/>
              <w:contextualSpacing/>
              <w:outlineLvl w:val="0"/>
              <w:rPr>
                <w:rFonts w:cs="Arial"/>
                <w:b/>
                <w:kern w:val="32"/>
                <w:szCs w:val="20"/>
              </w:rPr>
            </w:pPr>
            <w:bookmarkStart w:id="3" w:name="_Toc452788222"/>
            <w:bookmarkStart w:id="4" w:name="_Toc452799080"/>
            <w:r w:rsidRPr="004B0DB9">
              <w:rPr>
                <w:rFonts w:cs="Arial"/>
                <w:b/>
                <w:kern w:val="32"/>
                <w:szCs w:val="20"/>
              </w:rPr>
              <w:t>II. Finančne posledice za državni proračun</w:t>
            </w:r>
            <w:bookmarkEnd w:id="3"/>
            <w:bookmarkEnd w:id="4"/>
          </w:p>
        </w:tc>
      </w:tr>
      <w:tr w:rsidR="00EB026A" w:rsidRPr="00EB026A" w14:paraId="563D26B1" w14:textId="77777777" w:rsidTr="00E60900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A9E830" w14:textId="77777777" w:rsidR="00EB026A" w:rsidRPr="004B0DB9" w:rsidRDefault="00EB026A" w:rsidP="00EB026A">
            <w:pPr>
              <w:widowControl w:val="0"/>
              <w:tabs>
                <w:tab w:val="left" w:pos="2340"/>
              </w:tabs>
              <w:spacing w:line="240" w:lineRule="exact"/>
              <w:ind w:left="142" w:hanging="142"/>
              <w:contextualSpacing/>
              <w:outlineLvl w:val="0"/>
              <w:rPr>
                <w:rFonts w:cs="Arial"/>
                <w:b/>
                <w:kern w:val="32"/>
                <w:szCs w:val="20"/>
              </w:rPr>
            </w:pPr>
            <w:bookmarkStart w:id="5" w:name="_Toc452788223"/>
            <w:bookmarkStart w:id="6" w:name="_Toc452799081"/>
            <w:proofErr w:type="spellStart"/>
            <w:r w:rsidRPr="004B0DB9">
              <w:rPr>
                <w:rFonts w:cs="Arial"/>
                <w:b/>
                <w:kern w:val="32"/>
                <w:szCs w:val="20"/>
              </w:rPr>
              <w:t>II.a</w:t>
            </w:r>
            <w:proofErr w:type="spellEnd"/>
            <w:r w:rsidRPr="004B0DB9">
              <w:rPr>
                <w:rFonts w:cs="Arial"/>
                <w:b/>
                <w:kern w:val="32"/>
                <w:szCs w:val="20"/>
              </w:rPr>
              <w:t xml:space="preserve"> Pravice porabe za izvedbo predlaganih rešitev so zagotovljene:</w:t>
            </w:r>
            <w:bookmarkEnd w:id="5"/>
            <w:bookmarkEnd w:id="6"/>
          </w:p>
        </w:tc>
      </w:tr>
      <w:tr w:rsidR="00EB026A" w:rsidRPr="00EB026A" w14:paraId="62C95986" w14:textId="77777777" w:rsidTr="00E60900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496B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3DAE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EB58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631C" w14:textId="77777777" w:rsidR="00EB026A" w:rsidRPr="00EB026A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  <w:lang w:val="nn-NO"/>
              </w:rPr>
            </w:pPr>
            <w:r w:rsidRPr="00EB026A">
              <w:rPr>
                <w:rFonts w:cs="Arial"/>
                <w:szCs w:val="20"/>
                <w:lang w:val="nn-NO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CB1" w14:textId="77777777" w:rsidR="00EB026A" w:rsidRPr="00EB026A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  <w:lang w:val="en-US"/>
              </w:rPr>
            </w:pPr>
            <w:proofErr w:type="spellStart"/>
            <w:r w:rsidRPr="00EB026A">
              <w:rPr>
                <w:rFonts w:cs="Arial"/>
                <w:szCs w:val="20"/>
                <w:lang w:val="en-US"/>
              </w:rPr>
              <w:t>Znesek</w:t>
            </w:r>
            <w:proofErr w:type="spellEnd"/>
            <w:r w:rsidRPr="00EB026A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EB026A">
              <w:rPr>
                <w:rFonts w:cs="Arial"/>
                <w:szCs w:val="20"/>
                <w:lang w:val="en-US"/>
              </w:rPr>
              <w:t>za</w:t>
            </w:r>
            <w:proofErr w:type="spellEnd"/>
            <w:r w:rsidRPr="00EB026A">
              <w:rPr>
                <w:rFonts w:cs="Arial"/>
                <w:szCs w:val="20"/>
                <w:lang w:val="en-US"/>
              </w:rPr>
              <w:t xml:space="preserve"> t + 1</w:t>
            </w:r>
          </w:p>
        </w:tc>
      </w:tr>
      <w:tr w:rsidR="00EB026A" w:rsidRPr="00EB026A" w14:paraId="69E5BCBF" w14:textId="77777777" w:rsidTr="00E60900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4A00" w14:textId="77777777" w:rsidR="00EB026A" w:rsidRPr="004B0DB9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BBC3" w14:textId="77777777" w:rsidR="00EB026A" w:rsidRPr="004B0DB9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18E8" w14:textId="77777777" w:rsidR="00EB026A" w:rsidRPr="004B0DB9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59DE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6E77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</w:tr>
      <w:tr w:rsidR="00EB026A" w:rsidRPr="00EB026A" w14:paraId="2155F7D0" w14:textId="77777777" w:rsidTr="00E6090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CC58" w14:textId="77777777" w:rsidR="00EB026A" w:rsidRPr="004B0DB9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2775" w14:textId="77777777" w:rsidR="00EB026A" w:rsidRPr="004B0DB9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8507" w14:textId="77777777" w:rsidR="00EB026A" w:rsidRPr="004B0DB9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2900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951B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</w:tr>
      <w:tr w:rsidR="00EB026A" w:rsidRPr="00EB026A" w14:paraId="0B98D31C" w14:textId="77777777" w:rsidTr="00E60900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B994" w14:textId="77777777" w:rsidR="00EB026A" w:rsidRPr="004B0DB9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/>
                <w:kern w:val="32"/>
                <w:szCs w:val="20"/>
              </w:rPr>
            </w:pPr>
            <w:bookmarkStart w:id="7" w:name="_Toc452788224"/>
            <w:bookmarkStart w:id="8" w:name="_Toc452799082"/>
            <w:r w:rsidRPr="004B0DB9">
              <w:rPr>
                <w:rFonts w:cs="Arial"/>
                <w:b/>
                <w:kern w:val="32"/>
                <w:szCs w:val="20"/>
              </w:rPr>
              <w:t>SKUPAJ</w:t>
            </w:r>
            <w:bookmarkEnd w:id="7"/>
            <w:bookmarkEnd w:id="8"/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6CDB" w14:textId="77777777" w:rsidR="00EB026A" w:rsidRPr="00EB026A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04C4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/>
                <w:kern w:val="32"/>
                <w:szCs w:val="20"/>
              </w:rPr>
            </w:pPr>
          </w:p>
        </w:tc>
      </w:tr>
      <w:tr w:rsidR="00EB026A" w:rsidRPr="00EB026A" w14:paraId="4E64A9F8" w14:textId="77777777" w:rsidTr="00E60900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E78EF9" w14:textId="77777777" w:rsidR="00EB026A" w:rsidRPr="004B0DB9" w:rsidRDefault="00EB026A" w:rsidP="00EB026A">
            <w:pPr>
              <w:widowControl w:val="0"/>
              <w:tabs>
                <w:tab w:val="left" w:pos="2340"/>
              </w:tabs>
              <w:spacing w:line="240" w:lineRule="exact"/>
              <w:contextualSpacing/>
              <w:outlineLvl w:val="0"/>
              <w:rPr>
                <w:rFonts w:cs="Arial"/>
                <w:b/>
                <w:kern w:val="32"/>
                <w:szCs w:val="20"/>
              </w:rPr>
            </w:pPr>
            <w:bookmarkStart w:id="9" w:name="_Toc452788225"/>
            <w:bookmarkStart w:id="10" w:name="_Toc452799083"/>
            <w:proofErr w:type="spellStart"/>
            <w:r w:rsidRPr="004B0DB9">
              <w:rPr>
                <w:rFonts w:cs="Arial"/>
                <w:b/>
                <w:kern w:val="32"/>
                <w:szCs w:val="20"/>
              </w:rPr>
              <w:t>II.b</w:t>
            </w:r>
            <w:proofErr w:type="spellEnd"/>
            <w:r w:rsidRPr="004B0DB9">
              <w:rPr>
                <w:rFonts w:cs="Arial"/>
                <w:b/>
                <w:kern w:val="32"/>
                <w:szCs w:val="20"/>
              </w:rPr>
              <w:t xml:space="preserve"> Manjkajoče pravice porabe bodo zagotovljene s prerazporeditvijo:</w:t>
            </w:r>
            <w:bookmarkEnd w:id="9"/>
            <w:bookmarkEnd w:id="10"/>
          </w:p>
        </w:tc>
      </w:tr>
      <w:tr w:rsidR="00EB026A" w:rsidRPr="00EB026A" w14:paraId="575C9918" w14:textId="77777777" w:rsidTr="00E60900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5BD3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6C97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CCDF" w14:textId="77777777" w:rsidR="00EB026A" w:rsidRPr="004B0DB9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760F" w14:textId="77777777" w:rsidR="00EB026A" w:rsidRPr="00EB026A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  <w:lang w:val="nn-NO"/>
              </w:rPr>
            </w:pPr>
            <w:r w:rsidRPr="00EB026A">
              <w:rPr>
                <w:rFonts w:cs="Arial"/>
                <w:szCs w:val="20"/>
                <w:lang w:val="nn-NO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D845" w14:textId="77777777" w:rsidR="00EB026A" w:rsidRPr="00EB026A" w:rsidRDefault="00EB026A" w:rsidP="00EB026A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szCs w:val="20"/>
                <w:lang w:val="en-US"/>
              </w:rPr>
            </w:pPr>
            <w:proofErr w:type="spellStart"/>
            <w:r w:rsidRPr="00EB026A">
              <w:rPr>
                <w:rFonts w:cs="Arial"/>
                <w:szCs w:val="20"/>
                <w:lang w:val="en-US"/>
              </w:rPr>
              <w:t>Znesek</w:t>
            </w:r>
            <w:proofErr w:type="spellEnd"/>
            <w:r w:rsidRPr="00EB026A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EB026A">
              <w:rPr>
                <w:rFonts w:cs="Arial"/>
                <w:szCs w:val="20"/>
                <w:lang w:val="en-US"/>
              </w:rPr>
              <w:t>za</w:t>
            </w:r>
            <w:proofErr w:type="spellEnd"/>
            <w:r w:rsidRPr="00EB026A">
              <w:rPr>
                <w:rFonts w:cs="Arial"/>
                <w:szCs w:val="20"/>
                <w:lang w:val="en-US"/>
              </w:rPr>
              <w:t xml:space="preserve"> t + 1 </w:t>
            </w:r>
          </w:p>
        </w:tc>
      </w:tr>
      <w:tr w:rsidR="00EB026A" w:rsidRPr="00EB026A" w14:paraId="19D01034" w14:textId="77777777" w:rsidTr="00E6090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193E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2C19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AD59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953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6E66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</w:tr>
      <w:tr w:rsidR="00EB026A" w:rsidRPr="00EB026A" w14:paraId="6AF174D7" w14:textId="77777777" w:rsidTr="00E6090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69DD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2E5B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488E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2DD9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DBDC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</w:tr>
      <w:tr w:rsidR="00EB026A" w:rsidRPr="00EB026A" w14:paraId="1C210DB9" w14:textId="77777777" w:rsidTr="00E60900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47DA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/>
                <w:kern w:val="32"/>
                <w:szCs w:val="20"/>
              </w:rPr>
            </w:pPr>
            <w:bookmarkStart w:id="11" w:name="_Toc452788226"/>
            <w:bookmarkStart w:id="12" w:name="_Toc452799084"/>
            <w:r w:rsidRPr="00EB026A">
              <w:rPr>
                <w:rFonts w:cs="Arial"/>
                <w:b/>
                <w:kern w:val="32"/>
                <w:szCs w:val="20"/>
              </w:rPr>
              <w:t>SKUPAJ</w:t>
            </w:r>
            <w:bookmarkEnd w:id="11"/>
            <w:bookmarkEnd w:id="12"/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57D3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/>
                <w:kern w:val="32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2D7E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/>
                <w:kern w:val="32"/>
                <w:szCs w:val="20"/>
              </w:rPr>
            </w:pPr>
          </w:p>
        </w:tc>
      </w:tr>
      <w:tr w:rsidR="00EB026A" w:rsidRPr="00EB026A" w14:paraId="28DA9734" w14:textId="77777777" w:rsidTr="00E60900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18289B" w14:textId="77777777" w:rsidR="00EB026A" w:rsidRPr="00EB026A" w:rsidRDefault="00EB026A" w:rsidP="00EB026A">
            <w:pPr>
              <w:widowControl w:val="0"/>
              <w:tabs>
                <w:tab w:val="left" w:pos="2340"/>
              </w:tabs>
              <w:spacing w:line="240" w:lineRule="exact"/>
              <w:contextualSpacing/>
              <w:outlineLvl w:val="0"/>
              <w:rPr>
                <w:rFonts w:cs="Arial"/>
                <w:b/>
                <w:kern w:val="32"/>
                <w:szCs w:val="20"/>
              </w:rPr>
            </w:pPr>
            <w:bookmarkStart w:id="13" w:name="_Toc452788227"/>
            <w:bookmarkStart w:id="14" w:name="_Toc452799085"/>
            <w:proofErr w:type="spellStart"/>
            <w:r w:rsidRPr="00EB026A">
              <w:rPr>
                <w:rFonts w:cs="Arial"/>
                <w:b/>
                <w:kern w:val="32"/>
                <w:szCs w:val="20"/>
              </w:rPr>
              <w:t>II.c</w:t>
            </w:r>
            <w:proofErr w:type="spellEnd"/>
            <w:r w:rsidRPr="00EB026A">
              <w:rPr>
                <w:rFonts w:cs="Arial"/>
                <w:b/>
                <w:kern w:val="32"/>
                <w:szCs w:val="20"/>
              </w:rPr>
              <w:t xml:space="preserve"> Načrtovana nadomestitev zmanjšanih prihodkov in povečanih odhodkov proračuna:</w:t>
            </w:r>
            <w:bookmarkEnd w:id="13"/>
            <w:bookmarkEnd w:id="14"/>
          </w:p>
        </w:tc>
      </w:tr>
      <w:tr w:rsidR="00EB026A" w:rsidRPr="00EB026A" w14:paraId="61E98D5E" w14:textId="77777777" w:rsidTr="00E60900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7803" w14:textId="77777777" w:rsidR="00EB026A" w:rsidRPr="00EB026A" w:rsidRDefault="00EB026A" w:rsidP="00EB026A">
            <w:pPr>
              <w:widowControl w:val="0"/>
              <w:spacing w:line="240" w:lineRule="exact"/>
              <w:ind w:left="-122" w:right="-112"/>
              <w:contextualSpacing/>
              <w:jc w:val="center"/>
              <w:rPr>
                <w:rFonts w:cs="Arial"/>
                <w:szCs w:val="20"/>
                <w:lang w:val="en-US"/>
              </w:rPr>
            </w:pPr>
            <w:r w:rsidRPr="00EB026A">
              <w:rPr>
                <w:rFonts w:cs="Arial"/>
                <w:szCs w:val="20"/>
                <w:lang w:val="en-US"/>
              </w:rPr>
              <w:t xml:space="preserve">Novi </w:t>
            </w:r>
            <w:proofErr w:type="spellStart"/>
            <w:r w:rsidRPr="00EB026A">
              <w:rPr>
                <w:rFonts w:cs="Arial"/>
                <w:szCs w:val="20"/>
                <w:lang w:val="en-US"/>
              </w:rPr>
              <w:t>prihodki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7EE" w14:textId="77777777" w:rsidR="00EB026A" w:rsidRPr="00EB026A" w:rsidRDefault="00EB026A" w:rsidP="00EB026A">
            <w:pPr>
              <w:widowControl w:val="0"/>
              <w:spacing w:line="240" w:lineRule="exact"/>
              <w:ind w:left="-122" w:right="-112"/>
              <w:contextualSpacing/>
              <w:jc w:val="center"/>
              <w:rPr>
                <w:rFonts w:cs="Arial"/>
                <w:szCs w:val="20"/>
                <w:lang w:val="nn-NO"/>
              </w:rPr>
            </w:pPr>
            <w:r w:rsidRPr="00EB026A">
              <w:rPr>
                <w:rFonts w:cs="Arial"/>
                <w:szCs w:val="20"/>
                <w:lang w:val="nn-NO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AF7" w14:textId="77777777" w:rsidR="00EB026A" w:rsidRPr="00EB026A" w:rsidRDefault="00EB026A" w:rsidP="00EB026A">
            <w:pPr>
              <w:widowControl w:val="0"/>
              <w:spacing w:line="240" w:lineRule="exact"/>
              <w:ind w:left="-122" w:right="-112"/>
              <w:contextualSpacing/>
              <w:jc w:val="center"/>
              <w:rPr>
                <w:rFonts w:cs="Arial"/>
                <w:szCs w:val="20"/>
                <w:lang w:val="en-US"/>
              </w:rPr>
            </w:pPr>
            <w:proofErr w:type="spellStart"/>
            <w:r w:rsidRPr="00EB026A">
              <w:rPr>
                <w:rFonts w:cs="Arial"/>
                <w:szCs w:val="20"/>
                <w:lang w:val="en-US"/>
              </w:rPr>
              <w:t>Znesek</w:t>
            </w:r>
            <w:proofErr w:type="spellEnd"/>
            <w:r w:rsidRPr="00EB026A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EB026A">
              <w:rPr>
                <w:rFonts w:cs="Arial"/>
                <w:szCs w:val="20"/>
                <w:lang w:val="en-US"/>
              </w:rPr>
              <w:t>za</w:t>
            </w:r>
            <w:proofErr w:type="spellEnd"/>
            <w:r w:rsidRPr="00EB026A">
              <w:rPr>
                <w:rFonts w:cs="Arial"/>
                <w:szCs w:val="20"/>
                <w:lang w:val="en-US"/>
              </w:rPr>
              <w:t xml:space="preserve"> t + 1</w:t>
            </w:r>
          </w:p>
        </w:tc>
      </w:tr>
      <w:tr w:rsidR="00EB026A" w:rsidRPr="00EB026A" w14:paraId="2E89C9D1" w14:textId="77777777" w:rsidTr="00E6090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C5C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9DC2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2198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</w:tr>
      <w:tr w:rsidR="00EB026A" w:rsidRPr="00EB026A" w14:paraId="50E3C161" w14:textId="77777777" w:rsidTr="00E6090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BAB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29AB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6A5A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</w:tr>
      <w:tr w:rsidR="00EB026A" w:rsidRPr="00EB026A" w14:paraId="03F34088" w14:textId="77777777" w:rsidTr="00E6090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9967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E53A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AF9F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Cs/>
                <w:kern w:val="32"/>
                <w:szCs w:val="20"/>
              </w:rPr>
            </w:pPr>
          </w:p>
        </w:tc>
      </w:tr>
      <w:tr w:rsidR="00EB026A" w:rsidRPr="00EB026A" w14:paraId="02892B0F" w14:textId="77777777" w:rsidTr="00E6090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45C0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/>
                <w:kern w:val="32"/>
                <w:szCs w:val="20"/>
              </w:rPr>
            </w:pPr>
            <w:bookmarkStart w:id="15" w:name="_Toc452788228"/>
            <w:bookmarkStart w:id="16" w:name="_Toc452799086"/>
            <w:r w:rsidRPr="00EB026A">
              <w:rPr>
                <w:rFonts w:cs="Arial"/>
                <w:b/>
                <w:kern w:val="32"/>
                <w:szCs w:val="20"/>
              </w:rPr>
              <w:t>SKUPAJ</w:t>
            </w:r>
            <w:bookmarkEnd w:id="15"/>
            <w:bookmarkEnd w:id="16"/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8DE6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/>
                <w:kern w:val="32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7E67" w14:textId="77777777" w:rsidR="00EB026A" w:rsidRPr="00EB026A" w:rsidRDefault="00EB026A" w:rsidP="00EB026A">
            <w:pPr>
              <w:widowControl w:val="0"/>
              <w:tabs>
                <w:tab w:val="left" w:pos="360"/>
              </w:tabs>
              <w:spacing w:line="240" w:lineRule="exact"/>
              <w:contextualSpacing/>
              <w:outlineLvl w:val="0"/>
              <w:rPr>
                <w:rFonts w:cs="Arial"/>
                <w:b/>
                <w:kern w:val="32"/>
                <w:szCs w:val="20"/>
              </w:rPr>
            </w:pPr>
          </w:p>
        </w:tc>
      </w:tr>
      <w:tr w:rsidR="00EB026A" w:rsidRPr="003061CE" w14:paraId="26D6EF15" w14:textId="77777777" w:rsidTr="00E60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634598AB" w14:textId="77777777" w:rsidR="00EB026A" w:rsidRPr="00EB026A" w:rsidRDefault="00EB026A" w:rsidP="00EB026A">
            <w:pPr>
              <w:widowControl w:val="0"/>
              <w:spacing w:line="240" w:lineRule="exact"/>
              <w:contextualSpacing/>
              <w:rPr>
                <w:rFonts w:cs="Arial"/>
                <w:b/>
                <w:szCs w:val="20"/>
                <w:lang w:val="en-US"/>
              </w:rPr>
            </w:pPr>
            <w:r w:rsidRPr="00EB026A">
              <w:rPr>
                <w:rFonts w:cs="Arial"/>
                <w:b/>
                <w:szCs w:val="20"/>
                <w:lang w:val="en-US"/>
              </w:rPr>
              <w:t>OBRAZLOŽITEV:</w:t>
            </w:r>
          </w:p>
          <w:p w14:paraId="7FFEB721" w14:textId="77777777" w:rsidR="00EB026A" w:rsidRPr="00EB026A" w:rsidRDefault="00EB026A" w:rsidP="00105CA8">
            <w:pPr>
              <w:widowControl w:val="0"/>
              <w:numPr>
                <w:ilvl w:val="0"/>
                <w:numId w:val="4"/>
              </w:numPr>
              <w:suppressAutoHyphens/>
              <w:spacing w:line="240" w:lineRule="exact"/>
              <w:ind w:left="284" w:hanging="284"/>
              <w:contextualSpacing/>
              <w:jc w:val="both"/>
              <w:rPr>
                <w:rFonts w:cs="Arial"/>
                <w:b/>
                <w:szCs w:val="20"/>
                <w:lang w:val="nn-NO"/>
              </w:rPr>
            </w:pPr>
            <w:r w:rsidRPr="00EB026A">
              <w:rPr>
                <w:rFonts w:cs="Arial"/>
                <w:b/>
                <w:szCs w:val="20"/>
                <w:lang w:val="nn-NO"/>
              </w:rPr>
              <w:t>Ocena finančnih posledic, ki niso načrtovane v sprejetem proračunu</w:t>
            </w:r>
          </w:p>
          <w:p w14:paraId="69C46A1E" w14:textId="77777777" w:rsidR="00EB026A" w:rsidRPr="00EB026A" w:rsidRDefault="00EB026A" w:rsidP="00EB026A">
            <w:pPr>
              <w:widowControl w:val="0"/>
              <w:spacing w:line="240" w:lineRule="exact"/>
              <w:ind w:left="360" w:hanging="76"/>
              <w:contextualSpacing/>
              <w:jc w:val="both"/>
              <w:rPr>
                <w:rFonts w:cs="Arial"/>
                <w:szCs w:val="20"/>
                <w:lang w:val="nn-NO"/>
              </w:rPr>
            </w:pPr>
            <w:r w:rsidRPr="00EB026A">
              <w:rPr>
                <w:rFonts w:cs="Arial"/>
                <w:szCs w:val="20"/>
                <w:lang w:val="nn-NO"/>
              </w:rPr>
              <w:t>V zvezi s predlaganim vladnim gradivom se navedejo predvidene spremembe (povečanje, zmanjšanje):</w:t>
            </w:r>
          </w:p>
          <w:p w14:paraId="2F27E7ED" w14:textId="77777777" w:rsidR="00EB026A" w:rsidRPr="00EB026A" w:rsidRDefault="00EB026A" w:rsidP="00105CA8">
            <w:pPr>
              <w:widowControl w:val="0"/>
              <w:numPr>
                <w:ilvl w:val="0"/>
                <w:numId w:val="6"/>
              </w:numPr>
              <w:suppressAutoHyphens/>
              <w:spacing w:line="240" w:lineRule="exact"/>
              <w:contextualSpacing/>
              <w:jc w:val="both"/>
              <w:rPr>
                <w:rFonts w:cs="Arial"/>
                <w:szCs w:val="20"/>
                <w:lang w:val="nn-NO"/>
              </w:rPr>
            </w:pPr>
            <w:r w:rsidRPr="00EB026A">
              <w:rPr>
                <w:rFonts w:cs="Arial"/>
                <w:szCs w:val="20"/>
                <w:lang w:val="nn-NO"/>
              </w:rPr>
              <w:t>prihodkov državnega proračuna in občinskih proračunov,</w:t>
            </w:r>
          </w:p>
          <w:p w14:paraId="28F93F93" w14:textId="77777777" w:rsidR="00EB026A" w:rsidRPr="00EB026A" w:rsidRDefault="00EB026A" w:rsidP="00105CA8">
            <w:pPr>
              <w:widowControl w:val="0"/>
              <w:numPr>
                <w:ilvl w:val="0"/>
                <w:numId w:val="6"/>
              </w:numPr>
              <w:suppressAutoHyphens/>
              <w:spacing w:line="240" w:lineRule="exact"/>
              <w:contextualSpacing/>
              <w:jc w:val="both"/>
              <w:rPr>
                <w:rFonts w:cs="Arial"/>
                <w:szCs w:val="20"/>
                <w:lang w:val="nn-NO"/>
              </w:rPr>
            </w:pPr>
            <w:r w:rsidRPr="00EB026A">
              <w:rPr>
                <w:rFonts w:cs="Arial"/>
                <w:szCs w:val="20"/>
                <w:lang w:val="nn-NO"/>
              </w:rPr>
              <w:t>odhodkov državnega proračuna, ki niso načrtovani na ukrepih oziroma projektih sprejetih proračunov,</w:t>
            </w:r>
          </w:p>
          <w:p w14:paraId="7D08A106" w14:textId="77777777" w:rsidR="00EB026A" w:rsidRPr="00EB026A" w:rsidRDefault="00EB026A" w:rsidP="00105CA8">
            <w:pPr>
              <w:widowControl w:val="0"/>
              <w:numPr>
                <w:ilvl w:val="0"/>
                <w:numId w:val="6"/>
              </w:numPr>
              <w:suppressAutoHyphens/>
              <w:spacing w:line="240" w:lineRule="exact"/>
              <w:contextualSpacing/>
              <w:jc w:val="both"/>
              <w:rPr>
                <w:rFonts w:cs="Arial"/>
                <w:szCs w:val="20"/>
                <w:lang w:val="nn-NO"/>
              </w:rPr>
            </w:pPr>
            <w:r w:rsidRPr="00EB026A">
              <w:rPr>
                <w:rFonts w:cs="Arial"/>
                <w:szCs w:val="20"/>
                <w:lang w:val="nn-NO"/>
              </w:rPr>
              <w:t>obveznosti za druga javnofinančna sredstva (drugi viri), ki niso načrtovana na ukrepih oziroma projektih sprejetih proračunov.</w:t>
            </w:r>
          </w:p>
          <w:p w14:paraId="4F164CFA" w14:textId="77777777" w:rsidR="00EB026A" w:rsidRPr="00EB026A" w:rsidRDefault="00EB026A" w:rsidP="00EB026A">
            <w:pPr>
              <w:widowControl w:val="0"/>
              <w:spacing w:line="240" w:lineRule="exact"/>
              <w:ind w:left="284"/>
              <w:contextualSpacing/>
              <w:rPr>
                <w:rFonts w:cs="Arial"/>
                <w:szCs w:val="20"/>
                <w:lang w:val="nn-NO"/>
              </w:rPr>
            </w:pPr>
          </w:p>
          <w:p w14:paraId="2593FEF2" w14:textId="77777777" w:rsidR="00EB026A" w:rsidRPr="004B0DB9" w:rsidRDefault="00EB026A" w:rsidP="00105CA8">
            <w:pPr>
              <w:widowControl w:val="0"/>
              <w:numPr>
                <w:ilvl w:val="0"/>
                <w:numId w:val="4"/>
              </w:numPr>
              <w:suppressAutoHyphens/>
              <w:spacing w:line="240" w:lineRule="exact"/>
              <w:ind w:left="284" w:hanging="284"/>
              <w:contextualSpacing/>
              <w:jc w:val="both"/>
              <w:rPr>
                <w:rFonts w:cs="Arial"/>
                <w:b/>
                <w:szCs w:val="20"/>
              </w:rPr>
            </w:pPr>
            <w:r w:rsidRPr="004B0DB9">
              <w:rPr>
                <w:rFonts w:cs="Arial"/>
                <w:b/>
                <w:szCs w:val="20"/>
              </w:rPr>
              <w:t>Finančne posledice za državni proračun</w:t>
            </w:r>
          </w:p>
          <w:p w14:paraId="39A84183" w14:textId="77777777" w:rsidR="00EB026A" w:rsidRPr="004B0DB9" w:rsidRDefault="00EB026A" w:rsidP="00EB026A">
            <w:pPr>
              <w:widowControl w:val="0"/>
              <w:spacing w:line="240" w:lineRule="exact"/>
              <w:ind w:left="284"/>
              <w:contextualSpacing/>
              <w:jc w:val="both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>Prikazane morajo biti finančne posledice za državni proračun, ki so na proračunskih postavkah načrtovane v dinamiki projektov oziroma ukrepov:</w:t>
            </w:r>
          </w:p>
          <w:p w14:paraId="06E60FE4" w14:textId="77777777" w:rsidR="00EB026A" w:rsidRPr="004B0DB9" w:rsidRDefault="00EB026A" w:rsidP="00EB026A">
            <w:pPr>
              <w:widowControl w:val="0"/>
              <w:suppressAutoHyphens/>
              <w:spacing w:line="240" w:lineRule="exact"/>
              <w:ind w:left="720"/>
              <w:contextualSpacing/>
              <w:jc w:val="both"/>
              <w:rPr>
                <w:rFonts w:cs="Arial"/>
                <w:b/>
                <w:szCs w:val="20"/>
              </w:rPr>
            </w:pPr>
            <w:proofErr w:type="spellStart"/>
            <w:r w:rsidRPr="004B0DB9">
              <w:rPr>
                <w:rFonts w:cs="Arial"/>
                <w:b/>
                <w:szCs w:val="20"/>
              </w:rPr>
              <w:t>II.a</w:t>
            </w:r>
            <w:proofErr w:type="spellEnd"/>
            <w:r w:rsidRPr="004B0DB9">
              <w:rPr>
                <w:rFonts w:cs="Arial"/>
                <w:b/>
                <w:szCs w:val="20"/>
              </w:rPr>
              <w:t xml:space="preserve"> Pravice porabe za izvedbo predlaganih rešitev so zagotovljene:</w:t>
            </w:r>
          </w:p>
          <w:p w14:paraId="42FC5460" w14:textId="77777777" w:rsidR="00EB026A" w:rsidRPr="004B0DB9" w:rsidRDefault="00EB026A" w:rsidP="00EB026A">
            <w:pPr>
              <w:widowControl w:val="0"/>
              <w:spacing w:line="240" w:lineRule="exact"/>
              <w:ind w:left="284"/>
              <w:contextualSpacing/>
              <w:jc w:val="both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4B0DB9">
              <w:rPr>
                <w:rFonts w:cs="Arial"/>
                <w:szCs w:val="20"/>
              </w:rPr>
              <w:t>II.b</w:t>
            </w:r>
            <w:proofErr w:type="spellEnd"/>
            <w:r w:rsidRPr="004B0DB9">
              <w:rPr>
                <w:rFonts w:cs="Arial"/>
                <w:szCs w:val="20"/>
              </w:rPr>
              <w:t>). Pri uvrstitvi novega projekta oziroma ukrepa v načrt razvojnih programov se navedejo:</w:t>
            </w:r>
          </w:p>
          <w:p w14:paraId="653DC9B4" w14:textId="77777777" w:rsidR="00EB026A" w:rsidRPr="004B0DB9" w:rsidRDefault="00EB026A" w:rsidP="00105CA8">
            <w:pPr>
              <w:widowControl w:val="0"/>
              <w:numPr>
                <w:ilvl w:val="0"/>
                <w:numId w:val="7"/>
              </w:numPr>
              <w:suppressAutoHyphens/>
              <w:spacing w:line="240" w:lineRule="exact"/>
              <w:contextualSpacing/>
              <w:jc w:val="both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>proračunski uporabnik, ki bo financiral novi projekt oziroma ukrep,</w:t>
            </w:r>
          </w:p>
          <w:p w14:paraId="0E6FEEA3" w14:textId="77777777" w:rsidR="00EB026A" w:rsidRPr="004B0DB9" w:rsidRDefault="00EB026A" w:rsidP="00105CA8">
            <w:pPr>
              <w:widowControl w:val="0"/>
              <w:numPr>
                <w:ilvl w:val="0"/>
                <w:numId w:val="7"/>
              </w:numPr>
              <w:suppressAutoHyphens/>
              <w:spacing w:line="240" w:lineRule="exact"/>
              <w:contextualSpacing/>
              <w:jc w:val="both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 xml:space="preserve">projekt oziroma ukrep, s katerim se bodo dosegli cilji vladnega gradiva, in </w:t>
            </w:r>
          </w:p>
          <w:p w14:paraId="77229A6F" w14:textId="77777777" w:rsidR="00EB026A" w:rsidRPr="004B0DB9" w:rsidRDefault="00EB026A" w:rsidP="00105CA8">
            <w:pPr>
              <w:widowControl w:val="0"/>
              <w:numPr>
                <w:ilvl w:val="0"/>
                <w:numId w:val="7"/>
              </w:numPr>
              <w:suppressAutoHyphens/>
              <w:spacing w:line="240" w:lineRule="exact"/>
              <w:contextualSpacing/>
              <w:jc w:val="both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>proračunske postavke.</w:t>
            </w:r>
          </w:p>
          <w:p w14:paraId="058B8F83" w14:textId="77777777" w:rsidR="00EB026A" w:rsidRPr="004B0DB9" w:rsidRDefault="00EB026A" w:rsidP="00EB026A">
            <w:pPr>
              <w:widowControl w:val="0"/>
              <w:spacing w:line="240" w:lineRule="exact"/>
              <w:ind w:left="284"/>
              <w:contextualSpacing/>
              <w:jc w:val="both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4B0DB9">
              <w:rPr>
                <w:rFonts w:cs="Arial"/>
                <w:szCs w:val="20"/>
              </w:rPr>
              <w:t>II.b</w:t>
            </w:r>
            <w:proofErr w:type="spellEnd"/>
            <w:r w:rsidRPr="004B0DB9">
              <w:rPr>
                <w:rFonts w:cs="Arial"/>
                <w:szCs w:val="20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60D3961" w14:textId="77777777" w:rsidR="00EB026A" w:rsidRPr="004B0DB9" w:rsidRDefault="00EB026A" w:rsidP="00EB026A">
            <w:pPr>
              <w:widowControl w:val="0"/>
              <w:suppressAutoHyphens/>
              <w:spacing w:line="240" w:lineRule="exact"/>
              <w:ind w:left="714"/>
              <w:contextualSpacing/>
              <w:jc w:val="both"/>
              <w:rPr>
                <w:rFonts w:cs="Arial"/>
                <w:b/>
                <w:szCs w:val="20"/>
              </w:rPr>
            </w:pPr>
            <w:proofErr w:type="spellStart"/>
            <w:r w:rsidRPr="004B0DB9">
              <w:rPr>
                <w:rFonts w:cs="Arial"/>
                <w:b/>
                <w:szCs w:val="20"/>
              </w:rPr>
              <w:t>II.b</w:t>
            </w:r>
            <w:proofErr w:type="spellEnd"/>
            <w:r w:rsidRPr="004B0DB9">
              <w:rPr>
                <w:rFonts w:cs="Arial"/>
                <w:b/>
                <w:szCs w:val="20"/>
              </w:rPr>
              <w:t xml:space="preserve"> Manjkajoče pravice porabe bodo zagotovljene s prerazporeditvijo:</w:t>
            </w:r>
          </w:p>
          <w:p w14:paraId="545F1F32" w14:textId="77777777" w:rsidR="00EB026A" w:rsidRPr="004B0DB9" w:rsidRDefault="00EB026A" w:rsidP="00EB026A">
            <w:pPr>
              <w:widowControl w:val="0"/>
              <w:spacing w:line="240" w:lineRule="exact"/>
              <w:ind w:left="284"/>
              <w:contextualSpacing/>
              <w:jc w:val="both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4B0DB9">
              <w:rPr>
                <w:rFonts w:cs="Arial"/>
                <w:szCs w:val="20"/>
              </w:rPr>
              <w:t>II.a</w:t>
            </w:r>
            <w:proofErr w:type="spellEnd"/>
            <w:r w:rsidRPr="004B0DB9">
              <w:rPr>
                <w:rFonts w:cs="Arial"/>
                <w:szCs w:val="20"/>
              </w:rPr>
              <w:t>.</w:t>
            </w:r>
          </w:p>
          <w:p w14:paraId="603C9CA6" w14:textId="77777777" w:rsidR="00EB026A" w:rsidRPr="004B0DB9" w:rsidRDefault="00EB026A" w:rsidP="00EB026A">
            <w:pPr>
              <w:widowControl w:val="0"/>
              <w:suppressAutoHyphens/>
              <w:spacing w:line="240" w:lineRule="exact"/>
              <w:ind w:left="714"/>
              <w:contextualSpacing/>
              <w:jc w:val="both"/>
              <w:rPr>
                <w:rFonts w:cs="Arial"/>
                <w:b/>
                <w:szCs w:val="20"/>
              </w:rPr>
            </w:pPr>
            <w:proofErr w:type="spellStart"/>
            <w:r w:rsidRPr="004B0DB9">
              <w:rPr>
                <w:rFonts w:cs="Arial"/>
                <w:b/>
                <w:szCs w:val="20"/>
              </w:rPr>
              <w:t>II.c</w:t>
            </w:r>
            <w:proofErr w:type="spellEnd"/>
            <w:r w:rsidRPr="004B0DB9">
              <w:rPr>
                <w:rFonts w:cs="Arial"/>
                <w:b/>
                <w:szCs w:val="20"/>
              </w:rPr>
              <w:t xml:space="preserve"> Načrtovana nadomestitev zmanjšanih prihodkov in povečanih odhodkov proračuna:</w:t>
            </w:r>
          </w:p>
          <w:p w14:paraId="10528431" w14:textId="77777777" w:rsidR="00EB026A" w:rsidRPr="004B0DB9" w:rsidRDefault="00EB026A" w:rsidP="00EB026A">
            <w:pPr>
              <w:widowControl w:val="0"/>
              <w:spacing w:line="240" w:lineRule="exact"/>
              <w:ind w:left="284"/>
              <w:contextualSpacing/>
              <w:jc w:val="both"/>
              <w:rPr>
                <w:rFonts w:cs="Arial"/>
                <w:szCs w:val="20"/>
              </w:rPr>
            </w:pPr>
            <w:r w:rsidRPr="004B0DB9">
              <w:rPr>
                <w:rFonts w:cs="Arial"/>
                <w:szCs w:val="20"/>
              </w:rPr>
              <w:t xml:space="preserve">Če se povečani odhodki (pravice porabe) ne bodo zagotovili tako, kot je določeno v točkah </w:t>
            </w:r>
            <w:proofErr w:type="spellStart"/>
            <w:r w:rsidRPr="004B0DB9">
              <w:rPr>
                <w:rFonts w:cs="Arial"/>
                <w:szCs w:val="20"/>
              </w:rPr>
              <w:t>II.a</w:t>
            </w:r>
            <w:proofErr w:type="spellEnd"/>
            <w:r w:rsidRPr="004B0DB9">
              <w:rPr>
                <w:rFonts w:cs="Arial"/>
                <w:szCs w:val="20"/>
              </w:rPr>
              <w:t xml:space="preserve"> in </w:t>
            </w:r>
            <w:proofErr w:type="spellStart"/>
            <w:r w:rsidRPr="004B0DB9">
              <w:rPr>
                <w:rFonts w:cs="Arial"/>
                <w:szCs w:val="20"/>
              </w:rPr>
              <w:t>II.b</w:t>
            </w:r>
            <w:proofErr w:type="spellEnd"/>
            <w:r w:rsidRPr="004B0DB9">
              <w:rPr>
                <w:rFonts w:cs="Arial"/>
                <w:szCs w:val="20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8A61741" w14:textId="77777777" w:rsidR="00EB026A" w:rsidRPr="00EB026A" w:rsidRDefault="00EB026A" w:rsidP="00EB02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</w:rPr>
            </w:pPr>
          </w:p>
        </w:tc>
      </w:tr>
      <w:tr w:rsidR="00EB026A" w:rsidRPr="00EB026A" w14:paraId="3145D79B" w14:textId="77777777" w:rsidTr="00E60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C3A2" w14:textId="77777777" w:rsidR="00EB026A" w:rsidRPr="00EB026A" w:rsidRDefault="00EB026A" w:rsidP="00EB026A">
            <w:pPr>
              <w:spacing w:line="240" w:lineRule="exact"/>
              <w:contextualSpacing/>
              <w:rPr>
                <w:rFonts w:cs="Arial"/>
                <w:b/>
                <w:szCs w:val="20"/>
                <w:lang w:val="nn-NO"/>
              </w:rPr>
            </w:pPr>
            <w:r w:rsidRPr="00EB026A">
              <w:rPr>
                <w:rFonts w:cs="Arial"/>
                <w:b/>
                <w:szCs w:val="20"/>
                <w:lang w:val="nn-NO"/>
              </w:rPr>
              <w:lastRenderedPageBreak/>
              <w:t>7.b Predstavitev ocene finančnih posledic pod 40.000 EUR:</w:t>
            </w:r>
          </w:p>
          <w:p w14:paraId="4BC3F0DF" w14:textId="77777777" w:rsidR="00EB026A" w:rsidRPr="00EB026A" w:rsidRDefault="00EB026A" w:rsidP="00EB026A">
            <w:pPr>
              <w:spacing w:line="240" w:lineRule="exact"/>
              <w:contextualSpacing/>
              <w:rPr>
                <w:rFonts w:cs="Arial"/>
                <w:szCs w:val="20"/>
                <w:lang w:val="nn-NO"/>
              </w:rPr>
            </w:pPr>
            <w:r w:rsidRPr="00EB026A">
              <w:rPr>
                <w:rFonts w:cs="Arial"/>
                <w:szCs w:val="20"/>
                <w:lang w:val="nn-NO"/>
              </w:rPr>
              <w:t>(Samo če izberete NE pod točko 6.a.)</w:t>
            </w:r>
          </w:p>
          <w:p w14:paraId="36FC7EBE" w14:textId="77777777" w:rsidR="00EB026A" w:rsidRPr="00EB026A" w:rsidRDefault="00EB026A" w:rsidP="00EB026A">
            <w:pPr>
              <w:spacing w:line="240" w:lineRule="exact"/>
              <w:contextualSpacing/>
              <w:rPr>
                <w:rFonts w:cs="Arial"/>
                <w:b/>
                <w:szCs w:val="20"/>
                <w:lang w:val="nn-NO"/>
              </w:rPr>
            </w:pPr>
            <w:r w:rsidRPr="00EB026A">
              <w:rPr>
                <w:rFonts w:cs="Arial"/>
                <w:b/>
                <w:szCs w:val="20"/>
                <w:lang w:val="nn-NO"/>
              </w:rPr>
              <w:t>Kratka obrazložitev</w:t>
            </w:r>
          </w:p>
          <w:p w14:paraId="0F970FCD" w14:textId="77777777" w:rsidR="00EB026A" w:rsidRPr="002907D2" w:rsidRDefault="002907D2" w:rsidP="00EB026A">
            <w:pPr>
              <w:spacing w:line="240" w:lineRule="exact"/>
              <w:contextualSpacing/>
              <w:rPr>
                <w:rFonts w:cs="Arial"/>
                <w:szCs w:val="20"/>
                <w:lang w:val="nn-NO"/>
              </w:rPr>
            </w:pPr>
            <w:r w:rsidRPr="002907D2">
              <w:rPr>
                <w:rFonts w:cs="Arial"/>
                <w:szCs w:val="20"/>
                <w:lang w:val="nn-NO"/>
              </w:rPr>
              <w:t xml:space="preserve">Gradivo </w:t>
            </w:r>
            <w:r>
              <w:rPr>
                <w:rFonts w:cs="Arial"/>
                <w:szCs w:val="20"/>
                <w:lang w:val="nn-NO"/>
              </w:rPr>
              <w:t>nima vpliva na proračun Republike Slovenije.</w:t>
            </w:r>
          </w:p>
        </w:tc>
      </w:tr>
      <w:tr w:rsidR="00EB026A" w:rsidRPr="00EB026A" w14:paraId="7AA27761" w14:textId="77777777" w:rsidTr="00E60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2E9F" w14:textId="77777777" w:rsidR="00EB026A" w:rsidRPr="00EB026A" w:rsidRDefault="00EB026A" w:rsidP="00EB026A">
            <w:pPr>
              <w:spacing w:line="240" w:lineRule="exact"/>
              <w:contextualSpacing/>
              <w:rPr>
                <w:rFonts w:cs="Arial"/>
                <w:b/>
                <w:szCs w:val="20"/>
                <w:lang w:val="nn-NO"/>
              </w:rPr>
            </w:pPr>
            <w:r w:rsidRPr="00EB026A">
              <w:rPr>
                <w:rFonts w:cs="Arial"/>
                <w:b/>
                <w:szCs w:val="20"/>
                <w:lang w:val="nn-NO"/>
              </w:rPr>
              <w:t>8. Predstavitev sodelovanja z združenji občin:</w:t>
            </w:r>
          </w:p>
        </w:tc>
      </w:tr>
      <w:tr w:rsidR="00EB026A" w:rsidRPr="00EB026A" w14:paraId="75F5B88C" w14:textId="77777777" w:rsidTr="00E60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5CABA7A" w14:textId="77777777" w:rsidR="00EB026A" w:rsidRPr="00EB026A" w:rsidRDefault="00EB026A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Vsebina predloženega gradiva (predpisa) vpliva na:</w:t>
            </w:r>
          </w:p>
          <w:p w14:paraId="0D60A614" w14:textId="77777777" w:rsidR="00EB026A" w:rsidRPr="00EB026A" w:rsidRDefault="00EB026A" w:rsidP="00105CA8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pristojnosti občin,</w:t>
            </w:r>
          </w:p>
          <w:p w14:paraId="4FCFF2E1" w14:textId="77777777" w:rsidR="00EB026A" w:rsidRPr="00EB026A" w:rsidRDefault="00EB026A" w:rsidP="00105CA8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delovanje občin,</w:t>
            </w:r>
          </w:p>
          <w:p w14:paraId="77A5829E" w14:textId="77777777" w:rsidR="00EB026A" w:rsidRPr="00EB026A" w:rsidRDefault="00EB026A" w:rsidP="00105CA8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financiranje občin.</w:t>
            </w:r>
          </w:p>
          <w:p w14:paraId="2390E248" w14:textId="77777777" w:rsidR="00EB026A" w:rsidRPr="00EB026A" w:rsidRDefault="00EB026A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144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</w:p>
        </w:tc>
        <w:tc>
          <w:tcPr>
            <w:tcW w:w="2431" w:type="dxa"/>
            <w:gridSpan w:val="2"/>
          </w:tcPr>
          <w:p w14:paraId="0845B9CE" w14:textId="77777777" w:rsidR="00EB026A" w:rsidRPr="002907D2" w:rsidRDefault="00EB026A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2907D2">
              <w:rPr>
                <w:rFonts w:cs="Arial"/>
                <w:b/>
                <w:szCs w:val="20"/>
              </w:rPr>
              <w:t>NE</w:t>
            </w:r>
          </w:p>
        </w:tc>
      </w:tr>
      <w:tr w:rsidR="00EB026A" w:rsidRPr="00EB026A" w14:paraId="2A1BDC73" w14:textId="77777777" w:rsidTr="00E60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6EB5D336" w14:textId="77777777" w:rsidR="00EB026A" w:rsidRPr="00EB026A" w:rsidRDefault="00EB026A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 xml:space="preserve">Gradivo (predpis) je bilo poslano v mnenje: </w:t>
            </w:r>
          </w:p>
          <w:p w14:paraId="50749E4D" w14:textId="77777777" w:rsidR="00EB026A" w:rsidRPr="00EB026A" w:rsidRDefault="00EB026A" w:rsidP="00105CA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 xml:space="preserve">Skupnosti občin Slovenije SOS: </w:t>
            </w:r>
            <w:r w:rsidRPr="002907D2">
              <w:rPr>
                <w:rFonts w:cs="Arial"/>
                <w:b/>
                <w:iCs/>
                <w:szCs w:val="20"/>
              </w:rPr>
              <w:t>NE</w:t>
            </w:r>
          </w:p>
          <w:p w14:paraId="24E9C82A" w14:textId="77777777" w:rsidR="00EB026A" w:rsidRPr="002907D2" w:rsidRDefault="00EB026A" w:rsidP="00105CA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b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 xml:space="preserve">Združenju občin Slovenije ZOS: </w:t>
            </w:r>
            <w:r w:rsidRPr="002907D2">
              <w:rPr>
                <w:rFonts w:cs="Arial"/>
                <w:b/>
                <w:iCs/>
                <w:szCs w:val="20"/>
              </w:rPr>
              <w:t>NE</w:t>
            </w:r>
          </w:p>
          <w:p w14:paraId="37B0C515" w14:textId="77777777" w:rsidR="00EB026A" w:rsidRPr="00EB026A" w:rsidRDefault="00EB026A" w:rsidP="00105CA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 xml:space="preserve">Združenju mestnih občin Slovenije ZMOS: </w:t>
            </w:r>
            <w:r w:rsidRPr="002907D2">
              <w:rPr>
                <w:rFonts w:cs="Arial"/>
                <w:b/>
                <w:iCs/>
                <w:szCs w:val="20"/>
              </w:rPr>
              <w:t>NE</w:t>
            </w:r>
          </w:p>
          <w:p w14:paraId="13857798" w14:textId="77777777" w:rsidR="00EB026A" w:rsidRPr="00EB026A" w:rsidRDefault="00EB026A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</w:p>
          <w:p w14:paraId="0249C835" w14:textId="77777777" w:rsidR="00EB026A" w:rsidRPr="00EB026A" w:rsidRDefault="00EB026A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Predlogi in pripombe združenj so bili upoštevani:</w:t>
            </w:r>
          </w:p>
          <w:p w14:paraId="63923F64" w14:textId="77777777" w:rsidR="00EB026A" w:rsidRPr="00EB026A" w:rsidRDefault="00EB026A" w:rsidP="00105CA8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v celoti,</w:t>
            </w:r>
          </w:p>
          <w:p w14:paraId="7C96CAA0" w14:textId="77777777" w:rsidR="00EB026A" w:rsidRPr="00EB026A" w:rsidRDefault="00EB026A" w:rsidP="00105CA8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večinoma,</w:t>
            </w:r>
          </w:p>
          <w:p w14:paraId="3FE8512A" w14:textId="77777777" w:rsidR="00EB026A" w:rsidRPr="00EB026A" w:rsidRDefault="00EB026A" w:rsidP="00105CA8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delno,</w:t>
            </w:r>
          </w:p>
          <w:p w14:paraId="4E7E879B" w14:textId="77777777" w:rsidR="00EB026A" w:rsidRPr="00EB026A" w:rsidRDefault="00EB026A" w:rsidP="00105CA8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niso bili upoštevani.</w:t>
            </w:r>
          </w:p>
          <w:p w14:paraId="67252CDC" w14:textId="77777777" w:rsidR="00EB026A" w:rsidRPr="00EB026A" w:rsidRDefault="00EB026A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360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</w:p>
          <w:p w14:paraId="1836CED0" w14:textId="77777777" w:rsidR="00EB026A" w:rsidRPr="00EB026A" w:rsidRDefault="00EB026A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Bistveni predlogi in pripombe, ki niso bili upoštevani.</w:t>
            </w:r>
          </w:p>
          <w:p w14:paraId="09A8C1B4" w14:textId="77777777" w:rsidR="00EB026A" w:rsidRPr="00EB026A" w:rsidRDefault="00EB026A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</w:p>
        </w:tc>
      </w:tr>
      <w:tr w:rsidR="00EB026A" w:rsidRPr="00EB026A" w14:paraId="30878710" w14:textId="77777777" w:rsidTr="00E60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09E4FB40" w14:textId="77777777" w:rsidR="00EB026A" w:rsidRPr="00EB026A" w:rsidRDefault="00EB026A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textAlignment w:val="baseline"/>
              <w:rPr>
                <w:rFonts w:cs="Arial"/>
                <w:b/>
                <w:szCs w:val="20"/>
              </w:rPr>
            </w:pPr>
            <w:r w:rsidRPr="00EB026A">
              <w:rPr>
                <w:rFonts w:cs="Arial"/>
                <w:b/>
                <w:szCs w:val="20"/>
              </w:rPr>
              <w:lastRenderedPageBreak/>
              <w:t>9. Predstavitev sodelovanja javnosti:</w:t>
            </w:r>
          </w:p>
        </w:tc>
      </w:tr>
      <w:tr w:rsidR="00EB026A" w:rsidRPr="00EB026A" w14:paraId="7749B053" w14:textId="77777777" w:rsidTr="00E60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A554F39" w14:textId="77777777" w:rsidR="00EB026A" w:rsidRPr="00EB026A" w:rsidRDefault="00EB026A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szCs w:val="20"/>
              </w:rPr>
            </w:pPr>
            <w:r w:rsidRPr="00EB026A">
              <w:rPr>
                <w:rFonts w:cs="Arial"/>
                <w:iCs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15CD1274" w14:textId="77777777" w:rsidR="00EB026A" w:rsidRPr="00EB026A" w:rsidRDefault="004140B2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:rsidR="00EB026A" w:rsidRPr="00EB026A" w14:paraId="060786C7" w14:textId="77777777" w:rsidTr="00E60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0FE453B" w14:textId="77777777" w:rsidR="00EB026A" w:rsidRDefault="002907D2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(Če je odgovor NE, navedite zakaj ni bilo objavljeno).</w:t>
            </w:r>
          </w:p>
          <w:p w14:paraId="15B2C3A0" w14:textId="77777777" w:rsidR="00C057C1" w:rsidRPr="00EB026A" w:rsidRDefault="00C057C1" w:rsidP="003628B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</w:p>
        </w:tc>
      </w:tr>
      <w:tr w:rsidR="00EB026A" w:rsidRPr="00EB026A" w14:paraId="367E387D" w14:textId="77777777" w:rsidTr="00E60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9CA35DD" w14:textId="77777777" w:rsidR="00EB026A" w:rsidRPr="00EB026A" w:rsidRDefault="005F6B41" w:rsidP="005F6B4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(Če je odgovor DA, navedite:</w:t>
            </w:r>
          </w:p>
          <w:p w14:paraId="0D815A9F" w14:textId="77777777" w:rsidR="00EB026A" w:rsidRPr="00EB026A" w:rsidRDefault="00EB026A" w:rsidP="006E3659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5F6B41">
              <w:rPr>
                <w:rFonts w:cs="Arial"/>
                <w:iCs/>
                <w:szCs w:val="20"/>
                <w:u w:val="single"/>
              </w:rPr>
              <w:t>niso bili upoštevani</w:t>
            </w:r>
            <w:r w:rsidRPr="00EB026A">
              <w:rPr>
                <w:rFonts w:cs="Arial"/>
                <w:iCs/>
                <w:szCs w:val="20"/>
              </w:rPr>
              <w:t>.</w:t>
            </w:r>
          </w:p>
        </w:tc>
      </w:tr>
      <w:tr w:rsidR="00EB026A" w:rsidRPr="00EB026A" w14:paraId="6BA7DFC3" w14:textId="77777777" w:rsidTr="00E60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349EC21" w14:textId="77777777" w:rsidR="00EB026A" w:rsidRPr="00EB026A" w:rsidRDefault="00EB026A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textAlignment w:val="baseline"/>
              <w:rPr>
                <w:rFonts w:cs="Arial"/>
                <w:szCs w:val="20"/>
              </w:rPr>
            </w:pPr>
            <w:r w:rsidRPr="00EB026A">
              <w:rPr>
                <w:rFonts w:cs="Arial"/>
                <w:b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65F463DC" w14:textId="77777777" w:rsidR="00EB026A" w:rsidRPr="00EB026A" w:rsidRDefault="00521B55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szCs w:val="20"/>
              </w:rPr>
              <w:t>DA</w:t>
            </w:r>
          </w:p>
        </w:tc>
      </w:tr>
      <w:tr w:rsidR="00EB026A" w:rsidRPr="00EB026A" w14:paraId="168C8D88" w14:textId="77777777" w:rsidTr="00E60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2402AD0" w14:textId="77777777" w:rsidR="00EB026A" w:rsidRPr="00EB026A" w:rsidRDefault="00EB026A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textAlignment w:val="baseline"/>
              <w:rPr>
                <w:rFonts w:cs="Arial"/>
                <w:b/>
                <w:szCs w:val="20"/>
              </w:rPr>
            </w:pPr>
            <w:r w:rsidRPr="00EB026A">
              <w:rPr>
                <w:rFonts w:cs="Arial"/>
                <w:b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12B7217E" w14:textId="77777777" w:rsidR="00EB026A" w:rsidRPr="00EB026A" w:rsidRDefault="006E3659" w:rsidP="00EB026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</w:t>
            </w:r>
          </w:p>
        </w:tc>
      </w:tr>
      <w:tr w:rsidR="00EB026A" w:rsidRPr="00EB026A" w14:paraId="7BBE5E7F" w14:textId="77777777" w:rsidTr="00E609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5B12" w14:textId="77777777" w:rsidR="00EB026A" w:rsidRPr="00EB026A" w:rsidRDefault="00EB026A" w:rsidP="00EB02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ind w:left="3400"/>
              <w:contextualSpacing/>
              <w:textAlignment w:val="baseline"/>
              <w:outlineLvl w:val="3"/>
              <w:rPr>
                <w:rFonts w:cs="Arial"/>
                <w:b/>
                <w:szCs w:val="20"/>
              </w:rPr>
            </w:pPr>
          </w:p>
          <w:p w14:paraId="0C989204" w14:textId="77777777" w:rsidR="00EB026A" w:rsidRPr="00E30D0D" w:rsidRDefault="00EB026A" w:rsidP="00EB02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360" w:line="240" w:lineRule="exact"/>
              <w:ind w:left="3400"/>
              <w:contextualSpacing/>
              <w:textAlignment w:val="baseline"/>
              <w:outlineLvl w:val="3"/>
              <w:rPr>
                <w:rFonts w:cs="Arial"/>
                <w:szCs w:val="20"/>
              </w:rPr>
            </w:pPr>
            <w:r w:rsidRPr="00EB026A">
              <w:rPr>
                <w:rFonts w:cs="Arial"/>
                <w:b/>
                <w:szCs w:val="20"/>
              </w:rPr>
              <w:t xml:space="preserve">                                   </w:t>
            </w:r>
            <w:r w:rsidRPr="00E30D0D">
              <w:rPr>
                <w:rFonts w:cs="Arial"/>
                <w:szCs w:val="20"/>
              </w:rPr>
              <w:t xml:space="preserve"> </w:t>
            </w:r>
            <w:r w:rsidR="000D547E">
              <w:rPr>
                <w:rFonts w:cs="Arial"/>
                <w:szCs w:val="20"/>
              </w:rPr>
              <w:t xml:space="preserve">       </w:t>
            </w:r>
            <w:r w:rsidR="006E3659">
              <w:rPr>
                <w:rFonts w:cs="Arial"/>
                <w:szCs w:val="20"/>
              </w:rPr>
              <w:t>Jernej Vrtovec</w:t>
            </w:r>
          </w:p>
          <w:p w14:paraId="54265A13" w14:textId="77777777" w:rsidR="00EB026A" w:rsidRDefault="00EB026A" w:rsidP="00EB02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ind w:left="3400"/>
              <w:contextualSpacing/>
              <w:textAlignment w:val="baseline"/>
              <w:outlineLvl w:val="3"/>
              <w:rPr>
                <w:rFonts w:cs="Arial"/>
                <w:szCs w:val="20"/>
              </w:rPr>
            </w:pPr>
            <w:r w:rsidRPr="00E30D0D">
              <w:rPr>
                <w:rFonts w:cs="Arial"/>
                <w:szCs w:val="20"/>
              </w:rPr>
              <w:t xml:space="preserve">                                            </w:t>
            </w:r>
            <w:r w:rsidR="006E3659">
              <w:rPr>
                <w:rFonts w:cs="Arial"/>
                <w:szCs w:val="20"/>
              </w:rPr>
              <w:t>MINISTER</w:t>
            </w:r>
          </w:p>
          <w:p w14:paraId="5E5A74B3" w14:textId="77777777" w:rsidR="00E30D0D" w:rsidRDefault="00E30D0D" w:rsidP="00EB02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ind w:left="3400"/>
              <w:contextualSpacing/>
              <w:textAlignment w:val="baseline"/>
              <w:outlineLvl w:val="3"/>
              <w:rPr>
                <w:rFonts w:cs="Arial"/>
                <w:szCs w:val="20"/>
              </w:rPr>
            </w:pPr>
          </w:p>
          <w:p w14:paraId="4F3BE326" w14:textId="77777777" w:rsidR="005F6B41" w:rsidRDefault="005F6B41" w:rsidP="00EB02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ind w:left="3400"/>
              <w:contextualSpacing/>
              <w:textAlignment w:val="baseline"/>
              <w:outlineLvl w:val="3"/>
              <w:rPr>
                <w:rFonts w:cs="Arial"/>
                <w:szCs w:val="20"/>
              </w:rPr>
            </w:pPr>
          </w:p>
          <w:p w14:paraId="478606C4" w14:textId="77777777" w:rsidR="00E30D0D" w:rsidRPr="00EB026A" w:rsidRDefault="00E30D0D" w:rsidP="00EB02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ind w:left="3400"/>
              <w:contextualSpacing/>
              <w:textAlignment w:val="baseline"/>
              <w:outlineLvl w:val="3"/>
              <w:rPr>
                <w:rFonts w:cs="Arial"/>
                <w:b/>
                <w:szCs w:val="20"/>
              </w:rPr>
            </w:pPr>
          </w:p>
        </w:tc>
      </w:tr>
    </w:tbl>
    <w:p w14:paraId="513C3169" w14:textId="77777777" w:rsidR="00EB026A" w:rsidRPr="00EB026A" w:rsidRDefault="00EB026A" w:rsidP="00EB026A">
      <w:pPr>
        <w:tabs>
          <w:tab w:val="left" w:pos="3402"/>
        </w:tabs>
        <w:spacing w:line="240" w:lineRule="exact"/>
        <w:contextualSpacing/>
        <w:rPr>
          <w:rFonts w:cs="Arial"/>
          <w:szCs w:val="20"/>
        </w:rPr>
      </w:pPr>
    </w:p>
    <w:p w14:paraId="0D406BFA" w14:textId="77777777" w:rsidR="00EB026A" w:rsidRDefault="0056794E" w:rsidP="00EB026A">
      <w:pPr>
        <w:tabs>
          <w:tab w:val="left" w:pos="3402"/>
        </w:tabs>
        <w:spacing w:line="240" w:lineRule="exact"/>
        <w:contextualSpacing/>
        <w:rPr>
          <w:rFonts w:cs="Arial"/>
          <w:szCs w:val="20"/>
        </w:rPr>
      </w:pPr>
      <w:r>
        <w:rPr>
          <w:rFonts w:cs="Arial"/>
          <w:szCs w:val="20"/>
        </w:rPr>
        <w:t>Priloge:</w:t>
      </w:r>
    </w:p>
    <w:p w14:paraId="7B7B1FB2" w14:textId="77777777" w:rsidR="0056794E" w:rsidRDefault="0056794E" w:rsidP="00EB026A">
      <w:pPr>
        <w:tabs>
          <w:tab w:val="left" w:pos="3402"/>
        </w:tabs>
        <w:spacing w:line="240" w:lineRule="exact"/>
        <w:contextualSpacing/>
        <w:rPr>
          <w:rFonts w:cs="Arial"/>
          <w:szCs w:val="20"/>
        </w:rPr>
      </w:pPr>
      <w:r>
        <w:rPr>
          <w:rFonts w:cs="Arial"/>
          <w:szCs w:val="20"/>
        </w:rPr>
        <w:t>- jedro gradiva,</w:t>
      </w:r>
    </w:p>
    <w:p w14:paraId="3D7BF39D" w14:textId="77777777" w:rsidR="0056794E" w:rsidRPr="00EB026A" w:rsidRDefault="0056794E" w:rsidP="00EB026A">
      <w:pPr>
        <w:tabs>
          <w:tab w:val="left" w:pos="3402"/>
        </w:tabs>
        <w:spacing w:line="240" w:lineRule="exact"/>
        <w:contextualSpacing/>
        <w:rPr>
          <w:rFonts w:cs="Arial"/>
          <w:szCs w:val="20"/>
        </w:rPr>
      </w:pPr>
      <w:r>
        <w:rPr>
          <w:rFonts w:cs="Arial"/>
          <w:szCs w:val="20"/>
        </w:rPr>
        <w:t>- obrazložitev.</w:t>
      </w:r>
    </w:p>
    <w:p w14:paraId="573DA2EE" w14:textId="77777777" w:rsidR="00EB026A" w:rsidRPr="00EB026A" w:rsidRDefault="00EB026A" w:rsidP="00EB026A">
      <w:pPr>
        <w:tabs>
          <w:tab w:val="left" w:pos="1701"/>
        </w:tabs>
        <w:spacing w:line="240" w:lineRule="exact"/>
        <w:contextualSpacing/>
        <w:jc w:val="center"/>
        <w:rPr>
          <w:rFonts w:cs="Arial"/>
          <w:b/>
          <w:bCs/>
          <w:szCs w:val="20"/>
        </w:rPr>
      </w:pPr>
    </w:p>
    <w:p w14:paraId="72A05694" w14:textId="77777777" w:rsidR="00EB026A" w:rsidRPr="00EB026A" w:rsidRDefault="00EB026A" w:rsidP="00EB026A">
      <w:pPr>
        <w:tabs>
          <w:tab w:val="left" w:pos="1701"/>
        </w:tabs>
        <w:spacing w:line="240" w:lineRule="exact"/>
        <w:contextualSpacing/>
        <w:jc w:val="center"/>
        <w:rPr>
          <w:rFonts w:cs="Arial"/>
          <w:b/>
          <w:bCs/>
          <w:szCs w:val="20"/>
        </w:rPr>
      </w:pPr>
    </w:p>
    <w:p w14:paraId="0C266EF8" w14:textId="77777777" w:rsidR="00EB026A" w:rsidRPr="00EB026A" w:rsidRDefault="00EB026A" w:rsidP="00EB026A">
      <w:pPr>
        <w:tabs>
          <w:tab w:val="left" w:pos="1701"/>
        </w:tabs>
        <w:spacing w:line="240" w:lineRule="exact"/>
        <w:contextualSpacing/>
        <w:jc w:val="center"/>
        <w:rPr>
          <w:rFonts w:cs="Arial"/>
          <w:b/>
          <w:bCs/>
          <w:szCs w:val="20"/>
        </w:rPr>
      </w:pPr>
    </w:p>
    <w:p w14:paraId="397BD5AB" w14:textId="77777777" w:rsidR="00EB026A" w:rsidRPr="00EB026A" w:rsidRDefault="00EB026A" w:rsidP="00EB026A">
      <w:pPr>
        <w:tabs>
          <w:tab w:val="left" w:pos="1701"/>
        </w:tabs>
        <w:spacing w:line="240" w:lineRule="exact"/>
        <w:contextualSpacing/>
        <w:jc w:val="center"/>
        <w:rPr>
          <w:rFonts w:cs="Arial"/>
          <w:b/>
          <w:bCs/>
          <w:szCs w:val="20"/>
        </w:rPr>
      </w:pPr>
    </w:p>
    <w:p w14:paraId="5EC0D617" w14:textId="77777777" w:rsidR="00EB026A" w:rsidRPr="00EB026A" w:rsidRDefault="00EB026A" w:rsidP="00EB026A">
      <w:pPr>
        <w:tabs>
          <w:tab w:val="left" w:pos="1701"/>
        </w:tabs>
        <w:spacing w:line="240" w:lineRule="exact"/>
        <w:contextualSpacing/>
        <w:jc w:val="center"/>
        <w:rPr>
          <w:rFonts w:cs="Arial"/>
          <w:b/>
          <w:bCs/>
          <w:szCs w:val="20"/>
        </w:rPr>
      </w:pPr>
    </w:p>
    <w:p w14:paraId="26E20972" w14:textId="77777777" w:rsidR="00EB026A" w:rsidRDefault="00EB026A" w:rsidP="00EB026A">
      <w:pPr>
        <w:tabs>
          <w:tab w:val="left" w:pos="1701"/>
        </w:tabs>
        <w:spacing w:line="240" w:lineRule="exact"/>
        <w:contextualSpacing/>
        <w:jc w:val="center"/>
        <w:rPr>
          <w:rFonts w:cs="Arial"/>
          <w:b/>
          <w:bCs/>
          <w:szCs w:val="20"/>
        </w:rPr>
      </w:pPr>
    </w:p>
    <w:p w14:paraId="48913321" w14:textId="77777777" w:rsidR="007E54E6" w:rsidRPr="00EB026A" w:rsidRDefault="007E54E6" w:rsidP="00EB026A">
      <w:pPr>
        <w:tabs>
          <w:tab w:val="left" w:pos="1701"/>
        </w:tabs>
        <w:spacing w:line="240" w:lineRule="exact"/>
        <w:contextualSpacing/>
        <w:jc w:val="center"/>
        <w:rPr>
          <w:rFonts w:cs="Arial"/>
          <w:b/>
          <w:bCs/>
          <w:szCs w:val="20"/>
        </w:rPr>
      </w:pPr>
    </w:p>
    <w:p w14:paraId="0563553B" w14:textId="77777777" w:rsidR="00E30D0D" w:rsidRDefault="00E30D0D" w:rsidP="00EB026A">
      <w:pPr>
        <w:tabs>
          <w:tab w:val="left" w:pos="708"/>
        </w:tabs>
        <w:spacing w:line="240" w:lineRule="exact"/>
        <w:contextualSpacing/>
        <w:rPr>
          <w:rFonts w:eastAsia="Calibri" w:cs="Arial"/>
          <w:szCs w:val="20"/>
        </w:rPr>
      </w:pPr>
    </w:p>
    <w:p w14:paraId="4EC95C8C" w14:textId="77777777" w:rsidR="00D14212" w:rsidRDefault="00D14212" w:rsidP="00EB026A">
      <w:pPr>
        <w:tabs>
          <w:tab w:val="left" w:pos="708"/>
        </w:tabs>
        <w:spacing w:line="240" w:lineRule="exact"/>
        <w:contextualSpacing/>
        <w:rPr>
          <w:rFonts w:eastAsia="Calibri" w:cs="Arial"/>
          <w:szCs w:val="20"/>
        </w:rPr>
      </w:pPr>
    </w:p>
    <w:p w14:paraId="1DF055D5" w14:textId="77777777" w:rsidR="00D14212" w:rsidRDefault="00D14212" w:rsidP="00EB026A">
      <w:pPr>
        <w:tabs>
          <w:tab w:val="left" w:pos="708"/>
        </w:tabs>
        <w:spacing w:line="240" w:lineRule="exact"/>
        <w:contextualSpacing/>
        <w:rPr>
          <w:rFonts w:eastAsia="Calibri" w:cs="Arial"/>
          <w:szCs w:val="20"/>
        </w:rPr>
      </w:pPr>
    </w:p>
    <w:p w14:paraId="2819803B" w14:textId="77777777" w:rsidR="00D14212" w:rsidRDefault="00D14212" w:rsidP="00EB026A">
      <w:pPr>
        <w:tabs>
          <w:tab w:val="left" w:pos="708"/>
        </w:tabs>
        <w:spacing w:line="240" w:lineRule="exact"/>
        <w:contextualSpacing/>
        <w:rPr>
          <w:rFonts w:eastAsia="Calibri" w:cs="Arial"/>
          <w:szCs w:val="20"/>
        </w:rPr>
      </w:pPr>
    </w:p>
    <w:p w14:paraId="75592595" w14:textId="77777777" w:rsidR="00D14212" w:rsidRDefault="00D14212" w:rsidP="00EB026A">
      <w:pPr>
        <w:tabs>
          <w:tab w:val="left" w:pos="708"/>
        </w:tabs>
        <w:spacing w:line="240" w:lineRule="exact"/>
        <w:contextualSpacing/>
        <w:rPr>
          <w:rFonts w:eastAsia="Calibri" w:cs="Arial"/>
          <w:szCs w:val="20"/>
        </w:rPr>
      </w:pPr>
    </w:p>
    <w:p w14:paraId="7803B046" w14:textId="77777777" w:rsidR="00D14212" w:rsidRDefault="00D14212" w:rsidP="00EB026A">
      <w:pPr>
        <w:tabs>
          <w:tab w:val="left" w:pos="708"/>
        </w:tabs>
        <w:spacing w:line="240" w:lineRule="exact"/>
        <w:contextualSpacing/>
        <w:rPr>
          <w:rFonts w:eastAsia="Calibri" w:cs="Arial"/>
          <w:szCs w:val="20"/>
        </w:rPr>
      </w:pPr>
    </w:p>
    <w:p w14:paraId="408E640B" w14:textId="77777777" w:rsidR="00E30D0D" w:rsidRDefault="00E30D0D" w:rsidP="00EB026A">
      <w:pPr>
        <w:tabs>
          <w:tab w:val="left" w:pos="708"/>
        </w:tabs>
        <w:spacing w:line="240" w:lineRule="exact"/>
        <w:contextualSpacing/>
        <w:rPr>
          <w:rFonts w:eastAsia="Calibri" w:cs="Arial"/>
          <w:szCs w:val="20"/>
        </w:rPr>
      </w:pPr>
    </w:p>
    <w:p w14:paraId="31A0C227" w14:textId="77777777" w:rsidR="003B0BD3" w:rsidRDefault="003B0BD3" w:rsidP="00637A85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14:paraId="7F4528EE" w14:textId="77777777" w:rsidR="007E54E6" w:rsidRPr="00CD6BAA" w:rsidRDefault="007E54E6" w:rsidP="007E54E6">
      <w:pPr>
        <w:spacing w:line="240" w:lineRule="auto"/>
        <w:jc w:val="center"/>
        <w:rPr>
          <w:rFonts w:cs="Arial"/>
          <w:lang w:eastAsia="sl-SI"/>
        </w:rPr>
      </w:pPr>
    </w:p>
    <w:p w14:paraId="1B403FB4" w14:textId="77777777" w:rsidR="00D14212" w:rsidRDefault="00D14212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0AD89F01" w14:textId="77777777" w:rsidR="00D14212" w:rsidRDefault="00D14212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3358AF33" w14:textId="77777777" w:rsidR="00D14212" w:rsidRDefault="00D14212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6C45F617" w14:textId="77777777" w:rsidR="00D14212" w:rsidRDefault="00D14212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52FEC3E5" w14:textId="77777777" w:rsidR="00D14212" w:rsidRDefault="00D14212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12AE05A1" w14:textId="77777777" w:rsidR="00D14212" w:rsidRDefault="00D14212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391AB85F" w14:textId="77777777" w:rsidR="00D14212" w:rsidRDefault="00D14212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511FE7E8" w14:textId="77777777" w:rsidR="00D14212" w:rsidRDefault="00D14212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50108F7D" w14:textId="77777777" w:rsidR="00D14212" w:rsidRDefault="00D14212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265D90F1" w14:textId="77777777" w:rsidR="00D14212" w:rsidRDefault="00D14212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6E8E41EB" w14:textId="77777777" w:rsidR="005F6B41" w:rsidRDefault="005F6B41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6283C270" w14:textId="77777777" w:rsidR="005F6B41" w:rsidRDefault="005F6B41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73C73C71" w14:textId="77777777" w:rsidR="00D14212" w:rsidRDefault="00D14212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3D66C19F" w14:textId="77777777" w:rsidR="005F6B41" w:rsidRDefault="005F6B41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2A1ED34B" w14:textId="77777777" w:rsidR="005F6B41" w:rsidRDefault="005F6B41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7B9CB89D" w14:textId="77777777" w:rsidR="00D14212" w:rsidRDefault="00D14212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46634D1B" w14:textId="77777777" w:rsidR="00D14212" w:rsidRDefault="00D14212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6A91D834" w14:textId="77777777" w:rsidR="00963659" w:rsidRDefault="00963659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78202318" w14:textId="77777777" w:rsidR="00963659" w:rsidRDefault="00963659" w:rsidP="007E54E6">
      <w:pPr>
        <w:spacing w:line="240" w:lineRule="auto"/>
        <w:ind w:left="6372" w:firstLine="708"/>
        <w:rPr>
          <w:rFonts w:cs="Arial"/>
          <w:b/>
          <w:lang w:eastAsia="sl-SI"/>
        </w:rPr>
      </w:pPr>
    </w:p>
    <w:p w14:paraId="03EF589E" w14:textId="77777777" w:rsidR="00963659" w:rsidRPr="000F05B7" w:rsidRDefault="00963659" w:rsidP="007E54E6">
      <w:pPr>
        <w:spacing w:line="240" w:lineRule="auto"/>
        <w:ind w:left="6372" w:firstLine="708"/>
        <w:rPr>
          <w:rFonts w:cs="Arial"/>
          <w:lang w:eastAsia="sl-SI"/>
        </w:rPr>
      </w:pPr>
    </w:p>
    <w:p w14:paraId="1027537C" w14:textId="77777777" w:rsidR="007E54E6" w:rsidRPr="00CD6BAA" w:rsidRDefault="007E54E6" w:rsidP="007E54E6">
      <w:pPr>
        <w:spacing w:line="240" w:lineRule="auto"/>
        <w:ind w:left="6372" w:firstLine="708"/>
        <w:rPr>
          <w:rFonts w:cs="Arial"/>
          <w:lang w:eastAsia="sl-SI"/>
        </w:rPr>
      </w:pPr>
      <w:r w:rsidRPr="00CD6BAA">
        <w:rPr>
          <w:rFonts w:cs="Arial"/>
          <w:b/>
          <w:lang w:eastAsia="sl-SI"/>
        </w:rPr>
        <w:lastRenderedPageBreak/>
        <w:t>PREDLOG</w:t>
      </w:r>
    </w:p>
    <w:p w14:paraId="4FBA645C" w14:textId="77777777" w:rsidR="007E54E6" w:rsidRPr="00CD6BAA" w:rsidRDefault="007E54E6" w:rsidP="007E54E6">
      <w:pPr>
        <w:spacing w:line="240" w:lineRule="auto"/>
        <w:rPr>
          <w:rFonts w:cs="Arial"/>
          <w:b/>
          <w:lang w:eastAsia="sl-SI"/>
        </w:rPr>
      </w:pPr>
      <w:r w:rsidRPr="00CD6BAA">
        <w:rPr>
          <w:rFonts w:cs="Arial"/>
          <w:lang w:eastAsia="sl-SI"/>
        </w:rPr>
        <w:tab/>
      </w:r>
      <w:r w:rsidRPr="00CD6BAA">
        <w:rPr>
          <w:rFonts w:cs="Arial"/>
          <w:lang w:eastAsia="sl-SI"/>
        </w:rPr>
        <w:tab/>
      </w:r>
      <w:r w:rsidRPr="00CD6BAA">
        <w:rPr>
          <w:rFonts w:cs="Arial"/>
          <w:lang w:eastAsia="sl-SI"/>
        </w:rPr>
        <w:tab/>
      </w:r>
      <w:r w:rsidRPr="00CD6BAA">
        <w:rPr>
          <w:rFonts w:cs="Arial"/>
          <w:lang w:eastAsia="sl-SI"/>
        </w:rPr>
        <w:tab/>
      </w:r>
      <w:r w:rsidRPr="00CD6BAA">
        <w:rPr>
          <w:rFonts w:cs="Arial"/>
          <w:lang w:eastAsia="sl-SI"/>
        </w:rPr>
        <w:tab/>
      </w:r>
      <w:r w:rsidRPr="00CD6BAA">
        <w:rPr>
          <w:rFonts w:cs="Arial"/>
          <w:lang w:eastAsia="sl-SI"/>
        </w:rPr>
        <w:tab/>
      </w:r>
      <w:r w:rsidRPr="00CD6BAA">
        <w:rPr>
          <w:rFonts w:cs="Arial"/>
          <w:lang w:eastAsia="sl-SI"/>
        </w:rPr>
        <w:tab/>
      </w:r>
      <w:r w:rsidRPr="00CD6BAA">
        <w:rPr>
          <w:rFonts w:cs="Arial"/>
          <w:lang w:eastAsia="sl-SI"/>
        </w:rPr>
        <w:tab/>
      </w:r>
      <w:r w:rsidRPr="00CD6BAA">
        <w:rPr>
          <w:rFonts w:cs="Arial"/>
          <w:lang w:eastAsia="sl-SI"/>
        </w:rPr>
        <w:tab/>
      </w:r>
      <w:r w:rsidRPr="00CD6BAA">
        <w:rPr>
          <w:rFonts w:cs="Arial"/>
          <w:b/>
          <w:lang w:eastAsia="sl-SI"/>
        </w:rPr>
        <w:t>(EVA</w:t>
      </w:r>
      <w:r w:rsidR="00A15A1E">
        <w:rPr>
          <w:rFonts w:cs="Arial"/>
          <w:b/>
          <w:lang w:eastAsia="sl-SI"/>
        </w:rPr>
        <w:t xml:space="preserve"> 2021-2430-0005</w:t>
      </w:r>
      <w:r w:rsidRPr="00CD6BAA">
        <w:rPr>
          <w:rFonts w:cs="Arial"/>
          <w:b/>
          <w:lang w:eastAsia="sl-SI"/>
        </w:rPr>
        <w:t>)</w:t>
      </w:r>
    </w:p>
    <w:p w14:paraId="3CA8EC9F" w14:textId="77777777" w:rsidR="007E54E6" w:rsidRDefault="007E54E6" w:rsidP="007E54E6">
      <w:pPr>
        <w:spacing w:line="240" w:lineRule="auto"/>
        <w:jc w:val="both"/>
        <w:rPr>
          <w:rFonts w:cs="Arial"/>
          <w:lang w:eastAsia="sl-SI"/>
        </w:rPr>
      </w:pPr>
    </w:p>
    <w:p w14:paraId="378A6960" w14:textId="77777777" w:rsidR="007E54E6" w:rsidRPr="00CD6BAA" w:rsidRDefault="007E54E6" w:rsidP="007E54E6">
      <w:pPr>
        <w:spacing w:line="240" w:lineRule="auto"/>
        <w:jc w:val="both"/>
        <w:rPr>
          <w:rFonts w:cs="Arial"/>
          <w:lang w:eastAsia="sl-SI"/>
        </w:rPr>
      </w:pPr>
    </w:p>
    <w:p w14:paraId="53F96B01" w14:textId="77777777" w:rsidR="00391AAF" w:rsidRDefault="00391AAF" w:rsidP="00391AAF">
      <w:pPr>
        <w:spacing w:line="240" w:lineRule="auto"/>
        <w:jc w:val="both"/>
        <w:rPr>
          <w:rFonts w:cs="Arial"/>
          <w:lang w:eastAsia="sl-SI"/>
        </w:rPr>
      </w:pPr>
      <w:r>
        <w:rPr>
          <w:rFonts w:cs="Arial"/>
          <w:lang w:eastAsia="sl-SI"/>
        </w:rPr>
        <w:t xml:space="preserve">Na podlagi drugega odstavka 380. člena Energetskega zakona </w:t>
      </w:r>
      <w:r>
        <w:rPr>
          <w:rFonts w:eastAsia="Calibri" w:cs="Arial"/>
          <w:szCs w:val="20"/>
        </w:rPr>
        <w:t>(Uradni list RS, št. 60/19 – uradno prečiščeno besedilo, 65/20 in 158/20 – ZURE)</w:t>
      </w:r>
      <w:r>
        <w:rPr>
          <w:rFonts w:cs="Arial"/>
          <w:lang w:eastAsia="sl-SI"/>
        </w:rPr>
        <w:t xml:space="preserve"> Vlada Republike Slovenije izdaja</w:t>
      </w:r>
    </w:p>
    <w:p w14:paraId="228AEB1E" w14:textId="77777777" w:rsidR="00391AAF" w:rsidRDefault="00391AAF" w:rsidP="00391AAF">
      <w:pPr>
        <w:spacing w:line="240" w:lineRule="auto"/>
        <w:jc w:val="both"/>
        <w:rPr>
          <w:rFonts w:cs="Arial"/>
          <w:lang w:eastAsia="sl-SI"/>
        </w:rPr>
      </w:pPr>
    </w:p>
    <w:p w14:paraId="466AAB00" w14:textId="77777777" w:rsidR="00391AAF" w:rsidRDefault="00391AAF" w:rsidP="00391AAF">
      <w:pPr>
        <w:spacing w:line="240" w:lineRule="auto"/>
        <w:jc w:val="both"/>
        <w:rPr>
          <w:rFonts w:cs="Arial"/>
          <w:lang w:eastAsia="sl-SI"/>
        </w:rPr>
      </w:pPr>
    </w:p>
    <w:p w14:paraId="052EF552" w14:textId="77777777" w:rsidR="00391AAF" w:rsidRDefault="00391AAF" w:rsidP="00391AAF">
      <w:pPr>
        <w:spacing w:line="240" w:lineRule="auto"/>
        <w:jc w:val="both"/>
        <w:rPr>
          <w:rFonts w:cs="Arial"/>
          <w:lang w:eastAsia="sl-SI"/>
        </w:rPr>
      </w:pPr>
    </w:p>
    <w:p w14:paraId="758607DA" w14:textId="77777777" w:rsidR="00391AAF" w:rsidRDefault="00391AAF" w:rsidP="00391AAF">
      <w:pPr>
        <w:spacing w:line="240" w:lineRule="auto"/>
        <w:jc w:val="center"/>
        <w:rPr>
          <w:rFonts w:cs="Arial"/>
          <w:b/>
          <w:lang w:eastAsia="sl-SI"/>
        </w:rPr>
      </w:pPr>
      <w:r>
        <w:rPr>
          <w:rFonts w:cs="Arial"/>
          <w:b/>
          <w:lang w:eastAsia="sl-SI"/>
        </w:rPr>
        <w:t>U R E D B O</w:t>
      </w:r>
    </w:p>
    <w:p w14:paraId="31E837D3" w14:textId="77777777" w:rsidR="00391AAF" w:rsidRDefault="00391AAF" w:rsidP="00391AAF">
      <w:pPr>
        <w:spacing w:line="240" w:lineRule="auto"/>
        <w:jc w:val="center"/>
        <w:rPr>
          <w:rFonts w:cs="Arial"/>
          <w:b/>
          <w:lang w:eastAsia="sl-SI"/>
        </w:rPr>
      </w:pPr>
    </w:p>
    <w:p w14:paraId="34B2566C" w14:textId="77777777" w:rsidR="00391AAF" w:rsidRDefault="00391AAF" w:rsidP="00391AAF">
      <w:pPr>
        <w:spacing w:line="240" w:lineRule="auto"/>
        <w:jc w:val="center"/>
        <w:rPr>
          <w:rFonts w:cs="Arial"/>
          <w:lang w:eastAsia="sl-SI"/>
        </w:rPr>
      </w:pPr>
      <w:r>
        <w:rPr>
          <w:rFonts w:cs="Arial"/>
          <w:b/>
          <w:lang w:eastAsia="sl-SI"/>
        </w:rPr>
        <w:t>o dopolnitvi Uredbe o obnovljivih virih energije v prometu</w:t>
      </w:r>
    </w:p>
    <w:p w14:paraId="38AA2CA0" w14:textId="77777777" w:rsidR="00391AAF" w:rsidRDefault="00391AAF" w:rsidP="00391AAF">
      <w:pPr>
        <w:spacing w:line="240" w:lineRule="auto"/>
        <w:jc w:val="both"/>
        <w:rPr>
          <w:rFonts w:cs="Arial"/>
          <w:lang w:eastAsia="sl-SI"/>
        </w:rPr>
      </w:pPr>
    </w:p>
    <w:p w14:paraId="737EC339" w14:textId="77777777" w:rsidR="00391AAF" w:rsidRDefault="00391AAF" w:rsidP="00391AAF">
      <w:pPr>
        <w:spacing w:line="240" w:lineRule="auto"/>
        <w:jc w:val="center"/>
        <w:rPr>
          <w:rFonts w:cs="Arial"/>
          <w:lang w:eastAsia="sl-SI"/>
        </w:rPr>
      </w:pPr>
      <w:r>
        <w:rPr>
          <w:rFonts w:cs="Arial"/>
          <w:lang w:eastAsia="sl-SI"/>
        </w:rPr>
        <w:t>1. člen</w:t>
      </w:r>
    </w:p>
    <w:p w14:paraId="61145E63" w14:textId="77777777" w:rsidR="00391AAF" w:rsidRDefault="00391AAF" w:rsidP="00391AAF">
      <w:pPr>
        <w:spacing w:line="240" w:lineRule="auto"/>
        <w:jc w:val="both"/>
        <w:rPr>
          <w:rFonts w:cs="Arial"/>
          <w:lang w:eastAsia="sl-SI"/>
        </w:rPr>
      </w:pPr>
    </w:p>
    <w:p w14:paraId="6575DF65" w14:textId="10B4509B" w:rsidR="00391AAF" w:rsidRDefault="00391AAF" w:rsidP="00391AAF">
      <w:pPr>
        <w:spacing w:line="240" w:lineRule="auto"/>
        <w:jc w:val="both"/>
        <w:rPr>
          <w:rFonts w:cs="Arial"/>
          <w:lang w:eastAsia="sl-SI"/>
        </w:rPr>
      </w:pPr>
      <w:r>
        <w:rPr>
          <w:rFonts w:cs="Arial"/>
          <w:lang w:eastAsia="sl-SI"/>
        </w:rPr>
        <w:t xml:space="preserve">V Uredbi o obnovljivih virih energije </w:t>
      </w:r>
      <w:r>
        <w:rPr>
          <w:rFonts w:cs="Arial"/>
          <w:b/>
          <w:bCs/>
          <w:color w:val="626060"/>
          <w:sz w:val="18"/>
          <w:szCs w:val="18"/>
          <w:shd w:val="clear" w:color="auto" w:fill="FFFFFF"/>
        </w:rPr>
        <w:t>(</w:t>
      </w:r>
      <w:r>
        <w:rPr>
          <w:rFonts w:cs="Arial"/>
          <w:lang w:eastAsia="sl-SI"/>
        </w:rPr>
        <w:t xml:space="preserve">Uradni list RS, </w:t>
      </w:r>
      <w:r w:rsidRPr="00963659">
        <w:rPr>
          <w:rFonts w:cs="Arial"/>
          <w:lang w:eastAsia="sl-SI"/>
        </w:rPr>
        <w:t>št. </w:t>
      </w:r>
      <w:hyperlink r:id="rId10" w:tgtFrame="_blank" w:tooltip="Uredba o obnovljivih virih energije v prometu" w:history="1">
        <w:r w:rsidRPr="003646BE">
          <w:rPr>
            <w:rStyle w:val="Hiperpovezava"/>
            <w:color w:val="auto"/>
            <w:u w:val="none"/>
            <w:lang w:eastAsia="sl-SI"/>
          </w:rPr>
          <w:t>64/16</w:t>
        </w:r>
      </w:hyperlink>
      <w:r w:rsidRPr="00963659">
        <w:rPr>
          <w:rFonts w:cs="Arial"/>
          <w:lang w:eastAsia="sl-SI"/>
        </w:rPr>
        <w:t xml:space="preserve">) </w:t>
      </w:r>
      <w:r>
        <w:rPr>
          <w:rFonts w:cs="Arial"/>
          <w:lang w:eastAsia="sl-SI"/>
        </w:rPr>
        <w:t xml:space="preserve">se v 4. členu </w:t>
      </w:r>
      <w:r w:rsidR="0044747C">
        <w:rPr>
          <w:rFonts w:cs="Arial"/>
          <w:lang w:eastAsia="sl-SI"/>
        </w:rPr>
        <w:t>na koncu četrte alineje</w:t>
      </w:r>
      <w:r>
        <w:rPr>
          <w:rFonts w:cs="Arial"/>
          <w:lang w:eastAsia="sl-SI"/>
        </w:rPr>
        <w:t xml:space="preserve"> pika nadomesti z vejico in doda nova</w:t>
      </w:r>
      <w:r w:rsidR="00963659">
        <w:rPr>
          <w:rFonts w:cs="Arial"/>
          <w:lang w:eastAsia="sl-SI"/>
        </w:rPr>
        <w:t>,</w:t>
      </w:r>
      <w:r>
        <w:rPr>
          <w:rFonts w:cs="Arial"/>
          <w:lang w:eastAsia="sl-SI"/>
        </w:rPr>
        <w:t xml:space="preserve"> peta alineja, ki se glasi: »</w:t>
      </w:r>
      <w:r w:rsidR="00963659">
        <w:rPr>
          <w:rFonts w:cs="Arial"/>
          <w:lang w:eastAsia="sl-SI"/>
        </w:rPr>
        <w:t>–</w:t>
      </w:r>
      <w:r>
        <w:rPr>
          <w:rFonts w:cs="Arial"/>
          <w:lang w:eastAsia="sl-SI"/>
        </w:rPr>
        <w:t xml:space="preserve"> v letu 2021 – najmanj 10,00</w:t>
      </w:r>
      <w:r w:rsidR="00963659">
        <w:rPr>
          <w:rFonts w:cs="Arial"/>
          <w:lang w:eastAsia="sl-SI"/>
        </w:rPr>
        <w:t> </w:t>
      </w:r>
      <w:r>
        <w:rPr>
          <w:rFonts w:cs="Arial"/>
          <w:lang w:eastAsia="sl-SI"/>
        </w:rPr>
        <w:t>%.«.</w:t>
      </w:r>
    </w:p>
    <w:p w14:paraId="760800F3" w14:textId="77777777" w:rsidR="00391AAF" w:rsidRDefault="00391AAF" w:rsidP="00391AAF">
      <w:pPr>
        <w:spacing w:line="240" w:lineRule="auto"/>
        <w:jc w:val="both"/>
        <w:rPr>
          <w:rFonts w:cs="Arial"/>
          <w:lang w:eastAsia="sl-SI"/>
        </w:rPr>
      </w:pPr>
    </w:p>
    <w:p w14:paraId="2C19739F" w14:textId="77777777" w:rsidR="00391AAF" w:rsidRDefault="00391AAF" w:rsidP="00391AAF">
      <w:pPr>
        <w:spacing w:line="240" w:lineRule="auto"/>
        <w:jc w:val="both"/>
        <w:rPr>
          <w:rFonts w:cs="Arial"/>
          <w:lang w:eastAsia="sl-SI"/>
        </w:rPr>
      </w:pPr>
    </w:p>
    <w:p w14:paraId="677572A7" w14:textId="77777777" w:rsidR="00014D34" w:rsidRDefault="00014D34" w:rsidP="00391AAF">
      <w:pPr>
        <w:spacing w:line="240" w:lineRule="auto"/>
        <w:jc w:val="both"/>
        <w:rPr>
          <w:rFonts w:cs="Arial"/>
          <w:lang w:eastAsia="sl-SI"/>
        </w:rPr>
      </w:pPr>
    </w:p>
    <w:p w14:paraId="1FBC4CFB" w14:textId="77777777" w:rsidR="00014D34" w:rsidRDefault="00014D34" w:rsidP="00014D34">
      <w:pPr>
        <w:spacing w:line="240" w:lineRule="auto"/>
        <w:jc w:val="center"/>
        <w:rPr>
          <w:rFonts w:cs="Arial"/>
          <w:lang w:eastAsia="sl-SI"/>
        </w:rPr>
      </w:pPr>
      <w:r>
        <w:rPr>
          <w:rFonts w:cs="Arial"/>
          <w:lang w:eastAsia="sl-SI"/>
        </w:rPr>
        <w:t>KONČNA DOLOČBA</w:t>
      </w:r>
    </w:p>
    <w:p w14:paraId="15E20AA2" w14:textId="77777777" w:rsidR="00014D34" w:rsidRDefault="00014D34" w:rsidP="00391AAF">
      <w:pPr>
        <w:spacing w:line="240" w:lineRule="auto"/>
        <w:jc w:val="both"/>
        <w:rPr>
          <w:rFonts w:cs="Arial"/>
          <w:lang w:eastAsia="sl-SI"/>
        </w:rPr>
      </w:pPr>
    </w:p>
    <w:p w14:paraId="1BBEAD57" w14:textId="77777777" w:rsidR="00391AAF" w:rsidRDefault="00391AAF" w:rsidP="00391AAF">
      <w:pPr>
        <w:spacing w:line="240" w:lineRule="auto"/>
        <w:jc w:val="center"/>
        <w:rPr>
          <w:rFonts w:cs="Arial"/>
          <w:lang w:eastAsia="sl-SI"/>
        </w:rPr>
      </w:pPr>
      <w:r>
        <w:rPr>
          <w:rFonts w:cs="Arial"/>
          <w:lang w:eastAsia="sl-SI"/>
        </w:rPr>
        <w:t>2. člen</w:t>
      </w:r>
    </w:p>
    <w:p w14:paraId="7D0C96D4" w14:textId="77777777" w:rsidR="00391AAF" w:rsidRDefault="00391AAF" w:rsidP="00391AAF">
      <w:pPr>
        <w:spacing w:line="240" w:lineRule="auto"/>
        <w:jc w:val="center"/>
        <w:rPr>
          <w:rFonts w:cs="Arial"/>
          <w:bCs/>
          <w:lang w:eastAsia="sl-SI"/>
        </w:rPr>
      </w:pPr>
      <w:r>
        <w:rPr>
          <w:rFonts w:cs="Arial"/>
          <w:bCs/>
          <w:lang w:eastAsia="sl-SI"/>
        </w:rPr>
        <w:t>(začetek veljavnosti)</w:t>
      </w:r>
    </w:p>
    <w:p w14:paraId="67033401" w14:textId="77777777" w:rsidR="00391AAF" w:rsidRDefault="00391AAF" w:rsidP="00391AAF">
      <w:pPr>
        <w:spacing w:line="240" w:lineRule="auto"/>
        <w:jc w:val="center"/>
        <w:rPr>
          <w:rFonts w:cs="Arial"/>
          <w:bCs/>
          <w:lang w:eastAsia="sl-SI"/>
        </w:rPr>
      </w:pPr>
    </w:p>
    <w:p w14:paraId="00EF0746" w14:textId="77777777" w:rsidR="00391AAF" w:rsidRDefault="00391AAF" w:rsidP="00391AAF">
      <w:pPr>
        <w:spacing w:line="288" w:lineRule="auto"/>
        <w:jc w:val="both"/>
        <w:rPr>
          <w:rFonts w:cs="Arial"/>
          <w:bCs/>
          <w:lang w:eastAsia="sl-SI"/>
        </w:rPr>
      </w:pPr>
      <w:r>
        <w:rPr>
          <w:rFonts w:cs="Arial"/>
          <w:bCs/>
          <w:lang w:eastAsia="sl-SI"/>
        </w:rPr>
        <w:t>Ta uredba začne veljati naslednji dan po objavi v Uradnem listu Republike Slovenije.</w:t>
      </w:r>
    </w:p>
    <w:p w14:paraId="6CF6B409" w14:textId="77777777" w:rsidR="00391AAF" w:rsidRDefault="00391AAF" w:rsidP="00391AAF">
      <w:pPr>
        <w:spacing w:line="288" w:lineRule="auto"/>
        <w:jc w:val="both"/>
        <w:rPr>
          <w:rFonts w:cs="Arial"/>
          <w:bCs/>
          <w:lang w:eastAsia="sl-SI"/>
        </w:rPr>
      </w:pPr>
    </w:p>
    <w:p w14:paraId="4F65B288" w14:textId="77777777" w:rsidR="00391AAF" w:rsidRDefault="00391AAF" w:rsidP="00391AAF">
      <w:pPr>
        <w:spacing w:line="240" w:lineRule="auto"/>
        <w:jc w:val="both"/>
        <w:rPr>
          <w:rFonts w:cs="Arial"/>
          <w:bCs/>
          <w:lang w:eastAsia="sl-SI"/>
        </w:rPr>
      </w:pPr>
    </w:p>
    <w:p w14:paraId="0B7EFB21" w14:textId="77777777" w:rsidR="00391AAF" w:rsidRDefault="00391AAF" w:rsidP="00391AAF">
      <w:pPr>
        <w:autoSpaceDE w:val="0"/>
        <w:autoSpaceDN w:val="0"/>
        <w:adjustRightInd w:val="0"/>
        <w:spacing w:line="288" w:lineRule="auto"/>
        <w:rPr>
          <w:rFonts w:cs="Arial"/>
          <w:color w:val="000000"/>
          <w:lang w:eastAsia="sl-SI"/>
        </w:rPr>
      </w:pPr>
      <w:r>
        <w:rPr>
          <w:rFonts w:cs="Arial"/>
          <w:lang w:eastAsia="ar-SA"/>
        </w:rPr>
        <w:t xml:space="preserve">Št. </w:t>
      </w:r>
    </w:p>
    <w:p w14:paraId="2174CDCC" w14:textId="77777777" w:rsidR="00391AAF" w:rsidRDefault="00391AAF" w:rsidP="00391AAF">
      <w:pPr>
        <w:suppressAutoHyphens/>
        <w:autoSpaceDE w:val="0"/>
        <w:autoSpaceDN w:val="0"/>
        <w:adjustRightInd w:val="0"/>
        <w:spacing w:line="288" w:lineRule="auto"/>
        <w:rPr>
          <w:rFonts w:cs="Arial"/>
          <w:lang w:eastAsia="ar-SA"/>
        </w:rPr>
      </w:pPr>
      <w:r>
        <w:rPr>
          <w:rFonts w:cs="Arial"/>
          <w:lang w:eastAsia="ar-SA"/>
        </w:rPr>
        <w:t xml:space="preserve">Ljubljana, </w:t>
      </w:r>
    </w:p>
    <w:p w14:paraId="1907D66A" w14:textId="77777777" w:rsidR="00391AAF" w:rsidRDefault="00391AAF" w:rsidP="00391AAF">
      <w:pPr>
        <w:suppressAutoHyphens/>
        <w:spacing w:line="288" w:lineRule="auto"/>
        <w:rPr>
          <w:rFonts w:cs="Arial"/>
          <w:color w:val="000000"/>
          <w:lang w:eastAsia="sl-SI"/>
        </w:rPr>
      </w:pPr>
      <w:r>
        <w:rPr>
          <w:rFonts w:cs="Arial"/>
          <w:lang w:eastAsia="ar-SA"/>
        </w:rPr>
        <w:t>EVA 2021-2430-0005</w:t>
      </w:r>
    </w:p>
    <w:p w14:paraId="5CB96909" w14:textId="77777777" w:rsidR="00391AAF" w:rsidRDefault="00391AAF" w:rsidP="00391AAF">
      <w:pPr>
        <w:suppressAutoHyphens/>
        <w:spacing w:line="240" w:lineRule="auto"/>
        <w:rPr>
          <w:rFonts w:cs="Arial"/>
          <w:lang w:eastAsia="ar-SA"/>
        </w:rPr>
      </w:pPr>
    </w:p>
    <w:p w14:paraId="4FFF77E1" w14:textId="77777777" w:rsidR="00391AAF" w:rsidRDefault="00391AAF" w:rsidP="00391AAF">
      <w:pPr>
        <w:suppressAutoHyphens/>
        <w:spacing w:line="240" w:lineRule="auto"/>
        <w:rPr>
          <w:rFonts w:cs="Arial"/>
          <w:lang w:eastAsia="ar-SA"/>
        </w:rPr>
      </w:pPr>
    </w:p>
    <w:p w14:paraId="16A6C503" w14:textId="77777777" w:rsidR="00391AAF" w:rsidRDefault="00391AAF" w:rsidP="00391AAF">
      <w:pPr>
        <w:suppressAutoHyphens/>
        <w:spacing w:line="240" w:lineRule="auto"/>
        <w:rPr>
          <w:rFonts w:cs="Arial"/>
          <w:lang w:eastAsia="ar-SA"/>
        </w:rPr>
      </w:pPr>
    </w:p>
    <w:p w14:paraId="16E0C881" w14:textId="77777777" w:rsidR="00391AAF" w:rsidRDefault="00391AAF" w:rsidP="00391AAF">
      <w:pPr>
        <w:suppressAutoHyphens/>
        <w:autoSpaceDE w:val="0"/>
        <w:autoSpaceDN w:val="0"/>
        <w:adjustRightInd w:val="0"/>
        <w:spacing w:line="288" w:lineRule="auto"/>
        <w:ind w:left="5664"/>
        <w:jc w:val="center"/>
        <w:rPr>
          <w:rFonts w:cs="Arial"/>
          <w:lang w:eastAsia="ar-SA"/>
        </w:rPr>
      </w:pPr>
      <w:r>
        <w:rPr>
          <w:rFonts w:cs="Arial"/>
          <w:lang w:eastAsia="ar-SA"/>
        </w:rPr>
        <w:t>Vlada Republike Slovenije</w:t>
      </w:r>
    </w:p>
    <w:p w14:paraId="4878AA1F" w14:textId="77777777" w:rsidR="00391AAF" w:rsidRDefault="00391AAF" w:rsidP="00391AAF">
      <w:pPr>
        <w:suppressAutoHyphens/>
        <w:autoSpaceDE w:val="0"/>
        <w:autoSpaceDN w:val="0"/>
        <w:adjustRightInd w:val="0"/>
        <w:spacing w:line="288" w:lineRule="auto"/>
        <w:ind w:left="5664"/>
        <w:jc w:val="center"/>
        <w:rPr>
          <w:rFonts w:cs="Arial"/>
          <w:lang w:eastAsia="ar-SA"/>
        </w:rPr>
      </w:pPr>
      <w:r>
        <w:rPr>
          <w:rFonts w:cs="Arial"/>
          <w:lang w:eastAsia="ar-SA"/>
        </w:rPr>
        <w:t>Janez Janša</w:t>
      </w:r>
    </w:p>
    <w:p w14:paraId="58233603" w14:textId="53CC90D5" w:rsidR="00391AAF" w:rsidRDefault="00963659" w:rsidP="00391AAF">
      <w:pPr>
        <w:suppressAutoHyphens/>
        <w:autoSpaceDE w:val="0"/>
        <w:autoSpaceDN w:val="0"/>
        <w:adjustRightInd w:val="0"/>
        <w:spacing w:line="288" w:lineRule="auto"/>
        <w:ind w:left="5664"/>
        <w:jc w:val="center"/>
        <w:rPr>
          <w:rFonts w:cs="Arial"/>
          <w:lang w:eastAsia="ar-SA"/>
        </w:rPr>
      </w:pPr>
      <w:r>
        <w:rPr>
          <w:rFonts w:cs="Arial"/>
          <w:lang w:eastAsia="ar-SA"/>
        </w:rPr>
        <w:t>p</w:t>
      </w:r>
      <w:r w:rsidR="00391AAF">
        <w:rPr>
          <w:rFonts w:cs="Arial"/>
          <w:lang w:eastAsia="ar-SA"/>
        </w:rPr>
        <w:t>redsednik</w:t>
      </w:r>
    </w:p>
    <w:p w14:paraId="59DBE742" w14:textId="77777777" w:rsidR="00391AAF" w:rsidRDefault="00391AAF" w:rsidP="00391AAF">
      <w:pPr>
        <w:spacing w:line="240" w:lineRule="auto"/>
        <w:outlineLvl w:val="0"/>
        <w:rPr>
          <w:rFonts w:cs="Arial"/>
          <w:b/>
          <w:lang w:eastAsia="sl-SI"/>
        </w:rPr>
      </w:pPr>
    </w:p>
    <w:p w14:paraId="6443A478" w14:textId="77777777" w:rsidR="00391AAF" w:rsidRDefault="00391AAF" w:rsidP="00391AAF">
      <w:pPr>
        <w:spacing w:line="240" w:lineRule="auto"/>
        <w:outlineLvl w:val="0"/>
        <w:rPr>
          <w:rFonts w:cs="Arial"/>
          <w:b/>
          <w:lang w:eastAsia="sl-SI"/>
        </w:rPr>
      </w:pPr>
    </w:p>
    <w:p w14:paraId="1209731A" w14:textId="77777777" w:rsidR="00391AAF" w:rsidRDefault="00391AAF" w:rsidP="00391AAF">
      <w:pPr>
        <w:spacing w:line="240" w:lineRule="auto"/>
        <w:outlineLvl w:val="0"/>
        <w:rPr>
          <w:rFonts w:cs="Arial"/>
          <w:b/>
          <w:lang w:eastAsia="sl-SI"/>
        </w:rPr>
      </w:pPr>
    </w:p>
    <w:p w14:paraId="0F916851" w14:textId="77777777" w:rsidR="00391AAF" w:rsidRDefault="00391AAF" w:rsidP="00391AAF">
      <w:pPr>
        <w:spacing w:line="240" w:lineRule="auto"/>
        <w:outlineLvl w:val="0"/>
        <w:rPr>
          <w:rFonts w:cs="Arial"/>
          <w:b/>
          <w:lang w:eastAsia="sl-SI"/>
        </w:rPr>
      </w:pPr>
    </w:p>
    <w:p w14:paraId="585BA3EC" w14:textId="77777777" w:rsidR="00391AAF" w:rsidRDefault="00391AAF" w:rsidP="00391AAF">
      <w:pPr>
        <w:spacing w:line="240" w:lineRule="auto"/>
        <w:outlineLvl w:val="0"/>
        <w:rPr>
          <w:rFonts w:cs="Arial"/>
          <w:b/>
          <w:lang w:eastAsia="sl-SI"/>
        </w:rPr>
      </w:pPr>
    </w:p>
    <w:p w14:paraId="4EAC6CED" w14:textId="77777777" w:rsidR="00391AAF" w:rsidRDefault="00391AAF" w:rsidP="00391AAF">
      <w:pPr>
        <w:spacing w:line="240" w:lineRule="auto"/>
        <w:outlineLvl w:val="0"/>
        <w:rPr>
          <w:rFonts w:cs="Arial"/>
          <w:b/>
          <w:lang w:eastAsia="sl-SI"/>
        </w:rPr>
      </w:pPr>
    </w:p>
    <w:p w14:paraId="47DB91EB" w14:textId="77777777" w:rsidR="00391AAF" w:rsidRDefault="00391AAF" w:rsidP="00391AAF">
      <w:pPr>
        <w:spacing w:line="240" w:lineRule="auto"/>
        <w:outlineLvl w:val="0"/>
        <w:rPr>
          <w:rFonts w:cs="Arial"/>
          <w:b/>
          <w:lang w:eastAsia="sl-SI"/>
        </w:rPr>
      </w:pPr>
    </w:p>
    <w:p w14:paraId="4D79CBB2" w14:textId="77777777" w:rsidR="00391AAF" w:rsidRDefault="00391AAF" w:rsidP="00391AAF">
      <w:pPr>
        <w:spacing w:line="240" w:lineRule="auto"/>
        <w:outlineLvl w:val="0"/>
        <w:rPr>
          <w:rFonts w:cs="Arial"/>
          <w:b/>
          <w:lang w:eastAsia="sl-SI"/>
        </w:rPr>
      </w:pPr>
    </w:p>
    <w:p w14:paraId="54885802" w14:textId="77777777" w:rsidR="00391AAF" w:rsidRDefault="00391AAF" w:rsidP="00391AAF">
      <w:pPr>
        <w:spacing w:line="240" w:lineRule="auto"/>
        <w:outlineLvl w:val="0"/>
        <w:rPr>
          <w:rFonts w:cs="Arial"/>
          <w:b/>
          <w:lang w:eastAsia="sl-SI"/>
        </w:rPr>
      </w:pPr>
    </w:p>
    <w:p w14:paraId="0DA53798" w14:textId="77777777" w:rsidR="00391AAF" w:rsidRDefault="00391AAF" w:rsidP="00391AAF">
      <w:pPr>
        <w:spacing w:line="240" w:lineRule="auto"/>
        <w:outlineLvl w:val="0"/>
        <w:rPr>
          <w:rFonts w:cs="Arial"/>
          <w:b/>
          <w:lang w:eastAsia="sl-SI"/>
        </w:rPr>
      </w:pPr>
    </w:p>
    <w:p w14:paraId="16528728" w14:textId="77777777" w:rsidR="00391AAF" w:rsidRDefault="00391AAF" w:rsidP="00391AAF">
      <w:pPr>
        <w:spacing w:line="240" w:lineRule="auto"/>
        <w:outlineLvl w:val="0"/>
        <w:rPr>
          <w:rFonts w:cs="Arial"/>
          <w:b/>
          <w:lang w:eastAsia="sl-SI"/>
        </w:rPr>
      </w:pPr>
    </w:p>
    <w:p w14:paraId="7717C133" w14:textId="77777777" w:rsidR="00EA0498" w:rsidRDefault="00EA0498" w:rsidP="007E54E6">
      <w:pPr>
        <w:spacing w:line="240" w:lineRule="auto"/>
        <w:outlineLvl w:val="0"/>
        <w:rPr>
          <w:rFonts w:cs="Arial"/>
          <w:b/>
          <w:lang w:eastAsia="sl-SI"/>
        </w:rPr>
      </w:pPr>
    </w:p>
    <w:p w14:paraId="655BC027" w14:textId="77777777" w:rsidR="00391AAF" w:rsidRDefault="00391AAF" w:rsidP="007E54E6">
      <w:pPr>
        <w:spacing w:line="240" w:lineRule="auto"/>
        <w:outlineLvl w:val="0"/>
        <w:rPr>
          <w:rFonts w:cs="Arial"/>
          <w:b/>
          <w:lang w:eastAsia="sl-SI"/>
        </w:rPr>
      </w:pPr>
    </w:p>
    <w:p w14:paraId="0BE7977A" w14:textId="77777777" w:rsidR="00391AAF" w:rsidRDefault="00391AAF" w:rsidP="007E54E6">
      <w:pPr>
        <w:spacing w:line="240" w:lineRule="auto"/>
        <w:outlineLvl w:val="0"/>
        <w:rPr>
          <w:rFonts w:cs="Arial"/>
          <w:b/>
          <w:lang w:eastAsia="sl-SI"/>
        </w:rPr>
      </w:pPr>
    </w:p>
    <w:p w14:paraId="4EAAC7BC" w14:textId="77777777" w:rsidR="00391AAF" w:rsidRDefault="00391AAF" w:rsidP="007E54E6">
      <w:pPr>
        <w:spacing w:line="240" w:lineRule="auto"/>
        <w:outlineLvl w:val="0"/>
        <w:rPr>
          <w:rFonts w:cs="Arial"/>
          <w:b/>
          <w:lang w:eastAsia="sl-SI"/>
        </w:rPr>
      </w:pPr>
    </w:p>
    <w:p w14:paraId="08BD5BC8" w14:textId="77777777" w:rsidR="00391AAF" w:rsidRDefault="00391AAF" w:rsidP="007E54E6">
      <w:pPr>
        <w:spacing w:line="240" w:lineRule="auto"/>
        <w:outlineLvl w:val="0"/>
        <w:rPr>
          <w:rFonts w:cs="Arial"/>
          <w:b/>
          <w:lang w:eastAsia="sl-SI"/>
        </w:rPr>
      </w:pPr>
    </w:p>
    <w:p w14:paraId="6376AB05" w14:textId="77777777" w:rsidR="00391AAF" w:rsidRDefault="00391AAF" w:rsidP="007E54E6">
      <w:pPr>
        <w:spacing w:line="240" w:lineRule="auto"/>
        <w:outlineLvl w:val="0"/>
        <w:rPr>
          <w:rFonts w:cs="Arial"/>
          <w:b/>
          <w:lang w:eastAsia="sl-SI"/>
        </w:rPr>
      </w:pPr>
    </w:p>
    <w:p w14:paraId="5A8BD4D4" w14:textId="77777777" w:rsidR="00391AAF" w:rsidRDefault="00391AAF" w:rsidP="007E54E6">
      <w:pPr>
        <w:spacing w:line="240" w:lineRule="auto"/>
        <w:outlineLvl w:val="0"/>
        <w:rPr>
          <w:rFonts w:cs="Arial"/>
          <w:b/>
          <w:lang w:eastAsia="sl-SI"/>
        </w:rPr>
      </w:pPr>
    </w:p>
    <w:p w14:paraId="4170A614" w14:textId="77777777" w:rsidR="00391AAF" w:rsidRDefault="00391AAF" w:rsidP="007E54E6">
      <w:pPr>
        <w:spacing w:line="240" w:lineRule="auto"/>
        <w:outlineLvl w:val="0"/>
        <w:rPr>
          <w:rFonts w:cs="Arial"/>
          <w:b/>
          <w:lang w:eastAsia="sl-SI"/>
        </w:rPr>
      </w:pPr>
    </w:p>
    <w:p w14:paraId="19A017AC" w14:textId="77777777" w:rsidR="00391AAF" w:rsidRDefault="00391AAF" w:rsidP="007E54E6">
      <w:pPr>
        <w:spacing w:line="240" w:lineRule="auto"/>
        <w:outlineLvl w:val="0"/>
        <w:rPr>
          <w:rFonts w:cs="Arial"/>
          <w:b/>
          <w:lang w:eastAsia="sl-SI"/>
        </w:rPr>
      </w:pPr>
    </w:p>
    <w:p w14:paraId="2DB8E31F" w14:textId="77777777" w:rsidR="00EA0498" w:rsidRDefault="00EA0498" w:rsidP="007E54E6">
      <w:pPr>
        <w:spacing w:line="240" w:lineRule="auto"/>
        <w:outlineLvl w:val="0"/>
        <w:rPr>
          <w:rFonts w:cs="Arial"/>
          <w:b/>
          <w:lang w:eastAsia="sl-SI"/>
        </w:rPr>
      </w:pPr>
    </w:p>
    <w:p w14:paraId="28EDFA99" w14:textId="77777777" w:rsidR="007E54E6" w:rsidRDefault="007E54E6" w:rsidP="007E54E6">
      <w:pPr>
        <w:spacing w:line="24" w:lineRule="atLeast"/>
        <w:jc w:val="both"/>
        <w:rPr>
          <w:rFonts w:cs="Arial"/>
          <w:b/>
          <w:lang w:eastAsia="sl-SI"/>
        </w:rPr>
      </w:pPr>
      <w:r w:rsidRPr="003427A5">
        <w:rPr>
          <w:rFonts w:cs="Arial"/>
          <w:b/>
          <w:lang w:eastAsia="sl-SI"/>
        </w:rPr>
        <w:t>OBRAZLO</w:t>
      </w:r>
      <w:r w:rsidR="00E254E6">
        <w:rPr>
          <w:rFonts w:cs="Arial"/>
          <w:b/>
          <w:lang w:eastAsia="sl-SI"/>
        </w:rPr>
        <w:t>Ž</w:t>
      </w:r>
      <w:r w:rsidRPr="003427A5">
        <w:rPr>
          <w:rFonts w:cs="Arial"/>
          <w:b/>
          <w:lang w:eastAsia="sl-SI"/>
        </w:rPr>
        <w:t>ITEV</w:t>
      </w:r>
    </w:p>
    <w:p w14:paraId="4CB38D5B" w14:textId="77777777" w:rsidR="005D36EB" w:rsidRDefault="005D36EB" w:rsidP="007E54E6">
      <w:pPr>
        <w:spacing w:line="24" w:lineRule="atLeast"/>
        <w:jc w:val="both"/>
        <w:rPr>
          <w:rFonts w:cs="Arial"/>
          <w:lang w:eastAsia="sl-SI"/>
        </w:rPr>
      </w:pPr>
    </w:p>
    <w:p w14:paraId="1F42CABB" w14:textId="77777777" w:rsidR="005D36EB" w:rsidRDefault="005D36EB" w:rsidP="007E54E6">
      <w:pPr>
        <w:spacing w:line="24" w:lineRule="atLeast"/>
        <w:jc w:val="both"/>
        <w:rPr>
          <w:rFonts w:cs="Arial"/>
          <w:lang w:eastAsia="sl-SI"/>
        </w:rPr>
      </w:pPr>
    </w:p>
    <w:p w14:paraId="60682646" w14:textId="77777777" w:rsidR="007E54E6" w:rsidRPr="001C6E9A" w:rsidRDefault="007E54E6" w:rsidP="007E54E6">
      <w:pPr>
        <w:spacing w:line="24" w:lineRule="atLeast"/>
        <w:jc w:val="both"/>
        <w:rPr>
          <w:rFonts w:cs="Arial"/>
          <w:b/>
          <w:lang w:eastAsia="sl-SI"/>
        </w:rPr>
      </w:pPr>
      <w:r w:rsidRPr="001C6E9A">
        <w:rPr>
          <w:rFonts w:cs="Arial"/>
          <w:b/>
          <w:lang w:eastAsia="sl-SI"/>
        </w:rPr>
        <w:t>I.</w:t>
      </w:r>
      <w:r w:rsidRPr="001C6E9A">
        <w:rPr>
          <w:rFonts w:cs="Arial"/>
          <w:b/>
          <w:lang w:eastAsia="sl-SI"/>
        </w:rPr>
        <w:tab/>
        <w:t>UVOD</w:t>
      </w:r>
    </w:p>
    <w:p w14:paraId="16912A11" w14:textId="77777777" w:rsidR="007E54E6" w:rsidRPr="0081154F" w:rsidRDefault="007E54E6" w:rsidP="007E54E6">
      <w:pPr>
        <w:spacing w:line="24" w:lineRule="atLeast"/>
        <w:jc w:val="both"/>
        <w:rPr>
          <w:rFonts w:cs="Arial"/>
          <w:lang w:eastAsia="sl-SI"/>
        </w:rPr>
      </w:pPr>
    </w:p>
    <w:p w14:paraId="5A079176" w14:textId="77777777" w:rsidR="007E54E6" w:rsidRPr="001C6E9A" w:rsidRDefault="007E54E6" w:rsidP="007E54E6">
      <w:pPr>
        <w:spacing w:line="24" w:lineRule="atLeast"/>
        <w:jc w:val="both"/>
        <w:rPr>
          <w:rFonts w:cs="Arial"/>
          <w:b/>
          <w:lang w:eastAsia="sl-SI"/>
        </w:rPr>
      </w:pPr>
      <w:r w:rsidRPr="001C6E9A">
        <w:rPr>
          <w:rFonts w:cs="Arial"/>
          <w:b/>
          <w:lang w:eastAsia="sl-SI"/>
        </w:rPr>
        <w:t xml:space="preserve">1. Pravna podlaga </w:t>
      </w:r>
    </w:p>
    <w:p w14:paraId="6F643A0D" w14:textId="77777777" w:rsidR="007E54E6" w:rsidRPr="0081154F" w:rsidRDefault="007E54E6" w:rsidP="007E54E6">
      <w:pPr>
        <w:spacing w:line="24" w:lineRule="atLeast"/>
        <w:jc w:val="both"/>
        <w:rPr>
          <w:rFonts w:cs="Arial"/>
          <w:lang w:eastAsia="sl-SI"/>
        </w:rPr>
      </w:pPr>
    </w:p>
    <w:p w14:paraId="7313EAEC" w14:textId="47AAD92A" w:rsidR="007B3DBA" w:rsidRDefault="007B3DBA" w:rsidP="007B3DBA">
      <w:pPr>
        <w:spacing w:line="240" w:lineRule="exact"/>
        <w:contextualSpacing/>
        <w:jc w:val="both"/>
        <w:rPr>
          <w:highlight w:val="yellow"/>
        </w:rPr>
      </w:pPr>
      <w:r w:rsidRPr="009B703A">
        <w:t>Energetski zakon (</w:t>
      </w:r>
      <w:r w:rsidRPr="009B703A">
        <w:rPr>
          <w:rFonts w:eastAsia="Calibri" w:cs="Arial"/>
          <w:szCs w:val="20"/>
        </w:rPr>
        <w:t>Uradni</w:t>
      </w:r>
      <w:r w:rsidRPr="00E82141">
        <w:rPr>
          <w:rFonts w:eastAsia="Calibri" w:cs="Arial"/>
          <w:szCs w:val="20"/>
        </w:rPr>
        <w:t xml:space="preserve"> list RS, št. 60/19 – uradno prečiščeno besedilo, 65/20 in 158/20 – ZURE)</w:t>
      </w:r>
      <w:r>
        <w:rPr>
          <w:rFonts w:eastAsia="Calibri" w:cs="Arial"/>
          <w:szCs w:val="20"/>
        </w:rPr>
        <w:t xml:space="preserve"> v 380. členu določa, da morajo distributerji plinastih in tekočih goriv za promet dati v posameznem letu na trg </w:t>
      </w:r>
      <w:proofErr w:type="spellStart"/>
      <w:r>
        <w:rPr>
          <w:rFonts w:eastAsia="Calibri" w:cs="Arial"/>
          <w:szCs w:val="20"/>
        </w:rPr>
        <w:t>biogoriva</w:t>
      </w:r>
      <w:proofErr w:type="spellEnd"/>
      <w:r>
        <w:rPr>
          <w:rFonts w:eastAsia="Calibri" w:cs="Arial"/>
          <w:szCs w:val="20"/>
        </w:rPr>
        <w:t xml:space="preserve"> ali druge obnovljive vire energije za promet v predpisanem deležu. Druga točka 380. člena Energetskega zakona določa, da </w:t>
      </w:r>
      <w:r w:rsidR="00963659">
        <w:rPr>
          <w:rFonts w:eastAsia="Calibri" w:cs="Arial"/>
          <w:szCs w:val="20"/>
        </w:rPr>
        <w:t>v</w:t>
      </w:r>
      <w:r>
        <w:rPr>
          <w:rFonts w:eastAsia="Calibri" w:cs="Arial"/>
          <w:szCs w:val="20"/>
        </w:rPr>
        <w:t xml:space="preserve">lada z uredbo določi mehanizme in obveznosti za izpolnjevanje te zahteve. </w:t>
      </w:r>
    </w:p>
    <w:p w14:paraId="5E2856A5" w14:textId="77777777" w:rsidR="007B3DBA" w:rsidRDefault="007B3DBA" w:rsidP="007B3DBA">
      <w:pPr>
        <w:spacing w:line="240" w:lineRule="exact"/>
        <w:contextualSpacing/>
        <w:jc w:val="both"/>
        <w:rPr>
          <w:highlight w:val="yellow"/>
        </w:rPr>
      </w:pPr>
    </w:p>
    <w:p w14:paraId="4C90DBF8" w14:textId="77777777" w:rsidR="007E54E6" w:rsidRPr="0081154F" w:rsidRDefault="007E54E6" w:rsidP="007E54E6">
      <w:pPr>
        <w:jc w:val="both"/>
        <w:rPr>
          <w:rFonts w:cs="Arial"/>
          <w:lang w:eastAsia="sl-SI"/>
        </w:rPr>
      </w:pPr>
    </w:p>
    <w:p w14:paraId="6C53A5BD" w14:textId="77777777" w:rsidR="007E54E6" w:rsidRPr="001C6E9A" w:rsidRDefault="007E54E6" w:rsidP="007E54E6">
      <w:pPr>
        <w:spacing w:line="24" w:lineRule="atLeast"/>
        <w:jc w:val="both"/>
        <w:rPr>
          <w:rFonts w:cs="Arial"/>
          <w:b/>
          <w:lang w:eastAsia="sl-SI"/>
        </w:rPr>
      </w:pPr>
      <w:r w:rsidRPr="001C6E9A">
        <w:rPr>
          <w:rFonts w:cs="Arial"/>
          <w:b/>
          <w:lang w:eastAsia="sl-SI"/>
        </w:rPr>
        <w:t xml:space="preserve">2. Rok za izdajo </w:t>
      </w:r>
      <w:r w:rsidR="008948AE" w:rsidRPr="001C6E9A">
        <w:rPr>
          <w:rFonts w:cs="Arial"/>
          <w:b/>
          <w:lang w:eastAsia="sl-SI"/>
        </w:rPr>
        <w:t>uredbe</w:t>
      </w:r>
    </w:p>
    <w:p w14:paraId="600A2C09" w14:textId="77777777" w:rsidR="007E54E6" w:rsidRPr="0081154F" w:rsidRDefault="007E54E6" w:rsidP="007E54E6">
      <w:pPr>
        <w:spacing w:line="24" w:lineRule="atLeast"/>
        <w:jc w:val="both"/>
        <w:rPr>
          <w:rFonts w:cs="Arial"/>
          <w:lang w:eastAsia="sl-SI"/>
        </w:rPr>
      </w:pPr>
    </w:p>
    <w:p w14:paraId="01483029" w14:textId="77777777" w:rsidR="007E54E6" w:rsidRPr="0081154F" w:rsidRDefault="008948AE" w:rsidP="007E54E6">
      <w:pPr>
        <w:spacing w:line="24" w:lineRule="atLeast"/>
        <w:jc w:val="both"/>
        <w:rPr>
          <w:rFonts w:cs="Arial"/>
          <w:lang w:eastAsia="sl-SI"/>
        </w:rPr>
      </w:pPr>
      <w:r>
        <w:rPr>
          <w:rFonts w:cs="Arial"/>
          <w:lang w:eastAsia="sl-SI"/>
        </w:rPr>
        <w:t xml:space="preserve">Za izdajo uredbe ni bil predpisan rok. </w:t>
      </w:r>
    </w:p>
    <w:p w14:paraId="496C5508" w14:textId="77777777" w:rsidR="007E54E6" w:rsidRPr="0081154F" w:rsidRDefault="007E54E6" w:rsidP="007E54E6">
      <w:pPr>
        <w:spacing w:line="24" w:lineRule="atLeast"/>
        <w:jc w:val="both"/>
        <w:rPr>
          <w:rFonts w:cs="Arial"/>
          <w:lang w:eastAsia="sl-SI"/>
        </w:rPr>
      </w:pPr>
    </w:p>
    <w:p w14:paraId="5C070054" w14:textId="77777777" w:rsidR="007E54E6" w:rsidRPr="001C6E9A" w:rsidRDefault="007E54E6" w:rsidP="007E54E6">
      <w:pPr>
        <w:spacing w:line="24" w:lineRule="atLeast"/>
        <w:jc w:val="both"/>
        <w:rPr>
          <w:rFonts w:cs="Arial"/>
          <w:b/>
          <w:lang w:eastAsia="sl-SI"/>
        </w:rPr>
      </w:pPr>
      <w:r w:rsidRPr="001C6E9A">
        <w:rPr>
          <w:rFonts w:cs="Arial"/>
          <w:b/>
          <w:lang w:eastAsia="sl-SI"/>
        </w:rPr>
        <w:t>3. Splošna obrazložitev</w:t>
      </w:r>
    </w:p>
    <w:p w14:paraId="13A47574" w14:textId="77777777" w:rsidR="007E54E6" w:rsidRPr="0081154F" w:rsidRDefault="007E54E6" w:rsidP="007E54E6">
      <w:pPr>
        <w:spacing w:line="24" w:lineRule="atLeast"/>
        <w:jc w:val="both"/>
        <w:rPr>
          <w:rFonts w:cs="Arial"/>
          <w:lang w:eastAsia="sl-SI"/>
        </w:rPr>
      </w:pPr>
    </w:p>
    <w:p w14:paraId="273A9BF0" w14:textId="5D3BD890" w:rsidR="007B3DBA" w:rsidRPr="00C744E6" w:rsidRDefault="007B3DBA" w:rsidP="007B3DBA">
      <w:pPr>
        <w:spacing w:line="240" w:lineRule="exact"/>
        <w:contextualSpacing/>
        <w:jc w:val="both"/>
        <w:rPr>
          <w:rFonts w:eastAsia="Calibri" w:cs="Arial"/>
          <w:szCs w:val="20"/>
        </w:rPr>
      </w:pPr>
      <w:r>
        <w:t xml:space="preserve">Obveznost dajanja </w:t>
      </w:r>
      <w:proofErr w:type="spellStart"/>
      <w:r>
        <w:t>biogoriv</w:t>
      </w:r>
      <w:proofErr w:type="spellEnd"/>
      <w:r>
        <w:t xml:space="preserve"> ali </w:t>
      </w:r>
      <w:r w:rsidR="00A7588D">
        <w:t xml:space="preserve">drugih obnovljivih virov energije za </w:t>
      </w:r>
      <w:r>
        <w:t xml:space="preserve">promet </w:t>
      </w:r>
      <w:r w:rsidR="00A7588D">
        <w:t xml:space="preserve">na trg </w:t>
      </w:r>
      <w:r>
        <w:t xml:space="preserve">v predpisanem deležu </w:t>
      </w:r>
      <w:r w:rsidRPr="00C744E6">
        <w:rPr>
          <w:rFonts w:eastAsia="Calibri" w:cs="Arial"/>
          <w:szCs w:val="20"/>
        </w:rPr>
        <w:t>ureja veljavna Uredba o obnovljivih virih energije v prometu (Uradni list RS, št. </w:t>
      </w:r>
      <w:hyperlink r:id="rId11" w:tgtFrame="_blank" w:tooltip="Uredba o obnovljivih virih energije v prometu" w:history="1">
        <w:r w:rsidRPr="00C744E6">
          <w:rPr>
            <w:rFonts w:eastAsia="Calibri"/>
            <w:szCs w:val="20"/>
          </w:rPr>
          <w:t>64/16</w:t>
        </w:r>
      </w:hyperlink>
      <w:r w:rsidRPr="00C744E6">
        <w:rPr>
          <w:rFonts w:eastAsia="Calibri" w:cs="Arial"/>
          <w:szCs w:val="20"/>
        </w:rPr>
        <w:t>), ki v 4. členu določa, da morajo distributerji goriv dosegati predpisan</w:t>
      </w:r>
      <w:r w:rsidR="00963659">
        <w:rPr>
          <w:rFonts w:eastAsia="Calibri" w:cs="Arial"/>
          <w:szCs w:val="20"/>
        </w:rPr>
        <w:t>i</w:t>
      </w:r>
      <w:r w:rsidRPr="00C744E6">
        <w:rPr>
          <w:rFonts w:eastAsia="Calibri" w:cs="Arial"/>
          <w:szCs w:val="20"/>
        </w:rPr>
        <w:t xml:space="preserve"> energijski delež obnovljivih virov energije v prometu v posamičnih letih 2017, 2018, 2019 </w:t>
      </w:r>
      <w:r w:rsidR="00963659">
        <w:rPr>
          <w:rFonts w:eastAsia="Calibri" w:cs="Arial"/>
          <w:szCs w:val="20"/>
        </w:rPr>
        <w:t>in</w:t>
      </w:r>
      <w:r w:rsidR="00963659" w:rsidRPr="00C744E6">
        <w:rPr>
          <w:rFonts w:eastAsia="Calibri" w:cs="Arial"/>
          <w:szCs w:val="20"/>
        </w:rPr>
        <w:t xml:space="preserve"> </w:t>
      </w:r>
      <w:r w:rsidRPr="00C744E6">
        <w:rPr>
          <w:rFonts w:eastAsia="Calibri" w:cs="Arial"/>
          <w:szCs w:val="20"/>
        </w:rPr>
        <w:t xml:space="preserve">2020.  </w:t>
      </w:r>
    </w:p>
    <w:p w14:paraId="0E7D13E4" w14:textId="77777777" w:rsidR="007B3DBA" w:rsidRPr="00C744E6" w:rsidRDefault="007B3DBA" w:rsidP="007B3DBA">
      <w:pPr>
        <w:spacing w:line="240" w:lineRule="exact"/>
        <w:contextualSpacing/>
        <w:jc w:val="both"/>
        <w:rPr>
          <w:rFonts w:eastAsia="Calibri" w:cs="Arial"/>
          <w:szCs w:val="20"/>
        </w:rPr>
      </w:pPr>
    </w:p>
    <w:p w14:paraId="6F70D32A" w14:textId="7F58161D" w:rsidR="007B3DBA" w:rsidRDefault="007B3DBA" w:rsidP="00AD6508">
      <w:pPr>
        <w:spacing w:line="276" w:lineRule="auto"/>
        <w:contextualSpacing/>
        <w:jc w:val="both"/>
      </w:pPr>
      <w:r w:rsidRPr="00C744E6">
        <w:rPr>
          <w:rFonts w:eastAsia="Calibri" w:cs="Arial"/>
          <w:szCs w:val="20"/>
        </w:rPr>
        <w:t xml:space="preserve">Direktiva (EU) 2018/2001 Evropskega parlamenta in Sveta z dne 11. decembra 2018 o spodbujanju uporabe energije iz obnovljivih virov </w:t>
      </w:r>
      <w:r>
        <w:rPr>
          <w:rFonts w:eastAsia="Calibri" w:cs="Arial"/>
          <w:szCs w:val="20"/>
        </w:rPr>
        <w:t>v 25. členu določa, da morajo države članice zagotoviti, da delež</w:t>
      </w:r>
      <w:r>
        <w:t xml:space="preserve"> energije iz obnovljivih virov v okviru končne porabe energije v prometnem sektorju do leta 2030 doseže vsaj 14 %.</w:t>
      </w:r>
    </w:p>
    <w:p w14:paraId="5661DB15" w14:textId="77777777" w:rsidR="007B3DBA" w:rsidRDefault="007B3DBA" w:rsidP="007B3DBA">
      <w:pPr>
        <w:spacing w:line="240" w:lineRule="exact"/>
        <w:contextualSpacing/>
        <w:jc w:val="both"/>
      </w:pPr>
    </w:p>
    <w:p w14:paraId="031E92F8" w14:textId="589E10D1" w:rsidR="007B3DBA" w:rsidRPr="00C744E6" w:rsidRDefault="007B3DBA" w:rsidP="007B3DBA">
      <w:pPr>
        <w:spacing w:line="276" w:lineRule="auto"/>
        <w:contextualSpacing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Predmetna direktiva je v postopku prenosa v n</w:t>
      </w:r>
      <w:r w:rsidR="00963659">
        <w:rPr>
          <w:rFonts w:eastAsia="Calibri" w:cs="Arial"/>
          <w:szCs w:val="20"/>
        </w:rPr>
        <w:t>otranj</w:t>
      </w:r>
      <w:r>
        <w:rPr>
          <w:rFonts w:eastAsia="Calibri" w:cs="Arial"/>
          <w:szCs w:val="20"/>
        </w:rPr>
        <w:t xml:space="preserve">i pravni red. Ker bo v </w:t>
      </w:r>
      <w:r w:rsidR="00963659">
        <w:rPr>
          <w:rFonts w:eastAsia="Calibri" w:cs="Arial"/>
          <w:szCs w:val="20"/>
        </w:rPr>
        <w:t>čas</w:t>
      </w:r>
      <w:r>
        <w:rPr>
          <w:rFonts w:eastAsia="Calibri" w:cs="Arial"/>
          <w:szCs w:val="20"/>
        </w:rPr>
        <w:t xml:space="preserve">u do sprejetja nove zakonodaje na področju obnovljivih virov energije, ki bo prenovila mehanizme za doseganje deležev obnovljivih virov energije v prometu, </w:t>
      </w:r>
      <w:r w:rsidR="00963659">
        <w:rPr>
          <w:rFonts w:eastAsia="Calibri" w:cs="Arial"/>
          <w:szCs w:val="20"/>
        </w:rPr>
        <w:t>nastala</w:t>
      </w:r>
      <w:r>
        <w:rPr>
          <w:rFonts w:eastAsia="Calibri" w:cs="Arial"/>
          <w:szCs w:val="20"/>
        </w:rPr>
        <w:t xml:space="preserve"> pravn</w:t>
      </w:r>
      <w:r w:rsidR="00963659">
        <w:rPr>
          <w:rFonts w:eastAsia="Calibri" w:cs="Arial"/>
          <w:szCs w:val="20"/>
        </w:rPr>
        <w:t>a</w:t>
      </w:r>
      <w:r>
        <w:rPr>
          <w:rFonts w:eastAsia="Calibri" w:cs="Arial"/>
          <w:szCs w:val="20"/>
        </w:rPr>
        <w:t xml:space="preserve"> praznin</w:t>
      </w:r>
      <w:r w:rsidR="00963659">
        <w:rPr>
          <w:rFonts w:eastAsia="Calibri" w:cs="Arial"/>
          <w:szCs w:val="20"/>
        </w:rPr>
        <w:t>a</w:t>
      </w:r>
      <w:r>
        <w:rPr>
          <w:rFonts w:eastAsia="Calibri" w:cs="Arial"/>
          <w:szCs w:val="20"/>
        </w:rPr>
        <w:t xml:space="preserve">, je nujno </w:t>
      </w:r>
      <w:r w:rsidR="00481831">
        <w:rPr>
          <w:rFonts w:eastAsia="Calibri" w:cs="Arial"/>
          <w:szCs w:val="20"/>
        </w:rPr>
        <w:t>potrebno</w:t>
      </w:r>
      <w:r w:rsidR="00963659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 xml:space="preserve">zagotoviti </w:t>
      </w:r>
      <w:r w:rsidR="00963659">
        <w:rPr>
          <w:rFonts w:eastAsia="Calibri" w:cs="Arial"/>
          <w:szCs w:val="20"/>
        </w:rPr>
        <w:t>neprekinjen</w:t>
      </w:r>
      <w:r>
        <w:rPr>
          <w:rFonts w:eastAsia="Calibri" w:cs="Arial"/>
          <w:szCs w:val="20"/>
        </w:rPr>
        <w:t>o</w:t>
      </w:r>
      <w:r w:rsidR="00963659">
        <w:rPr>
          <w:rFonts w:eastAsia="Calibri" w:cs="Arial"/>
          <w:szCs w:val="20"/>
        </w:rPr>
        <w:t xml:space="preserve"> izpolnjevanje</w:t>
      </w:r>
      <w:r>
        <w:rPr>
          <w:rFonts w:eastAsia="Calibri" w:cs="Arial"/>
          <w:szCs w:val="20"/>
        </w:rPr>
        <w:t xml:space="preserve"> obveznosti doseganja predpisanega energetskega deleža obnovljivih virov energije tudi po letu 2020 in posledično dodati v okvir 4. člena Uredbe o obnovljivih virih energije obveznost </w:t>
      </w:r>
      <w:proofErr w:type="spellStart"/>
      <w:r w:rsidR="00435E8E">
        <w:rPr>
          <w:rFonts w:eastAsia="Calibri" w:cs="Arial"/>
          <w:szCs w:val="20"/>
        </w:rPr>
        <w:t>namešavanja</w:t>
      </w:r>
      <w:proofErr w:type="spellEnd"/>
      <w:r w:rsidR="00435E8E">
        <w:rPr>
          <w:rFonts w:eastAsia="Calibri" w:cs="Arial"/>
          <w:szCs w:val="20"/>
        </w:rPr>
        <w:t xml:space="preserve"> v </w:t>
      </w:r>
      <w:r>
        <w:rPr>
          <w:rFonts w:eastAsia="Calibri" w:cs="Arial"/>
          <w:szCs w:val="20"/>
        </w:rPr>
        <w:t xml:space="preserve">letu 2021. </w:t>
      </w:r>
    </w:p>
    <w:p w14:paraId="46F8DB82" w14:textId="77777777" w:rsidR="007E54E6" w:rsidRDefault="007E54E6" w:rsidP="007E54E6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lang w:eastAsia="sl-SI"/>
        </w:rPr>
      </w:pPr>
    </w:p>
    <w:p w14:paraId="5409D289" w14:textId="77777777" w:rsidR="007E54E6" w:rsidRPr="00CD6BAA" w:rsidRDefault="007E54E6" w:rsidP="007E54E6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lang w:eastAsia="sl-SI"/>
        </w:rPr>
      </w:pPr>
    </w:p>
    <w:p w14:paraId="17DEA71E" w14:textId="77777777" w:rsidR="007E54E6" w:rsidRPr="001C6E9A" w:rsidRDefault="007E54E6" w:rsidP="007E54E6">
      <w:pPr>
        <w:autoSpaceDE w:val="0"/>
        <w:autoSpaceDN w:val="0"/>
        <w:adjustRightInd w:val="0"/>
        <w:spacing w:line="288" w:lineRule="auto"/>
        <w:ind w:left="360" w:hanging="360"/>
        <w:jc w:val="both"/>
        <w:rPr>
          <w:rFonts w:cs="Arial"/>
          <w:b/>
          <w:bCs/>
          <w:color w:val="000000"/>
          <w:lang w:eastAsia="sl-SI"/>
        </w:rPr>
      </w:pPr>
      <w:r w:rsidRPr="001C6E9A">
        <w:rPr>
          <w:rFonts w:cs="Arial"/>
          <w:b/>
          <w:color w:val="000000"/>
          <w:lang w:eastAsia="sl-SI"/>
        </w:rPr>
        <w:t>4.</w:t>
      </w:r>
      <w:r w:rsidRPr="001C6E9A">
        <w:rPr>
          <w:rFonts w:cs="Arial"/>
          <w:b/>
          <w:color w:val="000000"/>
          <w:lang w:eastAsia="sl-SI"/>
        </w:rPr>
        <w:tab/>
      </w:r>
      <w:r w:rsidRPr="001C6E9A">
        <w:rPr>
          <w:rFonts w:cs="Arial"/>
          <w:b/>
          <w:bCs/>
          <w:color w:val="000000"/>
          <w:lang w:eastAsia="sl-SI"/>
        </w:rPr>
        <w:t>Predstavitev presoje posledic na posameznem področju</w:t>
      </w:r>
    </w:p>
    <w:p w14:paraId="53BDD91A" w14:textId="77777777" w:rsidR="007E54E6" w:rsidRPr="00CD6BAA" w:rsidRDefault="007E54E6" w:rsidP="007E54E6">
      <w:pPr>
        <w:autoSpaceDE w:val="0"/>
        <w:autoSpaceDN w:val="0"/>
        <w:adjustRightInd w:val="0"/>
        <w:spacing w:line="120" w:lineRule="auto"/>
        <w:ind w:left="357" w:hanging="357"/>
        <w:jc w:val="both"/>
        <w:rPr>
          <w:rFonts w:cs="Arial"/>
          <w:bCs/>
          <w:color w:val="000000"/>
          <w:u w:val="single"/>
          <w:lang w:eastAsia="sl-SI"/>
        </w:rPr>
      </w:pPr>
    </w:p>
    <w:p w14:paraId="353EA4EB" w14:textId="07B86D71" w:rsidR="007E54E6" w:rsidRDefault="007B3DBA" w:rsidP="007B3DBA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lang w:eastAsia="sl-SI"/>
        </w:rPr>
      </w:pPr>
      <w:r>
        <w:rPr>
          <w:rFonts w:cs="Arial"/>
          <w:color w:val="000000"/>
          <w:lang w:eastAsia="sl-SI"/>
        </w:rPr>
        <w:t xml:space="preserve">Predlagana sprememba preprečuje pravno praznino na področju obveznosti doseganja deležev obnovljivih virov energije v prometu v letu 2021, </w:t>
      </w:r>
      <w:r w:rsidR="009041E5">
        <w:rPr>
          <w:rFonts w:cs="Arial"/>
          <w:color w:val="000000"/>
          <w:lang w:eastAsia="sl-SI"/>
        </w:rPr>
        <w:t>ki bo nastala do sprejetja nove zakonodaje na področju obnovljivih virov energije. Rok za prenos direktive v slovenski pravni red je junij 2021.</w:t>
      </w:r>
    </w:p>
    <w:p w14:paraId="3F49A97B" w14:textId="77777777" w:rsidR="007B3DBA" w:rsidRDefault="007B3DBA" w:rsidP="007E54E6">
      <w:pPr>
        <w:autoSpaceDE w:val="0"/>
        <w:autoSpaceDN w:val="0"/>
        <w:adjustRightInd w:val="0"/>
        <w:spacing w:line="288" w:lineRule="auto"/>
        <w:rPr>
          <w:rFonts w:cs="Arial"/>
          <w:color w:val="000000"/>
          <w:lang w:eastAsia="sl-SI"/>
        </w:rPr>
      </w:pPr>
    </w:p>
    <w:p w14:paraId="07F7B2EC" w14:textId="77777777" w:rsidR="007B3DBA" w:rsidRDefault="007B3DBA" w:rsidP="007E54E6">
      <w:pPr>
        <w:autoSpaceDE w:val="0"/>
        <w:autoSpaceDN w:val="0"/>
        <w:adjustRightInd w:val="0"/>
        <w:spacing w:line="288" w:lineRule="auto"/>
        <w:rPr>
          <w:rFonts w:cs="Arial"/>
          <w:color w:val="000000"/>
          <w:lang w:eastAsia="sl-SI"/>
        </w:rPr>
      </w:pPr>
    </w:p>
    <w:p w14:paraId="4497B60A" w14:textId="77777777" w:rsidR="007E54E6" w:rsidRPr="001C6E9A" w:rsidRDefault="007E54E6" w:rsidP="007E54E6">
      <w:pPr>
        <w:autoSpaceDE w:val="0"/>
        <w:autoSpaceDN w:val="0"/>
        <w:adjustRightInd w:val="0"/>
        <w:spacing w:line="288" w:lineRule="auto"/>
        <w:rPr>
          <w:rFonts w:cs="Arial"/>
          <w:b/>
          <w:bCs/>
          <w:color w:val="000000"/>
          <w:lang w:eastAsia="sl-SI"/>
        </w:rPr>
      </w:pPr>
      <w:r w:rsidRPr="001C6E9A">
        <w:rPr>
          <w:rFonts w:cs="Arial"/>
          <w:b/>
          <w:color w:val="000000"/>
          <w:lang w:eastAsia="sl-SI"/>
        </w:rPr>
        <w:t xml:space="preserve">5. </w:t>
      </w:r>
      <w:r w:rsidRPr="001C6E9A">
        <w:rPr>
          <w:rFonts w:cs="Arial"/>
          <w:b/>
          <w:bCs/>
          <w:color w:val="000000"/>
          <w:lang w:eastAsia="sl-SI"/>
        </w:rPr>
        <w:t>Izjava o skladnosti predloga predpisa s pravnimi akti EU in korelacijska tabela</w:t>
      </w:r>
    </w:p>
    <w:p w14:paraId="0B2F8137" w14:textId="77777777" w:rsidR="007E54E6" w:rsidRPr="00CD6BAA" w:rsidRDefault="007E54E6" w:rsidP="007E54E6">
      <w:pPr>
        <w:autoSpaceDE w:val="0"/>
        <w:autoSpaceDN w:val="0"/>
        <w:adjustRightInd w:val="0"/>
        <w:spacing w:line="120" w:lineRule="auto"/>
        <w:rPr>
          <w:rFonts w:cs="Arial"/>
          <w:bCs/>
          <w:color w:val="000000"/>
          <w:u w:val="single"/>
          <w:lang w:eastAsia="sl-SI"/>
        </w:rPr>
      </w:pPr>
    </w:p>
    <w:p w14:paraId="387CDDD1" w14:textId="77777777" w:rsidR="007E54E6" w:rsidRPr="00CD6BAA" w:rsidRDefault="007E54E6" w:rsidP="007E54E6">
      <w:pPr>
        <w:autoSpaceDE w:val="0"/>
        <w:autoSpaceDN w:val="0"/>
        <w:adjustRightInd w:val="0"/>
        <w:spacing w:line="288" w:lineRule="auto"/>
        <w:rPr>
          <w:rFonts w:cs="Arial"/>
          <w:color w:val="000000"/>
          <w:lang w:eastAsia="sl-SI"/>
        </w:rPr>
      </w:pPr>
      <w:r w:rsidRPr="00CD6BAA">
        <w:rPr>
          <w:rFonts w:cs="Arial"/>
          <w:color w:val="000000"/>
          <w:lang w:eastAsia="sl-SI"/>
        </w:rPr>
        <w:t>S to uredbo se ne prenaša nobena direktiva EU.</w:t>
      </w:r>
    </w:p>
    <w:p w14:paraId="295675AA" w14:textId="77777777" w:rsidR="007E54E6" w:rsidRPr="00CD6BAA" w:rsidRDefault="007E54E6" w:rsidP="007E54E6">
      <w:pPr>
        <w:spacing w:line="288" w:lineRule="auto"/>
        <w:rPr>
          <w:rFonts w:cs="Arial"/>
        </w:rPr>
      </w:pPr>
    </w:p>
    <w:p w14:paraId="74ECD352" w14:textId="77777777" w:rsidR="003B0BD3" w:rsidRDefault="003B0BD3" w:rsidP="00637A85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14:paraId="3C73E574" w14:textId="77777777" w:rsidR="005D36EB" w:rsidRDefault="005D36EB" w:rsidP="00637A85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14:paraId="453665F0" w14:textId="77777777" w:rsidR="005D36EB" w:rsidRPr="00AD6508" w:rsidRDefault="005D36EB" w:rsidP="005D36EB">
      <w:pPr>
        <w:spacing w:line="240" w:lineRule="exact"/>
        <w:ind w:right="-574"/>
        <w:contextualSpacing/>
        <w:jc w:val="both"/>
        <w:rPr>
          <w:rFonts w:eastAsia="Calibri" w:cs="Arial"/>
          <w:b/>
          <w:szCs w:val="20"/>
        </w:rPr>
      </w:pPr>
      <w:r w:rsidRPr="00AD6508">
        <w:rPr>
          <w:rFonts w:eastAsia="Calibri" w:cs="Arial"/>
          <w:b/>
          <w:szCs w:val="20"/>
        </w:rPr>
        <w:lastRenderedPageBreak/>
        <w:t>II. VSEBINSKA OBRAZLOŽITEV PREDLAGANIH REŠITEV</w:t>
      </w:r>
    </w:p>
    <w:p w14:paraId="52F17703" w14:textId="77777777" w:rsidR="005D36EB" w:rsidRDefault="005D36EB" w:rsidP="00637A85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14:paraId="146F8B3B" w14:textId="77777777" w:rsidR="003B0BD3" w:rsidRDefault="003B0BD3" w:rsidP="00637A85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14:paraId="163D0172" w14:textId="77777777" w:rsidR="003B0BD3" w:rsidRDefault="006F57AF" w:rsidP="006F57AF">
      <w:pPr>
        <w:spacing w:line="240" w:lineRule="exact"/>
        <w:ind w:right="-574"/>
        <w:contextualSpacing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1. člen</w:t>
      </w:r>
    </w:p>
    <w:p w14:paraId="3D6D2FEE" w14:textId="77777777" w:rsidR="006F57AF" w:rsidRDefault="006F57AF" w:rsidP="00637A85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14:paraId="20D49C2C" w14:textId="77777777" w:rsidR="006F57AF" w:rsidRDefault="006F57AF" w:rsidP="00637A85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14:paraId="17780E3E" w14:textId="60CEC0D9" w:rsidR="003B0BD3" w:rsidRDefault="006F57AF" w:rsidP="00637A85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Člen opredeljuje </w:t>
      </w:r>
      <w:r w:rsidR="001C6E9A">
        <w:rPr>
          <w:rFonts w:eastAsia="Calibri" w:cs="Arial"/>
          <w:szCs w:val="20"/>
        </w:rPr>
        <w:t xml:space="preserve">predpisane deleže </w:t>
      </w:r>
      <w:r w:rsidR="00392402">
        <w:rPr>
          <w:rFonts w:eastAsia="Calibri" w:cs="Arial"/>
          <w:szCs w:val="20"/>
        </w:rPr>
        <w:t xml:space="preserve">obnovljivih virov energije v prometu v letih 2017, 2018, 2019, 2020 </w:t>
      </w:r>
      <w:r w:rsidR="00963659">
        <w:rPr>
          <w:rFonts w:eastAsia="Calibri" w:cs="Arial"/>
          <w:szCs w:val="20"/>
        </w:rPr>
        <w:t xml:space="preserve">in </w:t>
      </w:r>
      <w:r w:rsidR="00392402">
        <w:rPr>
          <w:rFonts w:eastAsia="Calibri" w:cs="Arial"/>
          <w:szCs w:val="20"/>
        </w:rPr>
        <w:t>2021.</w:t>
      </w:r>
      <w:r w:rsidR="003C0A7C">
        <w:rPr>
          <w:rFonts w:eastAsia="Calibri" w:cs="Arial"/>
          <w:szCs w:val="20"/>
        </w:rPr>
        <w:t xml:space="preserve"> </w:t>
      </w:r>
      <w:r w:rsidR="00586258">
        <w:rPr>
          <w:rFonts w:eastAsia="Calibri" w:cs="Arial"/>
          <w:szCs w:val="20"/>
        </w:rPr>
        <w:t xml:space="preserve"> </w:t>
      </w:r>
    </w:p>
    <w:p w14:paraId="73C71439" w14:textId="77777777" w:rsidR="004E66AA" w:rsidRDefault="004E66AA" w:rsidP="00637A85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14:paraId="375FB549" w14:textId="77777777" w:rsidR="004E66AA" w:rsidRDefault="004E66AA" w:rsidP="00637A85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14:paraId="6DBA7E9E" w14:textId="77777777" w:rsidR="004E66AA" w:rsidRDefault="004E66AA" w:rsidP="004E66AA">
      <w:pPr>
        <w:spacing w:line="240" w:lineRule="exact"/>
        <w:ind w:right="-574"/>
        <w:contextualSpacing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2. člen</w:t>
      </w:r>
    </w:p>
    <w:p w14:paraId="26987015" w14:textId="77777777" w:rsidR="003B0BD3" w:rsidRDefault="003B0BD3" w:rsidP="00637A85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14:paraId="411092B2" w14:textId="77777777" w:rsidR="003B0BD3" w:rsidRDefault="003B0BD3" w:rsidP="00637A85">
      <w:pPr>
        <w:spacing w:line="240" w:lineRule="exact"/>
        <w:ind w:right="-574"/>
        <w:contextualSpacing/>
        <w:jc w:val="both"/>
        <w:rPr>
          <w:rFonts w:eastAsia="Calibri" w:cs="Arial"/>
          <w:szCs w:val="20"/>
        </w:rPr>
      </w:pPr>
    </w:p>
    <w:p w14:paraId="33D891EE" w14:textId="77777777" w:rsidR="004709DD" w:rsidRDefault="002F4C88" w:rsidP="00637A85">
      <w:pPr>
        <w:spacing w:line="240" w:lineRule="exact"/>
        <w:ind w:right="-574"/>
        <w:contextualSpacing/>
        <w:jc w:val="both"/>
        <w:rPr>
          <w:rFonts w:eastAsia="Calibri" w:cs="Arial"/>
          <w:iCs/>
          <w:szCs w:val="20"/>
        </w:rPr>
      </w:pPr>
      <w:r>
        <w:rPr>
          <w:rFonts w:eastAsia="Calibri" w:cs="Arial"/>
          <w:szCs w:val="20"/>
        </w:rPr>
        <w:t>Člen ureja začetek veljavnosti predmetne uredbe.</w:t>
      </w:r>
    </w:p>
    <w:sectPr w:rsidR="004709DD" w:rsidSect="003A37D2">
      <w:headerReference w:type="default" r:id="rId12"/>
      <w:footerReference w:type="default" r:id="rId13"/>
      <w:headerReference w:type="first" r:id="rId14"/>
      <w:pgSz w:w="11900" w:h="16840" w:code="9"/>
      <w:pgMar w:top="992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65F25" w14:textId="77777777" w:rsidR="003F248B" w:rsidRDefault="003F248B">
      <w:pPr>
        <w:spacing w:line="240" w:lineRule="auto"/>
      </w:pPr>
      <w:r>
        <w:separator/>
      </w:r>
    </w:p>
  </w:endnote>
  <w:endnote w:type="continuationSeparator" w:id="0">
    <w:p w14:paraId="47DEBD6F" w14:textId="77777777" w:rsidR="003F248B" w:rsidRDefault="003F2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E90D" w14:textId="4C49A65D" w:rsidR="001264DF" w:rsidRDefault="001264DF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60EB">
      <w:rPr>
        <w:noProof/>
      </w:rPr>
      <w:t>8</w:t>
    </w:r>
    <w:r>
      <w:rPr>
        <w:noProof/>
      </w:rPr>
      <w:fldChar w:fldCharType="end"/>
    </w:r>
  </w:p>
  <w:p w14:paraId="173565E0" w14:textId="77777777" w:rsidR="001264DF" w:rsidRDefault="001264DF">
    <w:pPr>
      <w:pStyle w:val="Noga"/>
    </w:pPr>
  </w:p>
  <w:p w14:paraId="76920728" w14:textId="77777777" w:rsidR="001264DF" w:rsidRDefault="001264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2514" w14:textId="77777777" w:rsidR="003F248B" w:rsidRDefault="003F248B">
      <w:pPr>
        <w:spacing w:line="240" w:lineRule="auto"/>
      </w:pPr>
      <w:r>
        <w:separator/>
      </w:r>
    </w:p>
  </w:footnote>
  <w:footnote w:type="continuationSeparator" w:id="0">
    <w:p w14:paraId="027A96F7" w14:textId="77777777" w:rsidR="003F248B" w:rsidRDefault="003F2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CB9F" w14:textId="77777777" w:rsidR="001264DF" w:rsidRPr="00110CBD" w:rsidRDefault="001264DF" w:rsidP="00E0566E">
    <w:pPr>
      <w:pStyle w:val="Glava"/>
      <w:spacing w:line="240" w:lineRule="exact"/>
      <w:rPr>
        <w:rFonts w:ascii="Republika" w:hAnsi="Republika"/>
        <w:sz w:val="16"/>
      </w:rPr>
    </w:pPr>
  </w:p>
  <w:p w14:paraId="476464E2" w14:textId="77777777" w:rsidR="001264DF" w:rsidRDefault="001264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264DF" w:rsidRPr="008F3500" w14:paraId="03A69792" w14:textId="77777777">
      <w:trPr>
        <w:cantSplit/>
        <w:trHeight w:hRule="exact" w:val="847"/>
      </w:trPr>
      <w:tc>
        <w:tcPr>
          <w:tcW w:w="567" w:type="dxa"/>
        </w:tcPr>
        <w:p w14:paraId="622013DB" w14:textId="77777777" w:rsidR="001264DF" w:rsidRPr="008F3500" w:rsidRDefault="00A453B0" w:rsidP="00E0566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FF07343" wp14:editId="0682988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07C66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9117BCE" w14:textId="77777777" w:rsidR="001264DF" w:rsidRPr="004432AA" w:rsidRDefault="00A453B0" w:rsidP="004432AA">
    <w:pPr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B221595" wp14:editId="45A2EB37">
          <wp:simplePos x="0" y="0"/>
          <wp:positionH relativeFrom="column">
            <wp:posOffset>-565785</wp:posOffset>
          </wp:positionH>
          <wp:positionV relativeFrom="paragraph">
            <wp:posOffset>-201930</wp:posOffset>
          </wp:positionV>
          <wp:extent cx="3121660" cy="376555"/>
          <wp:effectExtent l="0" t="0" r="2540" b="4445"/>
          <wp:wrapNone/>
          <wp:docPr id="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7576B" w14:textId="77777777" w:rsidR="001264DF" w:rsidRPr="004432AA" w:rsidRDefault="001264DF" w:rsidP="004432AA">
    <w:pPr>
      <w:tabs>
        <w:tab w:val="left" w:pos="5112"/>
      </w:tabs>
      <w:spacing w:before="120" w:line="240" w:lineRule="exact"/>
      <w:rPr>
        <w:rFonts w:eastAsia="Arial Unicode MS" w:cs="Arial"/>
        <w:sz w:val="22"/>
        <w:szCs w:val="22"/>
      </w:rPr>
    </w:pPr>
  </w:p>
  <w:p w14:paraId="60716595" w14:textId="77777777" w:rsidR="001264DF" w:rsidRPr="004432AA" w:rsidRDefault="001264DF" w:rsidP="004432AA">
    <w:pPr>
      <w:tabs>
        <w:tab w:val="left" w:pos="5112"/>
      </w:tabs>
      <w:spacing w:line="240" w:lineRule="exact"/>
      <w:rPr>
        <w:rFonts w:cs="Arial"/>
        <w:sz w:val="16"/>
      </w:rPr>
    </w:pPr>
    <w:r w:rsidRPr="004432AA">
      <w:rPr>
        <w:rFonts w:cs="Arial"/>
        <w:sz w:val="16"/>
      </w:rPr>
      <w:t>Langusova ulica 4, 1535 Ljubljana</w:t>
    </w:r>
    <w:r w:rsidRPr="004432AA">
      <w:rPr>
        <w:rFonts w:cs="Arial"/>
        <w:sz w:val="16"/>
      </w:rPr>
      <w:tab/>
      <w:t>T: 01 478 80 00</w:t>
    </w:r>
  </w:p>
  <w:p w14:paraId="7952EA6E" w14:textId="77777777" w:rsidR="001264DF" w:rsidRPr="004432AA" w:rsidRDefault="001264DF" w:rsidP="004432AA">
    <w:pPr>
      <w:tabs>
        <w:tab w:val="left" w:pos="5112"/>
      </w:tabs>
      <w:spacing w:line="240" w:lineRule="exact"/>
      <w:rPr>
        <w:rFonts w:cs="Arial"/>
        <w:sz w:val="16"/>
      </w:rPr>
    </w:pPr>
    <w:r w:rsidRPr="004432AA">
      <w:rPr>
        <w:rFonts w:cs="Arial"/>
        <w:sz w:val="16"/>
      </w:rPr>
      <w:tab/>
      <w:t xml:space="preserve">F: 01 478 81 </w:t>
    </w:r>
    <w:r w:rsidR="00CA78C3">
      <w:rPr>
        <w:rFonts w:cs="Arial"/>
        <w:sz w:val="16"/>
      </w:rPr>
      <w:t>70</w:t>
    </w:r>
    <w:r w:rsidRPr="004432AA">
      <w:rPr>
        <w:rFonts w:cs="Arial"/>
        <w:sz w:val="16"/>
      </w:rPr>
      <w:t xml:space="preserve"> </w:t>
    </w:r>
  </w:p>
  <w:p w14:paraId="7CF86DFA" w14:textId="77777777" w:rsidR="001264DF" w:rsidRPr="004432AA" w:rsidRDefault="001264DF" w:rsidP="004432AA">
    <w:pPr>
      <w:tabs>
        <w:tab w:val="left" w:pos="5112"/>
      </w:tabs>
      <w:spacing w:line="240" w:lineRule="exact"/>
      <w:rPr>
        <w:rFonts w:cs="Arial"/>
        <w:sz w:val="16"/>
      </w:rPr>
    </w:pPr>
    <w:r w:rsidRPr="004432AA">
      <w:rPr>
        <w:rFonts w:cs="Arial"/>
        <w:sz w:val="16"/>
      </w:rPr>
      <w:tab/>
      <w:t>E: gp.mzi@gov.si</w:t>
    </w:r>
  </w:p>
  <w:p w14:paraId="619FFEF0" w14:textId="77777777" w:rsidR="001264DF" w:rsidRPr="004432AA" w:rsidRDefault="001264DF" w:rsidP="004432AA">
    <w:pPr>
      <w:tabs>
        <w:tab w:val="left" w:pos="5112"/>
      </w:tabs>
      <w:spacing w:line="240" w:lineRule="exact"/>
      <w:rPr>
        <w:rFonts w:cs="Arial"/>
        <w:sz w:val="16"/>
      </w:rPr>
    </w:pPr>
    <w:r w:rsidRPr="004432AA">
      <w:rPr>
        <w:rFonts w:cs="Arial"/>
        <w:sz w:val="16"/>
      </w:rPr>
      <w:tab/>
      <w:t>www.mzi.gov.si</w:t>
    </w:r>
  </w:p>
  <w:p w14:paraId="52042569" w14:textId="77777777" w:rsidR="001264DF" w:rsidRPr="008F3500" w:rsidRDefault="001264DF" w:rsidP="00BD37CB">
    <w:pPr>
      <w:pStyle w:val="Glava"/>
      <w:tabs>
        <w:tab w:val="left" w:pos="5112"/>
      </w:tabs>
      <w:spacing w:line="240" w:lineRule="exact"/>
      <w:rPr>
        <w:rFonts w:cs="Arial"/>
        <w:sz w:val="16"/>
      </w:rPr>
    </w:pPr>
  </w:p>
  <w:p w14:paraId="041C2063" w14:textId="77777777" w:rsidR="001264DF" w:rsidRDefault="001264DF" w:rsidP="00E0566E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95D"/>
    <w:multiLevelType w:val="hybridMultilevel"/>
    <w:tmpl w:val="51D01860"/>
    <w:lvl w:ilvl="0" w:tplc="34E4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2118"/>
    <w:multiLevelType w:val="hybridMultilevel"/>
    <w:tmpl w:val="7D04899A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00DB"/>
    <w:multiLevelType w:val="multilevel"/>
    <w:tmpl w:val="E7F40FA4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CF0FD8"/>
    <w:multiLevelType w:val="hybridMultilevel"/>
    <w:tmpl w:val="EE027936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66B58"/>
    <w:multiLevelType w:val="hybridMultilevel"/>
    <w:tmpl w:val="AE0EBC9A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D7252"/>
    <w:multiLevelType w:val="hybridMultilevel"/>
    <w:tmpl w:val="BC46665C"/>
    <w:lvl w:ilvl="0" w:tplc="1C74F9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72F1A"/>
    <w:multiLevelType w:val="hybridMultilevel"/>
    <w:tmpl w:val="592449C8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540A0"/>
    <w:multiLevelType w:val="hybridMultilevel"/>
    <w:tmpl w:val="1B4698CE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7D2BD6"/>
    <w:multiLevelType w:val="hybridMultilevel"/>
    <w:tmpl w:val="5A1445E2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E4A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078F8"/>
    <w:multiLevelType w:val="hybridMultilevel"/>
    <w:tmpl w:val="B6E2A4CC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E4A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787493"/>
    <w:multiLevelType w:val="hybridMultilevel"/>
    <w:tmpl w:val="C4323344"/>
    <w:lvl w:ilvl="0" w:tplc="2308328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45CA6"/>
    <w:multiLevelType w:val="hybridMultilevel"/>
    <w:tmpl w:val="1C962C4C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C3CE4"/>
    <w:multiLevelType w:val="hybridMultilevel"/>
    <w:tmpl w:val="51EE9682"/>
    <w:lvl w:ilvl="0" w:tplc="76AC1A70">
      <w:start w:val="49"/>
      <w:numFmt w:val="bullet"/>
      <w:lvlText w:val=""/>
      <w:lvlJc w:val="left"/>
      <w:pPr>
        <w:ind w:left="697" w:hanging="360"/>
      </w:pPr>
      <w:rPr>
        <w:rFonts w:ascii="Symbol" w:eastAsia="Times New Roman" w:hAnsi="Symbol" w:cs="Times New Roman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5145EA"/>
    <w:multiLevelType w:val="hybridMultilevel"/>
    <w:tmpl w:val="B8CCD8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F1812"/>
    <w:multiLevelType w:val="hybridMultilevel"/>
    <w:tmpl w:val="CE10C1CC"/>
    <w:lvl w:ilvl="0" w:tplc="10F865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256D1"/>
    <w:multiLevelType w:val="hybridMultilevel"/>
    <w:tmpl w:val="D494DE0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F51FE"/>
    <w:multiLevelType w:val="hybridMultilevel"/>
    <w:tmpl w:val="8E442A84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E6119"/>
    <w:multiLevelType w:val="hybridMultilevel"/>
    <w:tmpl w:val="0CDA7F88"/>
    <w:lvl w:ilvl="0" w:tplc="E2F0A0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54846"/>
    <w:multiLevelType w:val="hybridMultilevel"/>
    <w:tmpl w:val="4E6028AC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8B3958"/>
    <w:multiLevelType w:val="hybridMultilevel"/>
    <w:tmpl w:val="6D141B90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D00411"/>
    <w:multiLevelType w:val="hybridMultilevel"/>
    <w:tmpl w:val="4E8A8BBE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C608A"/>
    <w:multiLevelType w:val="hybridMultilevel"/>
    <w:tmpl w:val="B3DA2D24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E4A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70565F"/>
    <w:multiLevelType w:val="hybridMultilevel"/>
    <w:tmpl w:val="70620364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E05B43"/>
    <w:multiLevelType w:val="hybridMultilevel"/>
    <w:tmpl w:val="9496B96A"/>
    <w:lvl w:ilvl="0" w:tplc="34E4A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90ACA"/>
    <w:multiLevelType w:val="hybridMultilevel"/>
    <w:tmpl w:val="791A7622"/>
    <w:lvl w:ilvl="0" w:tplc="34E4A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E4A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5"/>
  </w:num>
  <w:num w:numId="5">
    <w:abstractNumId w:val="24"/>
  </w:num>
  <w:num w:numId="6">
    <w:abstractNumId w:val="28"/>
  </w:num>
  <w:num w:numId="7">
    <w:abstractNumId w:val="33"/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21"/>
  </w:num>
  <w:num w:numId="12">
    <w:abstractNumId w:val="16"/>
  </w:num>
  <w:num w:numId="13">
    <w:abstractNumId w:val="27"/>
  </w:num>
  <w:num w:numId="14">
    <w:abstractNumId w:val="31"/>
  </w:num>
  <w:num w:numId="15">
    <w:abstractNumId w:val="26"/>
  </w:num>
  <w:num w:numId="16">
    <w:abstractNumId w:val="14"/>
  </w:num>
  <w:num w:numId="17">
    <w:abstractNumId w:val="4"/>
  </w:num>
  <w:num w:numId="18">
    <w:abstractNumId w:val="7"/>
  </w:num>
  <w:num w:numId="19">
    <w:abstractNumId w:val="20"/>
  </w:num>
  <w:num w:numId="20">
    <w:abstractNumId w:val="8"/>
  </w:num>
  <w:num w:numId="21">
    <w:abstractNumId w:val="25"/>
  </w:num>
  <w:num w:numId="22">
    <w:abstractNumId w:val="1"/>
  </w:num>
  <w:num w:numId="23">
    <w:abstractNumId w:val="22"/>
  </w:num>
  <w:num w:numId="24">
    <w:abstractNumId w:val="15"/>
  </w:num>
  <w:num w:numId="25">
    <w:abstractNumId w:val="30"/>
  </w:num>
  <w:num w:numId="26">
    <w:abstractNumId w:val="3"/>
  </w:num>
  <w:num w:numId="27">
    <w:abstractNumId w:val="29"/>
  </w:num>
  <w:num w:numId="28">
    <w:abstractNumId w:val="10"/>
  </w:num>
  <w:num w:numId="29">
    <w:abstractNumId w:val="32"/>
  </w:num>
  <w:num w:numId="30">
    <w:abstractNumId w:val="11"/>
  </w:num>
  <w:num w:numId="31">
    <w:abstractNumId w:val="0"/>
  </w:num>
  <w:num w:numId="32">
    <w:abstractNumId w:val="6"/>
  </w:num>
  <w:num w:numId="33">
    <w:abstractNumId w:val="23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5"/>
    <w:rsid w:val="0000085F"/>
    <w:rsid w:val="00013572"/>
    <w:rsid w:val="00014D34"/>
    <w:rsid w:val="00015FB8"/>
    <w:rsid w:val="0002476C"/>
    <w:rsid w:val="000312A6"/>
    <w:rsid w:val="00032DF2"/>
    <w:rsid w:val="000334A9"/>
    <w:rsid w:val="00034292"/>
    <w:rsid w:val="00035899"/>
    <w:rsid w:val="00037ED7"/>
    <w:rsid w:val="00041411"/>
    <w:rsid w:val="000434D6"/>
    <w:rsid w:val="0004708F"/>
    <w:rsid w:val="00050ECF"/>
    <w:rsid w:val="00053025"/>
    <w:rsid w:val="00060D2D"/>
    <w:rsid w:val="000753B9"/>
    <w:rsid w:val="000768B0"/>
    <w:rsid w:val="00085E9E"/>
    <w:rsid w:val="00090935"/>
    <w:rsid w:val="000B0609"/>
    <w:rsid w:val="000B1EE4"/>
    <w:rsid w:val="000B47D5"/>
    <w:rsid w:val="000C40FD"/>
    <w:rsid w:val="000C5DAE"/>
    <w:rsid w:val="000D4926"/>
    <w:rsid w:val="000D547E"/>
    <w:rsid w:val="000D6FC3"/>
    <w:rsid w:val="000F05B7"/>
    <w:rsid w:val="0010563F"/>
    <w:rsid w:val="00105CA8"/>
    <w:rsid w:val="00111A7D"/>
    <w:rsid w:val="00113565"/>
    <w:rsid w:val="00116450"/>
    <w:rsid w:val="001216EB"/>
    <w:rsid w:val="001227AF"/>
    <w:rsid w:val="0012373B"/>
    <w:rsid w:val="00123984"/>
    <w:rsid w:val="001239B7"/>
    <w:rsid w:val="001264DF"/>
    <w:rsid w:val="00134B47"/>
    <w:rsid w:val="001361F0"/>
    <w:rsid w:val="0014222C"/>
    <w:rsid w:val="00153618"/>
    <w:rsid w:val="001568A3"/>
    <w:rsid w:val="0016696E"/>
    <w:rsid w:val="001738C7"/>
    <w:rsid w:val="0017595A"/>
    <w:rsid w:val="001817CB"/>
    <w:rsid w:val="00191B37"/>
    <w:rsid w:val="00194BAF"/>
    <w:rsid w:val="00195995"/>
    <w:rsid w:val="0019605E"/>
    <w:rsid w:val="0019632F"/>
    <w:rsid w:val="001A1038"/>
    <w:rsid w:val="001A1525"/>
    <w:rsid w:val="001A19CD"/>
    <w:rsid w:val="001A6167"/>
    <w:rsid w:val="001A65E3"/>
    <w:rsid w:val="001B740B"/>
    <w:rsid w:val="001C4C53"/>
    <w:rsid w:val="001C5B78"/>
    <w:rsid w:val="001C6B40"/>
    <w:rsid w:val="001C6E9A"/>
    <w:rsid w:val="001D38F5"/>
    <w:rsid w:val="001D57C6"/>
    <w:rsid w:val="001D5D08"/>
    <w:rsid w:val="001E07F4"/>
    <w:rsid w:val="001E1D9E"/>
    <w:rsid w:val="001E5A51"/>
    <w:rsid w:val="001E6F83"/>
    <w:rsid w:val="001F24A6"/>
    <w:rsid w:val="00200A45"/>
    <w:rsid w:val="00200D1F"/>
    <w:rsid w:val="00200DEA"/>
    <w:rsid w:val="00201555"/>
    <w:rsid w:val="00202D80"/>
    <w:rsid w:val="00210D70"/>
    <w:rsid w:val="0021176B"/>
    <w:rsid w:val="00217E26"/>
    <w:rsid w:val="00222D5C"/>
    <w:rsid w:val="00232661"/>
    <w:rsid w:val="00232FA5"/>
    <w:rsid w:val="00234B83"/>
    <w:rsid w:val="002376E8"/>
    <w:rsid w:val="0024052D"/>
    <w:rsid w:val="00241AC4"/>
    <w:rsid w:val="002432FA"/>
    <w:rsid w:val="00243BE2"/>
    <w:rsid w:val="0024744F"/>
    <w:rsid w:val="0024794D"/>
    <w:rsid w:val="002523A6"/>
    <w:rsid w:val="00255180"/>
    <w:rsid w:val="00256EEC"/>
    <w:rsid w:val="00264B95"/>
    <w:rsid w:val="002661FD"/>
    <w:rsid w:val="0026669C"/>
    <w:rsid w:val="00266D9A"/>
    <w:rsid w:val="00281FDD"/>
    <w:rsid w:val="002844A1"/>
    <w:rsid w:val="002907D2"/>
    <w:rsid w:val="0029303E"/>
    <w:rsid w:val="002963D8"/>
    <w:rsid w:val="00297A60"/>
    <w:rsid w:val="002A3603"/>
    <w:rsid w:val="002A3EB9"/>
    <w:rsid w:val="002A5446"/>
    <w:rsid w:val="002B2E79"/>
    <w:rsid w:val="002B6C0C"/>
    <w:rsid w:val="002C220F"/>
    <w:rsid w:val="002C2A43"/>
    <w:rsid w:val="002C4DE8"/>
    <w:rsid w:val="002D03FC"/>
    <w:rsid w:val="002D5837"/>
    <w:rsid w:val="002E15EC"/>
    <w:rsid w:val="002E21E2"/>
    <w:rsid w:val="002E48E2"/>
    <w:rsid w:val="002F1758"/>
    <w:rsid w:val="002F24EB"/>
    <w:rsid w:val="002F4C88"/>
    <w:rsid w:val="002F714A"/>
    <w:rsid w:val="00305C90"/>
    <w:rsid w:val="003061CE"/>
    <w:rsid w:val="00313F54"/>
    <w:rsid w:val="00321270"/>
    <w:rsid w:val="003228F6"/>
    <w:rsid w:val="00322DD7"/>
    <w:rsid w:val="00336E34"/>
    <w:rsid w:val="0033757E"/>
    <w:rsid w:val="0034091E"/>
    <w:rsid w:val="00340E88"/>
    <w:rsid w:val="00341F12"/>
    <w:rsid w:val="00350803"/>
    <w:rsid w:val="00351CF5"/>
    <w:rsid w:val="003628B3"/>
    <w:rsid w:val="003646BE"/>
    <w:rsid w:val="00365F70"/>
    <w:rsid w:val="0037198E"/>
    <w:rsid w:val="00371DC6"/>
    <w:rsid w:val="0037508C"/>
    <w:rsid w:val="00376DCB"/>
    <w:rsid w:val="003822AF"/>
    <w:rsid w:val="00390635"/>
    <w:rsid w:val="00391AAF"/>
    <w:rsid w:val="00392402"/>
    <w:rsid w:val="003933A4"/>
    <w:rsid w:val="00396048"/>
    <w:rsid w:val="003960A6"/>
    <w:rsid w:val="003A37D2"/>
    <w:rsid w:val="003B0BD3"/>
    <w:rsid w:val="003B21CA"/>
    <w:rsid w:val="003B6EB3"/>
    <w:rsid w:val="003C0A7C"/>
    <w:rsid w:val="003C41AF"/>
    <w:rsid w:val="003C4EE4"/>
    <w:rsid w:val="003C584F"/>
    <w:rsid w:val="003D217D"/>
    <w:rsid w:val="003E6BFF"/>
    <w:rsid w:val="003F248B"/>
    <w:rsid w:val="003F6C23"/>
    <w:rsid w:val="003F7515"/>
    <w:rsid w:val="004008A2"/>
    <w:rsid w:val="004065F5"/>
    <w:rsid w:val="00407AD5"/>
    <w:rsid w:val="00412755"/>
    <w:rsid w:val="004140B2"/>
    <w:rsid w:val="00414942"/>
    <w:rsid w:val="00422A8A"/>
    <w:rsid w:val="00424C90"/>
    <w:rsid w:val="004275DA"/>
    <w:rsid w:val="004278B9"/>
    <w:rsid w:val="004317B8"/>
    <w:rsid w:val="00431D3A"/>
    <w:rsid w:val="00432525"/>
    <w:rsid w:val="00432D3C"/>
    <w:rsid w:val="00435381"/>
    <w:rsid w:val="00435E8E"/>
    <w:rsid w:val="004406D3"/>
    <w:rsid w:val="0044123C"/>
    <w:rsid w:val="004432AA"/>
    <w:rsid w:val="00444C3E"/>
    <w:rsid w:val="00446961"/>
    <w:rsid w:val="0044747C"/>
    <w:rsid w:val="004477E2"/>
    <w:rsid w:val="00450C5A"/>
    <w:rsid w:val="004520E3"/>
    <w:rsid w:val="00461891"/>
    <w:rsid w:val="004641C5"/>
    <w:rsid w:val="00465E85"/>
    <w:rsid w:val="00466551"/>
    <w:rsid w:val="004709DD"/>
    <w:rsid w:val="00472702"/>
    <w:rsid w:val="00474CCF"/>
    <w:rsid w:val="00481750"/>
    <w:rsid w:val="00481831"/>
    <w:rsid w:val="00482CFD"/>
    <w:rsid w:val="00491459"/>
    <w:rsid w:val="00492B0A"/>
    <w:rsid w:val="004966D8"/>
    <w:rsid w:val="004A04BA"/>
    <w:rsid w:val="004A4E27"/>
    <w:rsid w:val="004B0DB9"/>
    <w:rsid w:val="004B55C0"/>
    <w:rsid w:val="004B729E"/>
    <w:rsid w:val="004C52EB"/>
    <w:rsid w:val="004C5EE5"/>
    <w:rsid w:val="004D08A3"/>
    <w:rsid w:val="004D09F0"/>
    <w:rsid w:val="004D3FD5"/>
    <w:rsid w:val="004D657D"/>
    <w:rsid w:val="004D76C2"/>
    <w:rsid w:val="004E66AA"/>
    <w:rsid w:val="004F4629"/>
    <w:rsid w:val="004F4AA5"/>
    <w:rsid w:val="004F5356"/>
    <w:rsid w:val="004F5823"/>
    <w:rsid w:val="004F68B6"/>
    <w:rsid w:val="00500F4A"/>
    <w:rsid w:val="00502ED8"/>
    <w:rsid w:val="005067D3"/>
    <w:rsid w:val="00511D91"/>
    <w:rsid w:val="00517513"/>
    <w:rsid w:val="00520F3D"/>
    <w:rsid w:val="00521B55"/>
    <w:rsid w:val="005378FC"/>
    <w:rsid w:val="0054059D"/>
    <w:rsid w:val="0054116F"/>
    <w:rsid w:val="00545DAC"/>
    <w:rsid w:val="00551863"/>
    <w:rsid w:val="0056273B"/>
    <w:rsid w:val="00563FBF"/>
    <w:rsid w:val="0056794E"/>
    <w:rsid w:val="00586258"/>
    <w:rsid w:val="00593AB3"/>
    <w:rsid w:val="005A4125"/>
    <w:rsid w:val="005A4378"/>
    <w:rsid w:val="005A5D68"/>
    <w:rsid w:val="005A60C0"/>
    <w:rsid w:val="005B2ECD"/>
    <w:rsid w:val="005C1A65"/>
    <w:rsid w:val="005C22FB"/>
    <w:rsid w:val="005C368A"/>
    <w:rsid w:val="005C500D"/>
    <w:rsid w:val="005C5DBF"/>
    <w:rsid w:val="005C7651"/>
    <w:rsid w:val="005D36EB"/>
    <w:rsid w:val="005D3EA3"/>
    <w:rsid w:val="005D4DDD"/>
    <w:rsid w:val="005E0561"/>
    <w:rsid w:val="005E1552"/>
    <w:rsid w:val="005E3E29"/>
    <w:rsid w:val="005E439C"/>
    <w:rsid w:val="005E59C9"/>
    <w:rsid w:val="005F20E2"/>
    <w:rsid w:val="005F54D3"/>
    <w:rsid w:val="005F6B41"/>
    <w:rsid w:val="006008A9"/>
    <w:rsid w:val="00621875"/>
    <w:rsid w:val="006227F9"/>
    <w:rsid w:val="00623150"/>
    <w:rsid w:val="006231FA"/>
    <w:rsid w:val="00627F62"/>
    <w:rsid w:val="00630C4E"/>
    <w:rsid w:val="006316B4"/>
    <w:rsid w:val="006363E1"/>
    <w:rsid w:val="006372BA"/>
    <w:rsid w:val="00637A85"/>
    <w:rsid w:val="00641504"/>
    <w:rsid w:val="006500A0"/>
    <w:rsid w:val="00650755"/>
    <w:rsid w:val="00650A0B"/>
    <w:rsid w:val="00651B9C"/>
    <w:rsid w:val="00653C19"/>
    <w:rsid w:val="00654333"/>
    <w:rsid w:val="00654A32"/>
    <w:rsid w:val="00664458"/>
    <w:rsid w:val="00664A0A"/>
    <w:rsid w:val="00671D03"/>
    <w:rsid w:val="006822FB"/>
    <w:rsid w:val="00690DAE"/>
    <w:rsid w:val="006A0A55"/>
    <w:rsid w:val="006A38E0"/>
    <w:rsid w:val="006A6D7C"/>
    <w:rsid w:val="006A7623"/>
    <w:rsid w:val="006B4998"/>
    <w:rsid w:val="006B6AAC"/>
    <w:rsid w:val="006C21CE"/>
    <w:rsid w:val="006D2B5B"/>
    <w:rsid w:val="006D7372"/>
    <w:rsid w:val="006E3659"/>
    <w:rsid w:val="006E3E24"/>
    <w:rsid w:val="006E460E"/>
    <w:rsid w:val="006F40C8"/>
    <w:rsid w:val="006F4893"/>
    <w:rsid w:val="006F498E"/>
    <w:rsid w:val="006F57AF"/>
    <w:rsid w:val="006F60EB"/>
    <w:rsid w:val="006F6AFE"/>
    <w:rsid w:val="00700FF7"/>
    <w:rsid w:val="0070554C"/>
    <w:rsid w:val="0071234D"/>
    <w:rsid w:val="0071321C"/>
    <w:rsid w:val="00713B20"/>
    <w:rsid w:val="0072051B"/>
    <w:rsid w:val="007248B6"/>
    <w:rsid w:val="00725DF3"/>
    <w:rsid w:val="00726880"/>
    <w:rsid w:val="00726BB6"/>
    <w:rsid w:val="007316D3"/>
    <w:rsid w:val="0073396B"/>
    <w:rsid w:val="00733E80"/>
    <w:rsid w:val="0074198E"/>
    <w:rsid w:val="007437D9"/>
    <w:rsid w:val="007570CA"/>
    <w:rsid w:val="00763D7C"/>
    <w:rsid w:val="00773E08"/>
    <w:rsid w:val="00774320"/>
    <w:rsid w:val="00780541"/>
    <w:rsid w:val="00782589"/>
    <w:rsid w:val="0078581C"/>
    <w:rsid w:val="00786D39"/>
    <w:rsid w:val="007918E8"/>
    <w:rsid w:val="00793C28"/>
    <w:rsid w:val="00797030"/>
    <w:rsid w:val="007A5AE3"/>
    <w:rsid w:val="007B3DBA"/>
    <w:rsid w:val="007B7208"/>
    <w:rsid w:val="007C02C5"/>
    <w:rsid w:val="007C4C3C"/>
    <w:rsid w:val="007C612D"/>
    <w:rsid w:val="007C7161"/>
    <w:rsid w:val="007D20DA"/>
    <w:rsid w:val="007D3163"/>
    <w:rsid w:val="007D45CB"/>
    <w:rsid w:val="007E27AF"/>
    <w:rsid w:val="007E54E6"/>
    <w:rsid w:val="007E73E5"/>
    <w:rsid w:val="007F0DEB"/>
    <w:rsid w:val="007F5311"/>
    <w:rsid w:val="007F667C"/>
    <w:rsid w:val="007F7FAD"/>
    <w:rsid w:val="00806118"/>
    <w:rsid w:val="0080663F"/>
    <w:rsid w:val="008167E6"/>
    <w:rsid w:val="008314F3"/>
    <w:rsid w:val="0083266E"/>
    <w:rsid w:val="00832890"/>
    <w:rsid w:val="00832D60"/>
    <w:rsid w:val="0084637A"/>
    <w:rsid w:val="0085158F"/>
    <w:rsid w:val="00851BD5"/>
    <w:rsid w:val="00853E47"/>
    <w:rsid w:val="00857248"/>
    <w:rsid w:val="00862930"/>
    <w:rsid w:val="00867AF7"/>
    <w:rsid w:val="00870055"/>
    <w:rsid w:val="00870F52"/>
    <w:rsid w:val="008711C6"/>
    <w:rsid w:val="0087499E"/>
    <w:rsid w:val="0087544E"/>
    <w:rsid w:val="00876E49"/>
    <w:rsid w:val="00877301"/>
    <w:rsid w:val="00880339"/>
    <w:rsid w:val="00880C3E"/>
    <w:rsid w:val="008828B9"/>
    <w:rsid w:val="00882D21"/>
    <w:rsid w:val="00886918"/>
    <w:rsid w:val="0088778F"/>
    <w:rsid w:val="00892174"/>
    <w:rsid w:val="00893316"/>
    <w:rsid w:val="008948AE"/>
    <w:rsid w:val="0089737E"/>
    <w:rsid w:val="008A31A1"/>
    <w:rsid w:val="008B003B"/>
    <w:rsid w:val="008B194D"/>
    <w:rsid w:val="008B2A7B"/>
    <w:rsid w:val="008B6CD1"/>
    <w:rsid w:val="008C450E"/>
    <w:rsid w:val="008D22BF"/>
    <w:rsid w:val="008D48A9"/>
    <w:rsid w:val="008E01B1"/>
    <w:rsid w:val="008E0B32"/>
    <w:rsid w:val="008E21CC"/>
    <w:rsid w:val="008F3024"/>
    <w:rsid w:val="008F3374"/>
    <w:rsid w:val="009041E5"/>
    <w:rsid w:val="00906B86"/>
    <w:rsid w:val="009133A5"/>
    <w:rsid w:val="0092049C"/>
    <w:rsid w:val="009239B2"/>
    <w:rsid w:val="00927A55"/>
    <w:rsid w:val="00931B19"/>
    <w:rsid w:val="0093321D"/>
    <w:rsid w:val="00935E5B"/>
    <w:rsid w:val="0093727A"/>
    <w:rsid w:val="00941C58"/>
    <w:rsid w:val="00945A6A"/>
    <w:rsid w:val="00947F53"/>
    <w:rsid w:val="0095454A"/>
    <w:rsid w:val="00961D8C"/>
    <w:rsid w:val="00963659"/>
    <w:rsid w:val="00965A8A"/>
    <w:rsid w:val="00966B10"/>
    <w:rsid w:val="0097052F"/>
    <w:rsid w:val="00973B0B"/>
    <w:rsid w:val="00974278"/>
    <w:rsid w:val="00977E46"/>
    <w:rsid w:val="00992FA9"/>
    <w:rsid w:val="00996B92"/>
    <w:rsid w:val="009A6B92"/>
    <w:rsid w:val="009A6C30"/>
    <w:rsid w:val="009B703A"/>
    <w:rsid w:val="009B7BDD"/>
    <w:rsid w:val="009B7D72"/>
    <w:rsid w:val="009C3A90"/>
    <w:rsid w:val="009C7DA3"/>
    <w:rsid w:val="009D0E5B"/>
    <w:rsid w:val="009D1580"/>
    <w:rsid w:val="009D3B22"/>
    <w:rsid w:val="009E2AE0"/>
    <w:rsid w:val="009F5131"/>
    <w:rsid w:val="009F5923"/>
    <w:rsid w:val="00A05D85"/>
    <w:rsid w:val="00A06948"/>
    <w:rsid w:val="00A07E37"/>
    <w:rsid w:val="00A14C0D"/>
    <w:rsid w:val="00A15A1E"/>
    <w:rsid w:val="00A20D0E"/>
    <w:rsid w:val="00A21339"/>
    <w:rsid w:val="00A23595"/>
    <w:rsid w:val="00A235F8"/>
    <w:rsid w:val="00A2425D"/>
    <w:rsid w:val="00A25066"/>
    <w:rsid w:val="00A30EBD"/>
    <w:rsid w:val="00A30F09"/>
    <w:rsid w:val="00A35C78"/>
    <w:rsid w:val="00A37513"/>
    <w:rsid w:val="00A37A0E"/>
    <w:rsid w:val="00A434A7"/>
    <w:rsid w:val="00A44EC5"/>
    <w:rsid w:val="00A453B0"/>
    <w:rsid w:val="00A5051F"/>
    <w:rsid w:val="00A523E8"/>
    <w:rsid w:val="00A5626D"/>
    <w:rsid w:val="00A6337E"/>
    <w:rsid w:val="00A669D0"/>
    <w:rsid w:val="00A66CFA"/>
    <w:rsid w:val="00A671B2"/>
    <w:rsid w:val="00A6758C"/>
    <w:rsid w:val="00A7161C"/>
    <w:rsid w:val="00A71944"/>
    <w:rsid w:val="00A729AF"/>
    <w:rsid w:val="00A74A62"/>
    <w:rsid w:val="00A7588D"/>
    <w:rsid w:val="00A80742"/>
    <w:rsid w:val="00A808DC"/>
    <w:rsid w:val="00A91297"/>
    <w:rsid w:val="00A95C6D"/>
    <w:rsid w:val="00A97D5E"/>
    <w:rsid w:val="00AA0C23"/>
    <w:rsid w:val="00AA311E"/>
    <w:rsid w:val="00AA35DF"/>
    <w:rsid w:val="00AB0B9A"/>
    <w:rsid w:val="00AC0319"/>
    <w:rsid w:val="00AD06F7"/>
    <w:rsid w:val="00AD1658"/>
    <w:rsid w:val="00AD6508"/>
    <w:rsid w:val="00AD6584"/>
    <w:rsid w:val="00AE2579"/>
    <w:rsid w:val="00AE5827"/>
    <w:rsid w:val="00AF1774"/>
    <w:rsid w:val="00AF2F9F"/>
    <w:rsid w:val="00B11FD9"/>
    <w:rsid w:val="00B15D46"/>
    <w:rsid w:val="00B17BA2"/>
    <w:rsid w:val="00B2407D"/>
    <w:rsid w:val="00B240C8"/>
    <w:rsid w:val="00B27E95"/>
    <w:rsid w:val="00B27EF2"/>
    <w:rsid w:val="00B33524"/>
    <w:rsid w:val="00B4280F"/>
    <w:rsid w:val="00B43192"/>
    <w:rsid w:val="00B520C8"/>
    <w:rsid w:val="00B56B9B"/>
    <w:rsid w:val="00B60E39"/>
    <w:rsid w:val="00B67340"/>
    <w:rsid w:val="00B70187"/>
    <w:rsid w:val="00B704C2"/>
    <w:rsid w:val="00B71898"/>
    <w:rsid w:val="00B73BCC"/>
    <w:rsid w:val="00B75848"/>
    <w:rsid w:val="00B80BB1"/>
    <w:rsid w:val="00B83EE3"/>
    <w:rsid w:val="00B86950"/>
    <w:rsid w:val="00B917BA"/>
    <w:rsid w:val="00B91FFC"/>
    <w:rsid w:val="00B94FB2"/>
    <w:rsid w:val="00BA1922"/>
    <w:rsid w:val="00BA1C96"/>
    <w:rsid w:val="00BA37C1"/>
    <w:rsid w:val="00BA78C5"/>
    <w:rsid w:val="00BB42E6"/>
    <w:rsid w:val="00BB49F5"/>
    <w:rsid w:val="00BC10E9"/>
    <w:rsid w:val="00BC1DF3"/>
    <w:rsid w:val="00BC6374"/>
    <w:rsid w:val="00BD37CB"/>
    <w:rsid w:val="00BD6779"/>
    <w:rsid w:val="00BD71DF"/>
    <w:rsid w:val="00BE0FEF"/>
    <w:rsid w:val="00BE488E"/>
    <w:rsid w:val="00BE4F91"/>
    <w:rsid w:val="00BE505D"/>
    <w:rsid w:val="00C02A90"/>
    <w:rsid w:val="00C057C1"/>
    <w:rsid w:val="00C064EC"/>
    <w:rsid w:val="00C11C85"/>
    <w:rsid w:val="00C21DCD"/>
    <w:rsid w:val="00C2513E"/>
    <w:rsid w:val="00C27CD8"/>
    <w:rsid w:val="00C31E2B"/>
    <w:rsid w:val="00C36152"/>
    <w:rsid w:val="00C40018"/>
    <w:rsid w:val="00C4203A"/>
    <w:rsid w:val="00C43BA6"/>
    <w:rsid w:val="00C540AE"/>
    <w:rsid w:val="00C572C7"/>
    <w:rsid w:val="00C60291"/>
    <w:rsid w:val="00C61736"/>
    <w:rsid w:val="00C664E8"/>
    <w:rsid w:val="00C744E6"/>
    <w:rsid w:val="00C74C9D"/>
    <w:rsid w:val="00C939BA"/>
    <w:rsid w:val="00C93AA9"/>
    <w:rsid w:val="00C94895"/>
    <w:rsid w:val="00CA133E"/>
    <w:rsid w:val="00CA2476"/>
    <w:rsid w:val="00CA5410"/>
    <w:rsid w:val="00CA78C3"/>
    <w:rsid w:val="00CB000B"/>
    <w:rsid w:val="00CB138D"/>
    <w:rsid w:val="00CB5B75"/>
    <w:rsid w:val="00CC04E7"/>
    <w:rsid w:val="00CC0595"/>
    <w:rsid w:val="00CC1C26"/>
    <w:rsid w:val="00CC1EDC"/>
    <w:rsid w:val="00CC5805"/>
    <w:rsid w:val="00CC7E25"/>
    <w:rsid w:val="00CD45F7"/>
    <w:rsid w:val="00CD7C4F"/>
    <w:rsid w:val="00CE32E4"/>
    <w:rsid w:val="00CF1B1B"/>
    <w:rsid w:val="00CF3CD6"/>
    <w:rsid w:val="00CF5A37"/>
    <w:rsid w:val="00CF7931"/>
    <w:rsid w:val="00D00855"/>
    <w:rsid w:val="00D01AC9"/>
    <w:rsid w:val="00D06452"/>
    <w:rsid w:val="00D14212"/>
    <w:rsid w:val="00D16332"/>
    <w:rsid w:val="00D176C5"/>
    <w:rsid w:val="00D2248F"/>
    <w:rsid w:val="00D25D2F"/>
    <w:rsid w:val="00D36EB2"/>
    <w:rsid w:val="00D40500"/>
    <w:rsid w:val="00D46843"/>
    <w:rsid w:val="00D4748B"/>
    <w:rsid w:val="00D509D4"/>
    <w:rsid w:val="00D51397"/>
    <w:rsid w:val="00D5228F"/>
    <w:rsid w:val="00D55DAC"/>
    <w:rsid w:val="00D567E2"/>
    <w:rsid w:val="00D60266"/>
    <w:rsid w:val="00D60581"/>
    <w:rsid w:val="00D62F73"/>
    <w:rsid w:val="00D65A9A"/>
    <w:rsid w:val="00D719C4"/>
    <w:rsid w:val="00D73164"/>
    <w:rsid w:val="00D75171"/>
    <w:rsid w:val="00D8391A"/>
    <w:rsid w:val="00D86FD2"/>
    <w:rsid w:val="00D915D1"/>
    <w:rsid w:val="00D91D54"/>
    <w:rsid w:val="00D92278"/>
    <w:rsid w:val="00D9380D"/>
    <w:rsid w:val="00D93C03"/>
    <w:rsid w:val="00D95D92"/>
    <w:rsid w:val="00D971AE"/>
    <w:rsid w:val="00DA1027"/>
    <w:rsid w:val="00DA31CA"/>
    <w:rsid w:val="00DA37C2"/>
    <w:rsid w:val="00DA6153"/>
    <w:rsid w:val="00DC0F3A"/>
    <w:rsid w:val="00DC1C66"/>
    <w:rsid w:val="00DC5EBC"/>
    <w:rsid w:val="00DD3C90"/>
    <w:rsid w:val="00DD525C"/>
    <w:rsid w:val="00DD7617"/>
    <w:rsid w:val="00DE29C4"/>
    <w:rsid w:val="00DF08A1"/>
    <w:rsid w:val="00DF19EA"/>
    <w:rsid w:val="00E015FB"/>
    <w:rsid w:val="00E0566E"/>
    <w:rsid w:val="00E05A3F"/>
    <w:rsid w:val="00E11D3D"/>
    <w:rsid w:val="00E16758"/>
    <w:rsid w:val="00E254E6"/>
    <w:rsid w:val="00E2717C"/>
    <w:rsid w:val="00E30D0D"/>
    <w:rsid w:val="00E32A01"/>
    <w:rsid w:val="00E33AA1"/>
    <w:rsid w:val="00E35740"/>
    <w:rsid w:val="00E415D3"/>
    <w:rsid w:val="00E44F62"/>
    <w:rsid w:val="00E47D66"/>
    <w:rsid w:val="00E5317E"/>
    <w:rsid w:val="00E57EAE"/>
    <w:rsid w:val="00E60900"/>
    <w:rsid w:val="00E75E90"/>
    <w:rsid w:val="00E81DF0"/>
    <w:rsid w:val="00E82141"/>
    <w:rsid w:val="00E924DB"/>
    <w:rsid w:val="00EA0498"/>
    <w:rsid w:val="00EA1042"/>
    <w:rsid w:val="00EA23F2"/>
    <w:rsid w:val="00EA3308"/>
    <w:rsid w:val="00EA677F"/>
    <w:rsid w:val="00EB026A"/>
    <w:rsid w:val="00EB11ED"/>
    <w:rsid w:val="00EB1551"/>
    <w:rsid w:val="00EB2050"/>
    <w:rsid w:val="00EB2F00"/>
    <w:rsid w:val="00EB39EF"/>
    <w:rsid w:val="00EB7716"/>
    <w:rsid w:val="00EC0C75"/>
    <w:rsid w:val="00EC2A4B"/>
    <w:rsid w:val="00EC730F"/>
    <w:rsid w:val="00ED196F"/>
    <w:rsid w:val="00ED47F4"/>
    <w:rsid w:val="00ED60AB"/>
    <w:rsid w:val="00EE28BB"/>
    <w:rsid w:val="00EE3F09"/>
    <w:rsid w:val="00EE7F56"/>
    <w:rsid w:val="00EF19BB"/>
    <w:rsid w:val="00EF3D41"/>
    <w:rsid w:val="00EF752E"/>
    <w:rsid w:val="00F01BD6"/>
    <w:rsid w:val="00F024D4"/>
    <w:rsid w:val="00F075D0"/>
    <w:rsid w:val="00F12F2C"/>
    <w:rsid w:val="00F170B9"/>
    <w:rsid w:val="00F224D8"/>
    <w:rsid w:val="00F22C93"/>
    <w:rsid w:val="00F235BB"/>
    <w:rsid w:val="00F316F4"/>
    <w:rsid w:val="00F31D3A"/>
    <w:rsid w:val="00F36750"/>
    <w:rsid w:val="00F43A7C"/>
    <w:rsid w:val="00F45F63"/>
    <w:rsid w:val="00F466BC"/>
    <w:rsid w:val="00F60BF2"/>
    <w:rsid w:val="00F628D6"/>
    <w:rsid w:val="00F639F8"/>
    <w:rsid w:val="00F645EC"/>
    <w:rsid w:val="00F7060A"/>
    <w:rsid w:val="00F77E98"/>
    <w:rsid w:val="00F80295"/>
    <w:rsid w:val="00F83D1D"/>
    <w:rsid w:val="00F910F8"/>
    <w:rsid w:val="00F956F6"/>
    <w:rsid w:val="00FA0EE1"/>
    <w:rsid w:val="00FA573F"/>
    <w:rsid w:val="00FA5E77"/>
    <w:rsid w:val="00FA709A"/>
    <w:rsid w:val="00FB157E"/>
    <w:rsid w:val="00FB1F40"/>
    <w:rsid w:val="00FB2443"/>
    <w:rsid w:val="00FC130E"/>
    <w:rsid w:val="00FD30DB"/>
    <w:rsid w:val="00FD4449"/>
    <w:rsid w:val="00FE14A3"/>
    <w:rsid w:val="00FE189A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01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222C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9599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19599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9">
    <w:name w:val="heading 9"/>
    <w:basedOn w:val="Navaden"/>
    <w:next w:val="Navaden"/>
    <w:link w:val="Naslov9Znak"/>
    <w:qFormat/>
    <w:rsid w:val="0019599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POZORILO">
    <w:name w:val="OPOZORILO"/>
    <w:basedOn w:val="Noga"/>
    <w:qFormat/>
    <w:rsid w:val="00653C19"/>
    <w:rPr>
      <w:rFonts w:cs="Arial"/>
      <w:b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653C1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53C19"/>
    <w:rPr>
      <w:rFonts w:ascii="Times New Roman" w:hAnsi="Times New Roman"/>
    </w:rPr>
  </w:style>
  <w:style w:type="character" w:customStyle="1" w:styleId="Naslov1Znak">
    <w:name w:val="Naslov 1 Znak"/>
    <w:aliases w:val="NASLOV Znak"/>
    <w:link w:val="Naslov1"/>
    <w:rsid w:val="00195995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7Znak">
    <w:name w:val="Naslov 7 Znak"/>
    <w:link w:val="Naslov7"/>
    <w:rsid w:val="00195995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9Znak">
    <w:name w:val="Naslov 9 Znak"/>
    <w:link w:val="Naslov9"/>
    <w:rsid w:val="00195995"/>
    <w:rPr>
      <w:rFonts w:ascii="Arial" w:eastAsia="Times New Roman" w:hAnsi="Arial" w:cs="Arial"/>
    </w:rPr>
  </w:style>
  <w:style w:type="paragraph" w:styleId="Glava">
    <w:name w:val="header"/>
    <w:basedOn w:val="Navaden"/>
    <w:link w:val="GlavaZnak"/>
    <w:rsid w:val="00195995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195995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19599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95995"/>
    <w:rPr>
      <w:rFonts w:ascii="Tahoma" w:eastAsia="Times New Roman" w:hAnsi="Tahoma" w:cs="Tahoma"/>
      <w:sz w:val="16"/>
      <w:szCs w:val="16"/>
    </w:rPr>
  </w:style>
  <w:style w:type="paragraph" w:customStyle="1" w:styleId="a">
    <w:basedOn w:val="Navaden"/>
    <w:next w:val="Pripombabesedilo"/>
    <w:link w:val="PripombabesediloZnak"/>
    <w:rsid w:val="00195995"/>
    <w:rPr>
      <w:rFonts w:eastAsia="Calibri"/>
      <w:szCs w:val="20"/>
      <w:lang w:val="x-none" w:eastAsia="x-none"/>
    </w:rPr>
  </w:style>
  <w:style w:type="paragraph" w:customStyle="1" w:styleId="datumtevilka">
    <w:name w:val="datum številka"/>
    <w:basedOn w:val="Navaden"/>
    <w:qFormat/>
    <w:rsid w:val="00195995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195995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195995"/>
    <w:rPr>
      <w:color w:val="0000FF"/>
      <w:u w:val="single"/>
    </w:rPr>
  </w:style>
  <w:style w:type="paragraph" w:customStyle="1" w:styleId="podpisi">
    <w:name w:val="podpisi"/>
    <w:basedOn w:val="Navaden"/>
    <w:qFormat/>
    <w:rsid w:val="00195995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195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95995"/>
    <w:rPr>
      <w:rFonts w:ascii="Tahoma" w:eastAsia="Times New Roman" w:hAnsi="Tahoma" w:cs="Tahoma"/>
      <w:sz w:val="16"/>
      <w:szCs w:val="16"/>
    </w:rPr>
  </w:style>
  <w:style w:type="character" w:styleId="SledenaHiperpovezava">
    <w:name w:val="FollowedHyperlink"/>
    <w:rsid w:val="00195995"/>
    <w:rPr>
      <w:color w:val="800080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19599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Cs w:val="20"/>
      <w:lang w:val="x-none" w:eastAsia="sl-SI"/>
    </w:rPr>
  </w:style>
  <w:style w:type="character" w:customStyle="1" w:styleId="NeotevilenodstavekZnak">
    <w:name w:val="Neoštevilčen odstavek Znak"/>
    <w:link w:val="Neotevilenodstavek"/>
    <w:rsid w:val="0019599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195995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Cs w:val="20"/>
      <w:lang w:val="x-none" w:eastAsia="sl-SI"/>
    </w:rPr>
  </w:style>
  <w:style w:type="character" w:customStyle="1" w:styleId="OddelekZnak1">
    <w:name w:val="Oddelek Znak1"/>
    <w:link w:val="Oddelek"/>
    <w:rsid w:val="00195995"/>
    <w:rPr>
      <w:rFonts w:ascii="Arial" w:eastAsia="Times New Roman" w:hAnsi="Arial"/>
      <w:b/>
      <w:lang w:val="x-none"/>
    </w:rPr>
  </w:style>
  <w:style w:type="paragraph" w:styleId="Telobesedila2">
    <w:name w:val="Body Text 2"/>
    <w:basedOn w:val="Navaden"/>
    <w:link w:val="Telobesedila2Znak"/>
    <w:rsid w:val="00195995"/>
    <w:pPr>
      <w:spacing w:line="240" w:lineRule="auto"/>
      <w:jc w:val="both"/>
    </w:pPr>
    <w:rPr>
      <w:rFonts w:cs="Arial"/>
      <w:sz w:val="22"/>
      <w:lang w:eastAsia="sl-SI"/>
    </w:rPr>
  </w:style>
  <w:style w:type="character" w:customStyle="1" w:styleId="Telobesedila2Znak">
    <w:name w:val="Telo besedila 2 Znak"/>
    <w:link w:val="Telobesedila2"/>
    <w:rsid w:val="00195995"/>
    <w:rPr>
      <w:rFonts w:ascii="Arial" w:eastAsia="Times New Roman" w:hAnsi="Arial" w:cs="Arial"/>
      <w:szCs w:val="24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195995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Cs w:val="20"/>
      <w:lang w:val="x-none" w:eastAsia="sl-SI"/>
    </w:rPr>
  </w:style>
  <w:style w:type="character" w:customStyle="1" w:styleId="VrstapredpisaZnak">
    <w:name w:val="Vrsta predpisa Znak"/>
    <w:link w:val="Vrstapredpisa"/>
    <w:rsid w:val="00195995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19599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Cs w:val="20"/>
      <w:lang w:val="x-none" w:eastAsia="sl-SI"/>
    </w:rPr>
  </w:style>
  <w:style w:type="character" w:customStyle="1" w:styleId="NaslovpredpisaZnak">
    <w:name w:val="Naslov_predpisa Znak"/>
    <w:link w:val="Naslovpredpisa"/>
    <w:rsid w:val="0019599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19599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195995"/>
    <w:pPr>
      <w:numPr>
        <w:numId w:val="8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Cs w:val="20"/>
      <w:lang w:val="x-none" w:eastAsia="sl-SI"/>
    </w:rPr>
  </w:style>
  <w:style w:type="character" w:customStyle="1" w:styleId="AlineazaodstavkomZnak">
    <w:name w:val="Alinea za odstavkom Znak"/>
    <w:link w:val="Alineazaodstavkom"/>
    <w:rsid w:val="00195995"/>
    <w:rPr>
      <w:rFonts w:ascii="Arial" w:eastAsia="Times New Roman" w:hAnsi="Arial"/>
      <w:lang w:val="x-none"/>
    </w:rPr>
  </w:style>
  <w:style w:type="paragraph" w:customStyle="1" w:styleId="Alineazatoko">
    <w:name w:val="Alinea za točko"/>
    <w:basedOn w:val="Navaden"/>
    <w:link w:val="AlineazatokoZnak"/>
    <w:qFormat/>
    <w:rsid w:val="00195995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szCs w:val="20"/>
      <w:lang w:val="x-none" w:eastAsia="sl-SI"/>
    </w:rPr>
  </w:style>
  <w:style w:type="character" w:customStyle="1" w:styleId="AlineazatokoZnak">
    <w:name w:val="Alinea za točko Znak"/>
    <w:link w:val="Alineazatoko"/>
    <w:rsid w:val="0019599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195995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95995"/>
    <w:pPr>
      <w:numPr>
        <w:numId w:val="9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="Calibri"/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195995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95995"/>
    <w:rPr>
      <w:rFonts w:ascii="Arial" w:eastAsia="Times New Roman" w:hAnsi="Arial"/>
      <w:b/>
      <w:lang w:val="x-none"/>
    </w:rPr>
  </w:style>
  <w:style w:type="paragraph" w:customStyle="1" w:styleId="Odstavekseznama1">
    <w:name w:val="Odstavek seznama1"/>
    <w:basedOn w:val="Navaden"/>
    <w:qFormat/>
    <w:rsid w:val="00195995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195995"/>
    <w:pPr>
      <w:spacing w:after="120" w:line="264" w:lineRule="auto"/>
      <w:ind w:left="720"/>
      <w:contextualSpacing/>
      <w:jc w:val="both"/>
    </w:pPr>
    <w:rPr>
      <w:rFonts w:eastAsia="SimHei"/>
      <w:szCs w:val="20"/>
      <w:lang w:val="x-none" w:eastAsia="ja-JP"/>
    </w:rPr>
  </w:style>
  <w:style w:type="character" w:customStyle="1" w:styleId="OdstavekseznamaZnak">
    <w:name w:val="Odstavek seznama Znak"/>
    <w:link w:val="Odstavekseznama"/>
    <w:uiPriority w:val="34"/>
    <w:rsid w:val="00195995"/>
    <w:rPr>
      <w:rFonts w:ascii="Arial" w:eastAsia="SimHei" w:hAnsi="Arial" w:cs="Arial"/>
      <w:sz w:val="20"/>
      <w:szCs w:val="20"/>
      <w:lang w:eastAsia="ja-JP"/>
    </w:rPr>
  </w:style>
  <w:style w:type="character" w:styleId="Krepko">
    <w:name w:val="Strong"/>
    <w:uiPriority w:val="22"/>
    <w:qFormat/>
    <w:rsid w:val="00195995"/>
    <w:rPr>
      <w:b/>
      <w:bCs/>
    </w:rPr>
  </w:style>
  <w:style w:type="paragraph" w:styleId="Telobesedila">
    <w:name w:val="Body Text"/>
    <w:basedOn w:val="Navaden"/>
    <w:link w:val="TelobesedilaZnak"/>
    <w:rsid w:val="00195995"/>
    <w:pPr>
      <w:spacing w:after="120"/>
    </w:pPr>
  </w:style>
  <w:style w:type="character" w:customStyle="1" w:styleId="TelobesedilaZnak">
    <w:name w:val="Telo besedila Znak"/>
    <w:link w:val="Telobesedila"/>
    <w:rsid w:val="00195995"/>
    <w:rPr>
      <w:rFonts w:ascii="Arial" w:eastAsia="Times New Roman" w:hAnsi="Arial" w:cs="Times New Roman"/>
      <w:sz w:val="20"/>
      <w:szCs w:val="24"/>
    </w:rPr>
  </w:style>
  <w:style w:type="character" w:customStyle="1" w:styleId="PripombabesediloZnak">
    <w:name w:val="Pripomba – besedilo Znak"/>
    <w:link w:val="a"/>
    <w:rsid w:val="00195995"/>
    <w:rPr>
      <w:rFonts w:ascii="Arial" w:hAnsi="Arial"/>
    </w:rPr>
  </w:style>
  <w:style w:type="table" w:styleId="Tabelamrea">
    <w:name w:val="Table Grid"/>
    <w:basedOn w:val="Navadnatabela"/>
    <w:uiPriority w:val="59"/>
    <w:rsid w:val="00195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semiHidden/>
    <w:unhideWhenUsed/>
    <w:rsid w:val="00195995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195995"/>
    <w:pPr>
      <w:spacing w:line="240" w:lineRule="auto"/>
    </w:pPr>
    <w:rPr>
      <w:szCs w:val="20"/>
    </w:rPr>
  </w:style>
  <w:style w:type="character" w:customStyle="1" w:styleId="PripombabesediloZnak1">
    <w:name w:val="Pripomba – besedilo Znak1"/>
    <w:link w:val="Pripombabesedilo"/>
    <w:uiPriority w:val="99"/>
    <w:rsid w:val="00195995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3EA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D3EA3"/>
    <w:rPr>
      <w:rFonts w:ascii="Arial" w:eastAsia="Times New Roman" w:hAnsi="Arial" w:cs="Times New Roman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rsid w:val="00C540AE"/>
    <w:rPr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C540AE"/>
    <w:rPr>
      <w:rFonts w:ascii="Arial" w:eastAsia="Times New Roman" w:hAnsi="Arial"/>
      <w:lang w:eastAsia="en-US"/>
    </w:rPr>
  </w:style>
  <w:style w:type="character" w:styleId="Sprotnaopomba-sklic">
    <w:name w:val="footnote reference"/>
    <w:rsid w:val="00C540AE"/>
    <w:rPr>
      <w:vertAlign w:val="superscript"/>
    </w:rPr>
  </w:style>
  <w:style w:type="paragraph" w:styleId="Revizija">
    <w:name w:val="Revision"/>
    <w:hidden/>
    <w:uiPriority w:val="99"/>
    <w:semiHidden/>
    <w:rsid w:val="005E59C9"/>
    <w:rPr>
      <w:rFonts w:ascii="Arial" w:eastAsia="Times New Roman" w:hAnsi="Arial"/>
      <w:szCs w:val="24"/>
      <w:lang w:eastAsia="en-US"/>
    </w:rPr>
  </w:style>
  <w:style w:type="paragraph" w:customStyle="1" w:styleId="odstavek">
    <w:name w:val="odstavek"/>
    <w:basedOn w:val="Navaden"/>
    <w:rsid w:val="00B2407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72051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6-01-279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6-01-2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01-279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35CC2B-5A04-423F-9559-AD054CA7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10750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12610</CharactersWithSpaces>
  <SharedDoc>false</SharedDoc>
  <HLinks>
    <vt:vector size="24" baseType="variant"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http://www.uradni-list.si/1/objava.jsp?sop=2016-01-2792</vt:lpwstr>
      </vt:variant>
      <vt:variant>
        <vt:lpwstr/>
      </vt:variant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http://www.uradni-list.si/1/objava.jsp?sop=2016-01-2792</vt:lpwstr>
      </vt:variant>
      <vt:variant>
        <vt:lpwstr/>
      </vt:variant>
      <vt:variant>
        <vt:i4>8192041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http://www.uradni-list.si/1/objava.jsp?sop=2016-01-2792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2021-02-19T10:14:00Z</dcterms:created>
  <dcterms:modified xsi:type="dcterms:W3CDTF">2021-02-19T10:14:00Z</dcterms:modified>
</cp:coreProperties>
</file>