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68" w:rsidRDefault="00636382" w:rsidP="00207468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6765/21 ADD 1.&#10;Subject Codes: PECHE 73.&#10;Heading: PREDLOG.&#10;Originator: za generalno sekretarko Evropske komisije: direktorica Martine DEPREZ.&#10;Recipient: generalni sekretar Sveta Evropske unije Jeppe TRANHOLM-MIKKELSEN.&#10;Subject: PRILOGA k Predlogu UREDBE SVETA o spremembi Uredbe (EU) 2021/92 glede nekaterih ribolovnih možnosti za leto 2021 v vodah Unije in vodah zunaj Unije.&#10;Commission Document Number: COM(2021) 111 final - ANNEX.&#10;Preceeding Document Number: Not Set.&#10;Location: Bruselj.&#10;Date: 10. marec 2021.&#10;Interinstitutional Files: 2021/0056(NLE).&#10;Institutional Framework: Svet Evropske unije.&#10;Language: SL.&#10;Distribution Code: PUBLIC.&#10;GUID: 5620305917134117074_0" style="width:568.5pt;height:395.55pt">
            <v:imagedata r:id="rId8" o:title=""/>
          </v:shape>
        </w:pict>
      </w:r>
      <w:bookmarkEnd w:id="0"/>
    </w:p>
    <w:p w:rsidR="00207468" w:rsidRDefault="00207468" w:rsidP="00207468">
      <w:pPr>
        <w:pStyle w:val="EntText"/>
        <w:spacing w:before="480"/>
      </w:pPr>
      <w:bookmarkStart w:id="1" w:name="_GoBack"/>
      <w:bookmarkEnd w:id="1"/>
      <w:r w:rsidRPr="00207468">
        <w:t xml:space="preserve">Delegacije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207468">
        <w:instrText>COM(2021) 111 final - ANNEX</w:instrText>
      </w:r>
      <w:r>
        <w:instrText xml:space="preserve">" </w:instrText>
      </w:r>
      <w:r>
        <w:fldChar w:fldCharType="separate"/>
      </w:r>
      <w:r w:rsidRPr="00207468">
        <w:t>COM(2021) 111 final - ANNEX</w:t>
      </w:r>
      <w:r>
        <w:fldChar w:fldCharType="end"/>
      </w:r>
      <w:r w:rsidRPr="00207468">
        <w:t>.</w:t>
      </w:r>
    </w:p>
    <w:p w:rsidR="00207468" w:rsidRDefault="00207468" w:rsidP="00207468">
      <w:pPr>
        <w:pStyle w:val="Lignefinal"/>
      </w:pPr>
    </w:p>
    <w:p w:rsidR="00207468" w:rsidRDefault="00207468" w:rsidP="00207468">
      <w:pPr>
        <w:pStyle w:val="pj"/>
        <w:spacing w:before="120"/>
      </w:pPr>
      <w:r w:rsidRPr="00207468"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207468">
        <w:instrText>COM(2021) 111 final - ANNEX</w:instrText>
      </w:r>
      <w:r>
        <w:instrText xml:space="preserve">" </w:instrText>
      </w:r>
      <w:r>
        <w:fldChar w:fldCharType="separate"/>
      </w:r>
      <w:r w:rsidRPr="00207468">
        <w:t>COM(2021) 111 final - ANNEX</w:t>
      </w:r>
      <w:r>
        <w:fldChar w:fldCharType="end"/>
      </w:r>
    </w:p>
    <w:p w:rsidR="00207468" w:rsidRPr="00207468" w:rsidRDefault="00207468" w:rsidP="00207468"/>
    <w:p w:rsidR="00207468" w:rsidRDefault="00207468" w:rsidP="00207468">
      <w:pPr>
        <w:rPr>
          <w:noProof/>
        </w:rPr>
        <w:sectPr w:rsidR="00207468" w:rsidSect="002074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E90864" w:rsidRDefault="00636382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07F51413-408D-4247-A3BF-ED155D8D30DB" style="width:450.7pt;height:465.65pt">
            <v:imagedata r:id="rId15" o:title=""/>
          </v:shape>
        </w:pict>
      </w:r>
    </w:p>
    <w:p w:rsidR="00E90864" w:rsidRDefault="00E90864">
      <w:pPr>
        <w:rPr>
          <w:noProof/>
        </w:rPr>
        <w:sectPr w:rsidR="00E9086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90864" w:rsidRDefault="00207468">
      <w:pPr>
        <w:pStyle w:val="Annexetitre"/>
        <w:rPr>
          <w:noProof/>
        </w:rPr>
      </w:pPr>
      <w:r>
        <w:rPr>
          <w:noProof/>
        </w:rPr>
        <w:lastRenderedPageBreak/>
        <w:t>PRILOGA</w:t>
      </w:r>
    </w:p>
    <w:p w:rsidR="00E90864" w:rsidRDefault="00207468">
      <w:pPr>
        <w:rPr>
          <w:noProof/>
        </w:rPr>
      </w:pPr>
      <w:r>
        <w:rPr>
          <w:noProof/>
        </w:rPr>
        <w:t xml:space="preserve">Priloga IA k Uredbi (EU) 2021/92 se spremeni:  </w:t>
      </w:r>
    </w:p>
    <w:p w:rsidR="00E90864" w:rsidRDefault="00207468"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v Prilogi IA se tabela o ribolovnih možnostih za pravo peščenko v vodah Unije razdelkov ICES 2a in 3a ter podobmočja ICES 4 nadomesti z naslednjim:</w:t>
      </w:r>
    </w:p>
    <w:p w:rsidR="00E90864" w:rsidRDefault="00207468">
      <w:pPr>
        <w:rPr>
          <w:noProof/>
        </w:rPr>
      </w:pPr>
      <w:r>
        <w:rPr>
          <w:noProof/>
        </w:rPr>
        <w:t>„</w:t>
      </w:r>
    </w:p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1242"/>
        <w:gridCol w:w="1145"/>
        <w:gridCol w:w="1144"/>
        <w:gridCol w:w="1147"/>
        <w:gridCol w:w="1076"/>
        <w:gridCol w:w="1143"/>
        <w:gridCol w:w="1142"/>
        <w:gridCol w:w="1072"/>
      </w:tblGrid>
      <w:tr w:rsidR="00E90864">
        <w:trPr>
          <w:trHeight w:val="255"/>
        </w:trPr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prave peščenke in z njimi povezan priliv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vode Unije območij 2a, 3a in 4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E90864">
        <w:trPr>
          <w:trHeight w:val="270"/>
        </w:trPr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 xml:space="preserve">Ammodytes </w:t>
            </w:r>
            <w:r>
              <w:rPr>
                <w:noProof/>
                <w:sz w:val="18"/>
                <w:szCs w:val="18"/>
              </w:rPr>
              <w:t>spp.</w:t>
            </w:r>
          </w:p>
        </w:tc>
        <w:tc>
          <w:tcPr>
            <w:tcW w:w="1147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864">
        <w:trPr>
          <w:trHeight w:val="270"/>
        </w:trPr>
        <w:tc>
          <w:tcPr>
            <w:tcW w:w="124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Danska</w:t>
            </w:r>
          </w:p>
        </w:tc>
        <w:tc>
          <w:tcPr>
            <w:tcW w:w="1145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nil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analitski TAC</w:t>
            </w:r>
          </w:p>
        </w:tc>
        <w:tc>
          <w:tcPr>
            <w:tcW w:w="114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864">
        <w:trPr>
          <w:trHeight w:val="270"/>
        </w:trPr>
        <w:tc>
          <w:tcPr>
            <w:tcW w:w="124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Nemčija</w:t>
            </w:r>
          </w:p>
        </w:tc>
        <w:tc>
          <w:tcPr>
            <w:tcW w:w="1145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  <w:highlight w:val="yellow"/>
              </w:rPr>
            </w:pPr>
          </w:p>
        </w:tc>
        <w:tc>
          <w:tcPr>
            <w:tcW w:w="1144" w:type="dxa"/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147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433" w:type="dxa"/>
            <w:gridSpan w:val="4"/>
            <w:noWrap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Člen 3 Uredbe (ES) št. 847/96 se ne uporablja.</w:t>
            </w:r>
          </w:p>
        </w:tc>
      </w:tr>
      <w:tr w:rsidR="00E90864">
        <w:trPr>
          <w:trHeight w:val="270"/>
        </w:trPr>
        <w:tc>
          <w:tcPr>
            <w:tcW w:w="124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Švedska</w:t>
            </w:r>
          </w:p>
        </w:tc>
        <w:tc>
          <w:tcPr>
            <w:tcW w:w="1145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433" w:type="dxa"/>
            <w:gridSpan w:val="4"/>
            <w:noWrap/>
            <w:hideMark/>
          </w:tcPr>
          <w:p w:rsidR="00E90864" w:rsidRDefault="00207468"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Člen 4 Uredbe (ES) št. 847/96 se ne uporablja.</w:t>
            </w:r>
          </w:p>
        </w:tc>
      </w:tr>
      <w:tr w:rsidR="00E90864">
        <w:trPr>
          <w:trHeight w:val="255"/>
        </w:trPr>
        <w:tc>
          <w:tcPr>
            <w:tcW w:w="124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145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 w:rsidR="00E90864" w:rsidRDefault="00207468"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076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E90864">
        <w:trPr>
          <w:trHeight w:val="255"/>
        </w:trPr>
        <w:tc>
          <w:tcPr>
            <w:tcW w:w="12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5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7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E90864">
        <w:trPr>
          <w:trHeight w:val="255"/>
        </w:trPr>
        <w:tc>
          <w:tcPr>
            <w:tcW w:w="2387" w:type="dxa"/>
            <w:gridSpan w:val="2"/>
            <w:noWrap/>
          </w:tcPr>
          <w:p w:rsidR="00E90864" w:rsidRDefault="00207468"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Združeno kraljestvo</w:t>
            </w:r>
          </w:p>
        </w:tc>
        <w:tc>
          <w:tcPr>
            <w:tcW w:w="1144" w:type="dxa"/>
            <w:noWrap/>
          </w:tcPr>
          <w:p w:rsidR="00E90864" w:rsidRDefault="00207468">
            <w:pPr>
              <w:spacing w:after="0" w:line="276" w:lineRule="auto"/>
              <w:jc w:val="right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</w:tcPr>
          <w:p w:rsidR="00E90864" w:rsidRDefault="00207468">
            <w:pPr>
              <w:spacing w:after="0" w:line="276" w:lineRule="auto"/>
              <w:rPr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076" w:type="dxa"/>
            <w:noWrap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E90864">
        <w:trPr>
          <w:trHeight w:val="255"/>
        </w:trPr>
        <w:tc>
          <w:tcPr>
            <w:tcW w:w="12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5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7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E90864">
        <w:trPr>
          <w:trHeight w:val="255"/>
        </w:trPr>
        <w:tc>
          <w:tcPr>
            <w:tcW w:w="124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145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4" w:type="dxa"/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1147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6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3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1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E90864">
        <w:trPr>
          <w:trHeight w:val="270"/>
        </w:trPr>
        <w:tc>
          <w:tcPr>
            <w:tcW w:w="124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655" w:type="dxa"/>
            <w:gridSpan w:val="5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Brez voda znotraj šestih morskih milj od osnovnih črt Združenega kraljestva pri Shetlandskih otokih ter otokih Fair Isle in Foula.</w:t>
            </w:r>
          </w:p>
        </w:tc>
        <w:tc>
          <w:tcPr>
            <w:tcW w:w="11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E90864">
        <w:trPr>
          <w:trHeight w:val="270"/>
        </w:trPr>
        <w:tc>
          <w:tcPr>
            <w:tcW w:w="1242" w:type="dxa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869" w:type="dxa"/>
            <w:gridSpan w:val="7"/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i/>
                <w:noProof/>
                <w:szCs w:val="24"/>
                <w:vertAlign w:val="superscript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Do 2 % kvote lahko sestavlja prilov mola in skuše (OT1/*2A3A4X). Prilov mola in skuše, ki se všteva v kvoto v skladu s to določbo, in prilov vrst, ki se všteva v kvoto v skladu s členom 15(8) Uredbe (EU) št. 1380/2013, skupaj ne presegata 9 % kvote.</w:t>
            </w:r>
            <w:r>
              <w:rPr>
                <w:i/>
                <w:noProof/>
                <w:sz w:val="18"/>
                <w:szCs w:val="18"/>
                <w:vertAlign w:val="superscript"/>
              </w:rPr>
              <w:t xml:space="preserve"> </w:t>
            </w:r>
          </w:p>
          <w:p w:rsidR="00E90864" w:rsidRDefault="00E90864">
            <w:pPr>
              <w:spacing w:after="0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90864">
        <w:trPr>
          <w:trHeight w:val="255"/>
        </w:trPr>
        <w:tc>
          <w:tcPr>
            <w:tcW w:w="9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Posebni pogoj: v mejah navedenih kvot ulov na naslednjih območjih upravljanja pravih peščenk, kot so opredeljena v Prilogi III, ne sme preseči spodaj navedenih količin:</w:t>
            </w:r>
          </w:p>
        </w:tc>
      </w:tr>
      <w:tr w:rsidR="00E90864">
        <w:trPr>
          <w:trHeight w:val="255"/>
        </w:trPr>
        <w:tc>
          <w:tcPr>
            <w:tcW w:w="12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5655" w:type="dxa"/>
            <w:gridSpan w:val="5"/>
            <w:noWrap/>
            <w:hideMark/>
          </w:tcPr>
          <w:p w:rsidR="00E90864" w:rsidRDefault="00207468">
            <w:pPr>
              <w:spacing w:after="0"/>
              <w:rPr>
                <w:noProof/>
              </w:rPr>
            </w:pPr>
            <w:r>
              <w:rPr>
                <w:b/>
                <w:bCs/>
                <w:noProof/>
                <w:sz w:val="18"/>
                <w:szCs w:val="18"/>
              </w:rPr>
              <w:t>Območje: vode Unije območij upravljanja pravih peščenk</w:t>
            </w:r>
          </w:p>
          <w:p w:rsidR="00E90864" w:rsidRDefault="00E90864">
            <w:pPr>
              <w:spacing w:after="0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4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  <w:tc>
          <w:tcPr>
            <w:tcW w:w="1072" w:type="dxa"/>
            <w:noWrap/>
            <w:hideMark/>
          </w:tcPr>
          <w:p w:rsidR="00E90864" w:rsidRDefault="00E90864">
            <w:pPr>
              <w:spacing w:after="0" w:line="276" w:lineRule="auto"/>
              <w:rPr>
                <w:noProof/>
                <w:sz w:val="22"/>
              </w:rPr>
            </w:pP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E90864"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2r</w:t>
            </w:r>
            <w:r>
              <w:rPr>
                <w:b/>
                <w:bCs/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3r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5r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7r</w:t>
            </w: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E90864">
            <w:pPr>
              <w:spacing w:after="0"/>
              <w:jc w:val="center"/>
              <w:rPr>
                <w:rFonts w:eastAsia="Times New Roman"/>
                <w:noProof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(SAN/234_1R)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(SAN/234_2R)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(SAN/234_3R)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(SAN/234_4)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(SAN/234_5R)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(SAN/234_6)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(SAN/234_7R) </w:t>
            </w: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Danska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Nemčija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Švedska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Unija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Združeno kraljestvo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64" w:rsidRDefault="00207468">
            <w:pPr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jc w:val="right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 xml:space="preserve"> </w:t>
            </w:r>
          </w:p>
        </w:tc>
      </w:tr>
      <w:tr w:rsidR="00E90864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spacing w:after="0"/>
              <w:rPr>
                <w:rFonts w:eastAsia="Times New Roman"/>
                <w:noProof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t>Skupaj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0864" w:rsidRDefault="00207468">
            <w:pPr>
              <w:rPr>
                <w:noProof/>
              </w:rPr>
            </w:pPr>
            <w:r>
              <w:rPr>
                <w:noProof/>
                <w:sz w:val="14"/>
                <w:szCs w:val="14"/>
              </w:rPr>
              <w:t>pm</w:t>
            </w:r>
          </w:p>
        </w:tc>
      </w:tr>
      <w:tr w:rsidR="00E90864">
        <w:trPr>
          <w:trHeight w:val="270"/>
        </w:trPr>
        <w:tc>
          <w:tcPr>
            <w:tcW w:w="911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E90864" w:rsidRDefault="00207468">
            <w:pPr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noProof/>
                <w:sz w:val="18"/>
                <w:szCs w:val="18"/>
                <w:vertAlign w:val="superscript"/>
              </w:rPr>
              <w:t>(1) Na območju upravljanja 2r se TAC lahko lovi samo kot TAC za spremljanje skupaj s povezanim protokolom vzorčenja za ribolov.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E90864" w:rsidRDefault="00207468">
      <w:pPr>
        <w:rPr>
          <w:noProof/>
        </w:rPr>
      </w:pPr>
      <w:r>
        <w:rPr>
          <w:noProof/>
        </w:rPr>
        <w:t>“</w:t>
      </w:r>
    </w:p>
    <w:sectPr w:rsidR="00E90864">
      <w:footerReference w:type="default" r:id="rId22"/>
      <w:footerReference w:type="first" r:id="rId23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4" w:rsidRDefault="00207468">
      <w:pPr>
        <w:spacing w:before="0" w:after="0"/>
      </w:pPr>
      <w:r>
        <w:separator/>
      </w:r>
    </w:p>
  </w:endnote>
  <w:endnote w:type="continuationSeparator" w:id="0">
    <w:p w:rsidR="00E90864" w:rsidRDefault="002074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64" w:rsidRPr="00207468" w:rsidRDefault="00E90864" w:rsidP="00207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207468" w:rsidRPr="00D94637" w:rsidTr="00207468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07468" w:rsidRPr="00D94637" w:rsidRDefault="00207468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207468" w:rsidRPr="00B310DC" w:rsidTr="00207468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07468" w:rsidRPr="00AD7BF2" w:rsidRDefault="00207468" w:rsidP="004F54B2">
          <w:pPr>
            <w:pStyle w:val="FooterText"/>
          </w:pPr>
          <w:r>
            <w:t>6765/21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07468" w:rsidRPr="00AD7BF2" w:rsidRDefault="00207468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207468" w:rsidRPr="002511D8" w:rsidRDefault="00207468" w:rsidP="00D94637">
          <w:pPr>
            <w:pStyle w:val="FooterText"/>
            <w:jc w:val="center"/>
          </w:pPr>
          <w:r>
            <w:t>men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207468" w:rsidRPr="00B310DC" w:rsidRDefault="00207468" w:rsidP="00207468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36382">
            <w:rPr>
              <w:noProof/>
            </w:rPr>
            <w:t>0</w:t>
          </w:r>
          <w:r>
            <w:fldChar w:fldCharType="end"/>
          </w:r>
        </w:p>
      </w:tc>
    </w:tr>
    <w:tr w:rsidR="00207468" w:rsidRPr="00D94637" w:rsidTr="00207468">
      <w:trPr>
        <w:jc w:val="center"/>
      </w:trPr>
      <w:tc>
        <w:tcPr>
          <w:tcW w:w="1774" w:type="pct"/>
          <w:shd w:val="clear" w:color="auto" w:fill="auto"/>
        </w:tcPr>
        <w:p w:rsidR="00207468" w:rsidRPr="00AD7BF2" w:rsidRDefault="00207468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07468" w:rsidRPr="00AD7BF2" w:rsidRDefault="00207468" w:rsidP="00D204D6">
          <w:pPr>
            <w:pStyle w:val="FooterText"/>
            <w:spacing w:before="40"/>
            <w:jc w:val="center"/>
          </w:pPr>
          <w:r>
            <w:t>LIFE.2</w:t>
          </w:r>
        </w:p>
      </w:tc>
      <w:tc>
        <w:tcPr>
          <w:tcW w:w="742" w:type="pct"/>
          <w:shd w:val="clear" w:color="auto" w:fill="auto"/>
        </w:tcPr>
        <w:p w:rsidR="00207468" w:rsidRPr="00D94637" w:rsidRDefault="00207468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207468" w:rsidRPr="000310C2" w:rsidRDefault="00207468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2"/>
  </w:tbl>
  <w:p w:rsidR="00E90864" w:rsidRPr="00207468" w:rsidRDefault="00E90864" w:rsidP="00207468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207468" w:rsidRPr="00D94637" w:rsidTr="00207468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07468" w:rsidRPr="00D94637" w:rsidRDefault="00207468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207468" w:rsidRPr="00B310DC" w:rsidTr="00207468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07468" w:rsidRPr="00AD7BF2" w:rsidRDefault="00207468" w:rsidP="004F54B2">
          <w:pPr>
            <w:pStyle w:val="FooterText"/>
          </w:pPr>
          <w:r>
            <w:t>6765/21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07468" w:rsidRPr="00AD7BF2" w:rsidRDefault="00207468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207468" w:rsidRPr="002511D8" w:rsidRDefault="00207468" w:rsidP="00D94637">
          <w:pPr>
            <w:pStyle w:val="FooterText"/>
            <w:jc w:val="center"/>
          </w:pPr>
          <w:r>
            <w:t>men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207468" w:rsidRPr="00B310DC" w:rsidRDefault="00207468" w:rsidP="00D94637">
          <w:pPr>
            <w:pStyle w:val="FooterText"/>
            <w:jc w:val="right"/>
          </w:pPr>
        </w:p>
      </w:tc>
    </w:tr>
    <w:tr w:rsidR="00207468" w:rsidRPr="00D94637" w:rsidTr="00207468">
      <w:trPr>
        <w:jc w:val="center"/>
      </w:trPr>
      <w:tc>
        <w:tcPr>
          <w:tcW w:w="1774" w:type="pct"/>
          <w:shd w:val="clear" w:color="auto" w:fill="auto"/>
        </w:tcPr>
        <w:p w:rsidR="00207468" w:rsidRPr="00AD7BF2" w:rsidRDefault="00207468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07468" w:rsidRPr="00AD7BF2" w:rsidRDefault="00207468" w:rsidP="00D204D6">
          <w:pPr>
            <w:pStyle w:val="FooterText"/>
            <w:spacing w:before="40"/>
            <w:jc w:val="center"/>
          </w:pPr>
          <w:r>
            <w:t>LIFE.2</w:t>
          </w:r>
        </w:p>
      </w:tc>
      <w:tc>
        <w:tcPr>
          <w:tcW w:w="742" w:type="pct"/>
          <w:shd w:val="clear" w:color="auto" w:fill="auto"/>
        </w:tcPr>
        <w:p w:rsidR="00207468" w:rsidRPr="00D94637" w:rsidRDefault="00207468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207468" w:rsidRPr="000310C2" w:rsidRDefault="00207468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:rsidR="00E90864" w:rsidRPr="00207468" w:rsidRDefault="00E90864" w:rsidP="00207468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68" w:rsidRDefault="002074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68" w:rsidRDefault="00207468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68" w:rsidRDefault="0020746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64" w:rsidRDefault="00207468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36382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64" w:rsidRDefault="00E9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4" w:rsidRDefault="00207468">
      <w:pPr>
        <w:spacing w:before="0" w:after="0"/>
      </w:pPr>
      <w:r>
        <w:separator/>
      </w:r>
    </w:p>
  </w:footnote>
  <w:footnote w:type="continuationSeparator" w:id="0">
    <w:p w:rsidR="00E90864" w:rsidRDefault="002074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64" w:rsidRPr="00207468" w:rsidRDefault="00E90864" w:rsidP="00207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64" w:rsidRPr="00207468" w:rsidRDefault="00207468" w:rsidP="00207468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64" w:rsidRPr="00207468" w:rsidRDefault="00207468" w:rsidP="00207468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68" w:rsidRDefault="002074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68" w:rsidRDefault="0020746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68" w:rsidRDefault="00207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51620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15232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B885C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B7F010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39EA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9C0DF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69A56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2AE8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DocuWriteMetaData" w:val="&lt;metadataset docuwriteversion=&quot;4.4.3&quot; technicalblockguid=&quot;5620305917134117074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21-03-10&lt;/text&gt;_x000d__x000a_  &lt;/metadata&gt;_x000d__x000a_  &lt;metadata key=&quot;md_Prefix&quot;&gt;_x000d__x000a_    &lt;text&gt;&lt;/text&gt;_x000d__x000a_  &lt;/metadata&gt;_x000d__x000a_  &lt;metadata key=&quot;md_DocumentNumber&quot;&gt;_x000d__x000a_    &lt;text&gt;6765&lt;/text&gt;_x000d__x000a_  &lt;/metadata&gt;_x000d__x000a_  &lt;metadata key=&quot;md_YearDocumentNumber&quot;&gt;_x000d__x000a_    &lt;text&gt;2021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PECHE 73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21/0056(NLE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33&quot; text=&quot;za generalno sekretarko Evropske komisije: direktorica Martine DEPREZ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21-03-10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21) 111 final - ANNEX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LOGA k Predlogu UREDBE SVETA o spremembi Uredbe (EU) 2021/92 glede nekaterih ribolovnih mo&amp;#382;nosti za leto 2021 v vodah Unije in vodah zunaj Unije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&amp;gt;PRILOGA k Predlogu UREDBE SVETA o spremembi Uredbe (EU) 2021/92 glede nekaterih ribolovnih mo&amp;#382;nosti za leto 2021 v vodah Unije in vodah zunaj Unije&amp;lt;/Paragraph&amp;gt;&amp;lt;/FlowDocument&amp;gt;&lt;/xaml&gt;_x000d__x000a_  &lt;/metadata&gt;_x000d__x000a_  &lt;metadata key=&quot;md_SubjectFootnote&quot; /&gt;_x000d__x000a_  &lt;metadata key=&quot;md_DG&quot;&gt;_x000d__x000a_    &lt;text&gt;LIFE.2&lt;/text&gt;_x000d__x000a_  &lt;/metadata&gt;_x000d__x000a_  &lt;metadata key=&quot;md_Initials&quot;&gt;_x000d__x000a_    &lt;text&gt;men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1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1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&lt;/text&gt;_x000d__x000a_  &lt;/metadata&gt;_x000d__x000a_  &lt;metadata key=&quot;md_SourceDocTitle&quot;&gt;_x000d__x000a_    &lt;text&gt;k _x000d__x000a_Predlogu_x000d__x000a__x000d__x000a_UREDBE SVETA _x000d__x000a__x000d__x000a_ _x000d__x000a_{b}o spremembi Uredbe (EU) 2021/92 glede nekaterih ribolovnih mo&amp;#382;nosti za leto 2021 v vodah Unije in vodah zunaj Unije  {/b}_x000d__x000a__x000d__x000a_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QCDateTime" w:val="2021-03-03 09:06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7F51413-408D-4247-A3BF-ED155D8D30DB"/>
    <w:docVar w:name="LW_COVERPAGE_TYPE" w:val="1"/>
    <w:docVar w:name="LW_CROSSREFERENCE" w:val="&lt;UNUSED&gt;"/>
    <w:docVar w:name="LW_DocType" w:val="ANNEX"/>
    <w:docVar w:name="LW_EMISSION" w:val="10.3.2021"/>
    <w:docVar w:name="LW_EMISSION_ISODATE" w:val="2021-03-10"/>
    <w:docVar w:name="LW_EMISSION_LOCATION" w:val="BRX"/>
    <w:docVar w:name="LW_EMISSION_PREFIX" w:val="Bruselj, "/>
    <w:docVar w:name="LW_EMISSION_SUFFIX" w:val="&lt;EMPTY&gt;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&lt;FMT:Bold&gt;o spremembi Uredbe (EU) 2021/92 glede nekaterih ribolovnih mo\u382?nosti za leto 2021 v vodah Unije in vodah zunaj Unije  &lt;/FMT&gt;_x000b__x000b_"/>
    <w:docVar w:name="LW_OBJETACTEPRINCIPAL.CP" w:val="&lt;FMT:Bold&gt;o spremembi Uredbe (EU) 2021/92 glede nekaterih ribolovnih mo\u382?nosti za leto 2021 v vodah Unije in vodah zunaj Unije  &lt;/FMT&gt;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1) 1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edlogu_x000b__x000b_UREDBE SVETA _x000b__x000b_"/>
    <w:docVar w:name="LW_TYPEACTEPRINCIPAL.CP" w:val="Predlogu_x000b__x000b_UREDBE SVETA _x000b__x000b_"/>
  </w:docVars>
  <w:rsids>
    <w:rsidRoot w:val="00E90864"/>
    <w:rsid w:val="00207468"/>
    <w:rsid w:val="00636382"/>
    <w:rsid w:val="00E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5603C5A5-42DC-47A4-83A1-6AC6BEB0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HeadingCentered">
    <w:name w:val="Heading Centered"/>
    <w:basedOn w:val="Normal"/>
    <w:next w:val="Normal"/>
    <w:pPr>
      <w:spacing w:before="360" w:line="360" w:lineRule="auto"/>
      <w:jc w:val="center"/>
      <w:outlineLvl w:val="0"/>
    </w:pPr>
    <w:rPr>
      <w:b/>
      <w:caps/>
      <w:u w:val="single"/>
    </w:rPr>
  </w:style>
  <w:style w:type="paragraph" w:customStyle="1" w:styleId="Lignefinal">
    <w:name w:val="Ligne final"/>
    <w:basedOn w:val="Normal"/>
    <w:next w:val="Normal"/>
    <w:rsid w:val="00207468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"/>
    <w:basedOn w:val="DefaultParagraphFont"/>
    <w:semiHidden/>
    <w:unhideWhenUsed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l-SI" w:eastAsia="en-US" w:bidi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20746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207468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207468"/>
    <w:rPr>
      <w:rFonts w:ascii="Times New Roman" w:hAnsi="Times New Roman" w:cs="Times New Roman"/>
      <w:sz w:val="24"/>
      <w:lang w:val="sl-SI"/>
    </w:rPr>
  </w:style>
  <w:style w:type="paragraph" w:customStyle="1" w:styleId="EntText">
    <w:name w:val="EntText"/>
    <w:basedOn w:val="Normal"/>
    <w:rsid w:val="00207468"/>
    <w:pPr>
      <w:spacing w:line="360" w:lineRule="auto"/>
      <w:jc w:val="left"/>
    </w:pPr>
  </w:style>
  <w:style w:type="paragraph" w:customStyle="1" w:styleId="pj">
    <w:name w:val="p.j."/>
    <w:basedOn w:val="Normal"/>
    <w:link w:val="pjChar"/>
    <w:rsid w:val="00207468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207468"/>
    <w:rPr>
      <w:rFonts w:ascii="Times New Roman" w:hAnsi="Times New Roman" w:cs="Times New Roman"/>
      <w:sz w:val="24"/>
      <w:lang w:val="sl-SI"/>
    </w:rPr>
  </w:style>
  <w:style w:type="paragraph" w:customStyle="1" w:styleId="nbbordered">
    <w:name w:val="nb bordered"/>
    <w:basedOn w:val="Normal"/>
    <w:link w:val="nbborderedChar"/>
    <w:rsid w:val="002074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207468"/>
    <w:rPr>
      <w:rFonts w:ascii="Times New Roman" w:hAnsi="Times New Roman" w:cs="Times New Roman"/>
      <w:b/>
      <w:sz w:val="24"/>
      <w:lang w:val="sl-SI"/>
    </w:rPr>
  </w:style>
  <w:style w:type="paragraph" w:customStyle="1" w:styleId="HeaderCouncil">
    <w:name w:val="Header Council"/>
    <w:basedOn w:val="Normal"/>
    <w:link w:val="HeaderCouncilChar"/>
    <w:rsid w:val="00207468"/>
    <w:pPr>
      <w:spacing w:before="0" w:after="0"/>
    </w:pPr>
    <w:rPr>
      <w:sz w:val="2"/>
    </w:rPr>
  </w:style>
  <w:style w:type="character" w:customStyle="1" w:styleId="HeaderCouncilChar">
    <w:name w:val="Header Council Char"/>
    <w:basedOn w:val="DefaultParagraphFont"/>
    <w:link w:val="HeaderCouncil"/>
    <w:rsid w:val="00207468"/>
    <w:rPr>
      <w:rFonts w:ascii="Times New Roman" w:hAnsi="Times New Roman" w:cs="Times New Roman"/>
      <w:sz w:val="2"/>
      <w:lang w:val="sl-SI"/>
    </w:rPr>
  </w:style>
  <w:style w:type="paragraph" w:customStyle="1" w:styleId="HeaderCouncilLarge">
    <w:name w:val="Header Council Large"/>
    <w:basedOn w:val="Normal"/>
    <w:link w:val="HeaderCouncilLargeChar"/>
    <w:rsid w:val="00207468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207468"/>
    <w:rPr>
      <w:rFonts w:ascii="Times New Roman" w:hAnsi="Times New Roman" w:cs="Times New Roman"/>
      <w:sz w:val="2"/>
      <w:lang w:val="sl-SI"/>
    </w:rPr>
  </w:style>
  <w:style w:type="paragraph" w:customStyle="1" w:styleId="FooterCouncil">
    <w:name w:val="Footer Council"/>
    <w:basedOn w:val="Normal"/>
    <w:link w:val="FooterCouncilChar"/>
    <w:rsid w:val="00207468"/>
    <w:pPr>
      <w:spacing w:before="0" w:after="0"/>
    </w:pPr>
    <w:rPr>
      <w:sz w:val="2"/>
    </w:rPr>
  </w:style>
  <w:style w:type="character" w:customStyle="1" w:styleId="FooterCouncilChar">
    <w:name w:val="Footer Council Char"/>
    <w:basedOn w:val="DefaultParagraphFont"/>
    <w:link w:val="FooterCouncil"/>
    <w:rsid w:val="00207468"/>
    <w:rPr>
      <w:rFonts w:ascii="Times New Roman" w:hAnsi="Times New Roman" w:cs="Times New Roman"/>
      <w:sz w:val="2"/>
      <w:lang w:val="sl-SI"/>
    </w:rPr>
  </w:style>
  <w:style w:type="paragraph" w:customStyle="1" w:styleId="FooterText">
    <w:name w:val="Footer Text"/>
    <w:basedOn w:val="Normal"/>
    <w:rsid w:val="00207468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07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A07E9C-D553-45A2-ACAB-1D0D4E8F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SANZ Carmen (MARE)</dc:creator>
  <cp:lastModifiedBy>MENART Mihael</cp:lastModifiedBy>
  <cp:revision>3</cp:revision>
  <cp:lastPrinted>2020-02-21T08:58:00Z</cp:lastPrinted>
  <dcterms:created xsi:type="dcterms:W3CDTF">2021-03-11T13:40:00Z</dcterms:created>
  <dcterms:modified xsi:type="dcterms:W3CDTF">2021-03-11T13:40:00Z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DocuWrite 4.4.3, Build 20201021</vt:lpwstr>
  </property>
  <property fmtid="{D5CDD505-2E9C-101B-9397-08002B2CF9AE}" pid="5" name="Created using">
    <vt:lpwstr>DocuWrite 4.4.3, Build 20201021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