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36" w:rsidRDefault="000A781C" w:rsidP="0086083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6765/21.&#10;Subject Codes: PECHE 73.&#10;Heading: PREDLOG.&#10;Originator: za generalno sekretarko Evropske komisije: direktorica Martine DEPREZ.&#10;Recipient: generalni sekretar Sveta Evropske unije Jeppe TRANHOLM-MIKKELSEN.&#10;Subject: Predlog UREDBE SVETA o spremembi Uredbe (EU) 2021/92 glede nekaterih ribolovnih možnosti za leto 2021 v vodah Unije in vodah zunaj Unije.&#10;Commission Document Number: COM(2021) 111 final.&#10;Preceeding Document Number: Not Set.&#10;Location: Bruselj.&#10;Date: 10. marec 2021.&#10;Interinstitutional Files: 2021/0056 (NLE).&#10;Institutional Framework: Svet Evropske unije.&#10;Language: SL.&#10;Distribution Code: PUBLIC.&#10;GUID: 4659293502815247931_0" style="width:568.5pt;height:395.55pt">
            <v:imagedata r:id="rId8" o:title=""/>
          </v:shape>
        </w:pict>
      </w:r>
      <w:bookmarkEnd w:id="0"/>
    </w:p>
    <w:p w:rsidR="00860836" w:rsidRDefault="00860836" w:rsidP="00860836">
      <w:pPr>
        <w:pStyle w:val="EntText"/>
        <w:spacing w:before="480"/>
      </w:pPr>
      <w:bookmarkStart w:id="1" w:name="_GoBack"/>
      <w:bookmarkEnd w:id="1"/>
      <w:r w:rsidRPr="00860836">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860836">
        <w:instrText>COM(2021) 111 final</w:instrText>
      </w:r>
      <w:r>
        <w:instrText xml:space="preserve">" </w:instrText>
      </w:r>
      <w:r>
        <w:fldChar w:fldCharType="separate"/>
      </w:r>
      <w:r w:rsidRPr="00860836">
        <w:t>COM(2021) 111 final</w:t>
      </w:r>
      <w:r>
        <w:fldChar w:fldCharType="end"/>
      </w:r>
      <w:r w:rsidRPr="00860836">
        <w:t>.</w:t>
      </w:r>
    </w:p>
    <w:p w:rsidR="00860836" w:rsidRDefault="00860836" w:rsidP="00860836">
      <w:pPr>
        <w:pStyle w:val="Lignefinal"/>
      </w:pPr>
    </w:p>
    <w:p w:rsidR="00860836" w:rsidRDefault="00860836" w:rsidP="00860836">
      <w:pPr>
        <w:pStyle w:val="pj"/>
        <w:spacing w:before="120"/>
      </w:pPr>
      <w:r w:rsidRPr="00860836">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860836">
        <w:instrText>COM(2021) 111 final</w:instrText>
      </w:r>
      <w:r>
        <w:instrText xml:space="preserve">" </w:instrText>
      </w:r>
      <w:r>
        <w:fldChar w:fldCharType="separate"/>
      </w:r>
      <w:r w:rsidRPr="00860836">
        <w:t>COM(2021) 111 final</w:t>
      </w:r>
      <w:r>
        <w:fldChar w:fldCharType="end"/>
      </w:r>
    </w:p>
    <w:p w:rsidR="00860836" w:rsidRPr="00860836" w:rsidRDefault="00860836" w:rsidP="00860836"/>
    <w:p w:rsidR="00860836" w:rsidRDefault="00860836" w:rsidP="00860836">
      <w:pPr>
        <w:rPr>
          <w:noProof/>
        </w:rPr>
        <w:sectPr w:rsidR="00860836" w:rsidSect="0086083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5D516B" w:rsidRDefault="000A781C">
      <w:pPr>
        <w:pStyle w:val="Pagedecouverture"/>
        <w:rPr>
          <w:noProof/>
        </w:rPr>
      </w:pPr>
      <w:r>
        <w:rPr>
          <w:noProof/>
        </w:rPr>
        <w:lastRenderedPageBreak/>
        <w:pict>
          <v:shape id="_x0000_i1026" type="#_x0000_t75" alt="4E4627AD-8090-4CF3-8DE2-F3F04B3CD744" style="width:450.7pt;height:352.5pt">
            <v:imagedata r:id="rId15" o:title=""/>
          </v:shape>
        </w:pict>
      </w:r>
    </w:p>
    <w:p w:rsidR="005D516B" w:rsidRDefault="005D516B">
      <w:pPr>
        <w:rPr>
          <w:noProof/>
        </w:rPr>
        <w:sectPr w:rsidR="005D516B">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5D516B" w:rsidRDefault="00860836">
      <w:pPr>
        <w:pStyle w:val="Exposdesmotifstitre"/>
        <w:rPr>
          <w:noProof/>
        </w:rPr>
      </w:pPr>
      <w:r>
        <w:rPr>
          <w:noProof/>
        </w:rPr>
        <w:lastRenderedPageBreak/>
        <w:t>OBRAZLOŽITVENI MEMORANDUM</w:t>
      </w:r>
    </w:p>
    <w:p w:rsidR="005D516B" w:rsidRDefault="00860836">
      <w:pPr>
        <w:pStyle w:val="ManualHeading1"/>
        <w:rPr>
          <w:noProof/>
        </w:rPr>
      </w:pPr>
      <w:r>
        <w:rPr>
          <w:noProof/>
        </w:rPr>
        <w:t>1.</w:t>
      </w:r>
      <w:r>
        <w:rPr>
          <w:noProof/>
        </w:rPr>
        <w:tab/>
        <w:t>OZADJE PREDLOGA</w:t>
      </w:r>
    </w:p>
    <w:p w:rsidR="005D516B" w:rsidRDefault="00860836">
      <w:pPr>
        <w:pStyle w:val="ManualHeading2"/>
        <w:rPr>
          <w:rFonts w:eastAsia="Arial Unicode MS"/>
          <w:noProof/>
        </w:rPr>
      </w:pPr>
      <w:r>
        <w:rPr>
          <w:noProof/>
          <w:color w:val="000000"/>
          <w:u w:color="000000"/>
          <w:bdr w:val="nil"/>
        </w:rPr>
        <w:t>•</w:t>
      </w:r>
      <w:r>
        <w:rPr>
          <w:noProof/>
        </w:rPr>
        <w:tab/>
        <w:t>Razlogi za predlog in njegovi cilji</w:t>
      </w:r>
    </w:p>
    <w:p w:rsidR="005D516B" w:rsidRDefault="00860836">
      <w:pPr>
        <w:rPr>
          <w:noProof/>
        </w:rPr>
      </w:pPr>
      <w:r>
        <w:rPr>
          <w:noProof/>
        </w:rPr>
        <w:t xml:space="preserve">Uredba Sveta (EU) 2021/92 določa ribolovne možnosti za leto 2021 za nekatere staleže rib in skupine staležev rib, ki se uporabljajo za vode Unije in za plovila Unije v nekaterih vodah zunaj Unije. Navedene ribolovne možnosti se v obdobju veljavnosti običajno večkrat spremenijo. </w:t>
      </w:r>
    </w:p>
    <w:p w:rsidR="005D516B" w:rsidRDefault="00860836">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5D516B" w:rsidRDefault="00860836">
      <w:pPr>
        <w:rPr>
          <w:noProof/>
        </w:rPr>
      </w:pPr>
      <w:r>
        <w:rPr>
          <w:noProof/>
        </w:rPr>
        <w:t>Predlagani ukrepi so zasnovani v skladu s cilji in pravili skupne ribiške politike ter so skladni s politiko Unije na področju trajnostnega razvoja.</w:t>
      </w:r>
    </w:p>
    <w:p w:rsidR="005D516B" w:rsidRDefault="00860836">
      <w:pPr>
        <w:pStyle w:val="ManualHeading2"/>
        <w:rPr>
          <w:rFonts w:eastAsia="Arial Unicode MS"/>
          <w:noProof/>
        </w:rPr>
      </w:pPr>
      <w:r>
        <w:rPr>
          <w:noProof/>
          <w:color w:val="000000"/>
          <w:u w:color="000000"/>
          <w:bdr w:val="nil"/>
        </w:rPr>
        <w:t>•</w:t>
      </w:r>
      <w:r>
        <w:rPr>
          <w:noProof/>
        </w:rPr>
        <w:tab/>
        <w:t>Skladnost z drugimi politikami Unije</w:t>
      </w:r>
    </w:p>
    <w:p w:rsidR="005D516B" w:rsidRDefault="00860836">
      <w:pPr>
        <w:rPr>
          <w:noProof/>
        </w:rPr>
      </w:pPr>
      <w:r>
        <w:rPr>
          <w:noProof/>
        </w:rPr>
        <w:t>Predlagani ukrepi so skladni z drugimi politikami Unije, zlasti s politikami na področju okolja.</w:t>
      </w:r>
    </w:p>
    <w:p w:rsidR="005D516B" w:rsidRDefault="00860836">
      <w:pPr>
        <w:pStyle w:val="ManualHeading1"/>
        <w:rPr>
          <w:noProof/>
        </w:rPr>
      </w:pPr>
      <w:r>
        <w:rPr>
          <w:noProof/>
        </w:rPr>
        <w:t>2.</w:t>
      </w:r>
      <w:r>
        <w:rPr>
          <w:noProof/>
        </w:rPr>
        <w:tab/>
        <w:t>PRAVNA PODLAGA, SUBSIDIARNOST IN SORAZMERNOST</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rsidR="005D516B" w:rsidRDefault="00860836">
      <w:pPr>
        <w:rPr>
          <w:noProof/>
        </w:rPr>
      </w:pPr>
      <w:r>
        <w:rPr>
          <w:noProof/>
        </w:rPr>
        <w:t xml:space="preserve">Pravna podlaga tega predloga je člen 43(3) Pogodbe o delovanju Evropske unije. </w:t>
      </w:r>
    </w:p>
    <w:p w:rsidR="005D516B" w:rsidRDefault="00860836">
      <w:pPr>
        <w:rPr>
          <w:noProof/>
        </w:rPr>
      </w:pPr>
      <w:r>
        <w:rPr>
          <w:noProof/>
        </w:rPr>
        <w:t>Obveznosti Unije za trajnostno izkoriščanje živih vodnih virov izhajajo iz obveznosti, določenih v členu 2 nove osnovne uredbe o skupni ribiški politiki.</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rsidR="005D516B" w:rsidRDefault="00860836">
      <w:pPr>
        <w:spacing w:after="0"/>
        <w:rPr>
          <w:noProof/>
        </w:rPr>
      </w:pPr>
      <w:r>
        <w:rPr>
          <w:noProof/>
        </w:rPr>
        <w:t>Predlog spada pod izključno pristojnost Unije iz člena 3(1)(d) Pogodbe. Načelo subsidiarnosti se zato ne uporablja.</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rsidR="005D516B" w:rsidRDefault="00860836">
      <w:pPr>
        <w:pBdr>
          <w:top w:val="nil"/>
          <w:left w:val="nil"/>
          <w:bottom w:val="nil"/>
          <w:right w:val="nil"/>
          <w:between w:val="nil"/>
          <w:bar w:val="nil"/>
        </w:pBdr>
        <w:spacing w:before="0" w:after="240"/>
        <w:rPr>
          <w:rFonts w:eastAsia="Arial Unicode MS"/>
          <w:noProof/>
        </w:rPr>
      </w:pPr>
      <w:r>
        <w:rPr>
          <w:noProof/>
        </w:rPr>
        <w:t>Predlog je v skladu z načelom sorazmernosti iz naslednjega razloga: skupna ribiška politika je skupna politika. Svet v skladu s členom 43(3) Pogodbe sprejme ukrepe o določitvi in dodelitvi ribolovnih možnosti.</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rsidR="005D516B" w:rsidRDefault="00860836">
      <w:pPr>
        <w:spacing w:after="0"/>
        <w:rPr>
          <w:noProof/>
        </w:rPr>
      </w:pPr>
      <w:r>
        <w:rPr>
          <w:noProof/>
        </w:rPr>
        <w:t xml:space="preserve">Predlagani instrument: uredba. </w:t>
      </w:r>
    </w:p>
    <w:p w:rsidR="005D516B" w:rsidRDefault="00860836">
      <w:pPr>
        <w:pStyle w:val="ManualHeading1"/>
        <w:rPr>
          <w:noProof/>
        </w:rPr>
      </w:pPr>
      <w:r>
        <w:rPr>
          <w:noProof/>
        </w:rPr>
        <w:t>3.</w:t>
      </w:r>
      <w:r>
        <w:rPr>
          <w:noProof/>
        </w:rPr>
        <w:tab/>
        <w:t>REZULTATI NAKNADNIH OCEN, POSVETOVANJ Z DELEŽNIKI IN OCEN UČINKA</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Naknadne ocene/preverjanja ustreznosti obstoječe zakonodaje</w:t>
      </w:r>
    </w:p>
    <w:p w:rsidR="005D516B" w:rsidRDefault="00860836">
      <w:pPr>
        <w:pBdr>
          <w:top w:val="nil"/>
          <w:left w:val="nil"/>
          <w:bottom w:val="nil"/>
          <w:right w:val="nil"/>
          <w:between w:val="nil"/>
          <w:bar w:val="nil"/>
        </w:pBdr>
        <w:spacing w:before="0" w:after="240"/>
        <w:rPr>
          <w:noProof/>
        </w:rPr>
      </w:pPr>
      <w:r>
        <w:rPr>
          <w:noProof/>
        </w:rPr>
        <w:t>Ni relevantno.</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Posvetovanja z deležniki</w:t>
      </w:r>
    </w:p>
    <w:p w:rsidR="005D516B" w:rsidRDefault="00860836">
      <w:pPr>
        <w:pBdr>
          <w:top w:val="nil"/>
          <w:left w:val="nil"/>
          <w:bottom w:val="nil"/>
          <w:right w:val="nil"/>
          <w:between w:val="nil"/>
          <w:bar w:val="nil"/>
        </w:pBdr>
        <w:spacing w:before="0" w:after="240"/>
        <w:rPr>
          <w:noProof/>
        </w:rPr>
      </w:pPr>
      <w:r>
        <w:rPr>
          <w:noProof/>
        </w:rPr>
        <w:t>Pri predlogu so upoštevane povratne informacije deležnikov, svetovalnih svetov, nacionalnih uprav, organizacij ribičev in nevladnih organizacij.</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Zbiranje in uporaba strokovnih mnenj</w:t>
      </w:r>
    </w:p>
    <w:p w:rsidR="005D516B" w:rsidRDefault="00860836">
      <w:pPr>
        <w:pBdr>
          <w:top w:val="nil"/>
          <w:left w:val="nil"/>
          <w:bottom w:val="nil"/>
          <w:right w:val="nil"/>
          <w:between w:val="nil"/>
          <w:bar w:val="nil"/>
        </w:pBdr>
        <w:spacing w:before="0" w:after="240"/>
        <w:rPr>
          <w:rFonts w:eastAsia="Arial Unicode MS"/>
          <w:noProof/>
        </w:rPr>
      </w:pPr>
      <w:r>
        <w:rPr>
          <w:noProof/>
        </w:rPr>
        <w:t>Predlog temelji na znanstvenem mnenju Mednarodnega sveta za raziskovanje morja (ICES).</w:t>
      </w:r>
    </w:p>
    <w:p w:rsidR="005D516B" w:rsidRDefault="00860836">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Ocena učinka</w:t>
      </w:r>
    </w:p>
    <w:p w:rsidR="005D516B" w:rsidRDefault="00860836">
      <w:pPr>
        <w:rPr>
          <w:noProof/>
        </w:rPr>
      </w:pPr>
      <w:r>
        <w:rPr>
          <w:noProof/>
        </w:rPr>
        <w:t>Področje uporabe uredbe o ribolovnih možnostih je omejeno s členom 43(3) Pogodbe.</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Ustreznost in poenostavitev ureditve</w:t>
      </w:r>
    </w:p>
    <w:p w:rsidR="005D516B" w:rsidRDefault="00860836">
      <w:pPr>
        <w:pBdr>
          <w:top w:val="nil"/>
          <w:left w:val="nil"/>
          <w:bottom w:val="nil"/>
          <w:right w:val="nil"/>
          <w:between w:val="nil"/>
          <w:bar w:val="nil"/>
        </w:pBdr>
        <w:spacing w:before="0" w:after="240"/>
        <w:rPr>
          <w:noProof/>
        </w:rPr>
      </w:pPr>
      <w:r>
        <w:rPr>
          <w:noProof/>
        </w:rPr>
        <w:t>Ni relevantno.</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Temeljne pravice</w:t>
      </w:r>
    </w:p>
    <w:p w:rsidR="005D516B" w:rsidRDefault="00860836">
      <w:pPr>
        <w:pBdr>
          <w:top w:val="nil"/>
          <w:left w:val="nil"/>
          <w:bottom w:val="nil"/>
          <w:right w:val="nil"/>
          <w:between w:val="nil"/>
          <w:bar w:val="nil"/>
        </w:pBdr>
        <w:spacing w:before="0" w:after="240"/>
        <w:rPr>
          <w:noProof/>
        </w:rPr>
      </w:pPr>
      <w:r>
        <w:rPr>
          <w:noProof/>
        </w:rPr>
        <w:t>Ni relevantno.</w:t>
      </w:r>
    </w:p>
    <w:p w:rsidR="005D516B" w:rsidRDefault="00860836">
      <w:pPr>
        <w:pStyle w:val="ManualHeading1"/>
        <w:rPr>
          <w:noProof/>
        </w:rPr>
      </w:pPr>
      <w:r>
        <w:rPr>
          <w:noProof/>
        </w:rPr>
        <w:t>4.</w:t>
      </w:r>
      <w:r>
        <w:rPr>
          <w:noProof/>
        </w:rPr>
        <w:tab/>
        <w:t>PRORAČUNSKE POSLEDICE</w:t>
      </w:r>
    </w:p>
    <w:p w:rsidR="005D516B" w:rsidRDefault="00860836">
      <w:pPr>
        <w:pBdr>
          <w:top w:val="nil"/>
          <w:left w:val="nil"/>
          <w:bottom w:val="nil"/>
          <w:right w:val="nil"/>
          <w:between w:val="nil"/>
          <w:bar w:val="nil"/>
        </w:pBdr>
        <w:spacing w:before="0" w:after="240"/>
        <w:rPr>
          <w:noProof/>
        </w:rPr>
      </w:pPr>
      <w:r>
        <w:rPr>
          <w:noProof/>
        </w:rPr>
        <w:t>Predlagani ukrepi ne bodo imeli proračunskih posledic.</w:t>
      </w:r>
    </w:p>
    <w:p w:rsidR="005D516B" w:rsidRDefault="00860836">
      <w:pPr>
        <w:pStyle w:val="ManualHeading1"/>
        <w:rPr>
          <w:noProof/>
        </w:rPr>
      </w:pPr>
      <w:r>
        <w:rPr>
          <w:noProof/>
        </w:rPr>
        <w:t>5.</w:t>
      </w:r>
      <w:r>
        <w:rPr>
          <w:noProof/>
        </w:rPr>
        <w:tab/>
        <w:t>DRUGI ELEMENTI</w:t>
      </w:r>
    </w:p>
    <w:p w:rsidR="005D516B" w:rsidRDefault="00860836">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predloga</w:t>
      </w:r>
    </w:p>
    <w:p w:rsidR="005D516B" w:rsidRDefault="00860836">
      <w:pPr>
        <w:rPr>
          <w:noProof/>
        </w:rPr>
      </w:pPr>
      <w:r>
        <w:rPr>
          <w:noProof/>
        </w:rPr>
        <w:t>Namen predlaganih sprememb je spremeniti Uredbo Sveta (EU) 2021/92, kakor je opisano spodaj.</w:t>
      </w:r>
    </w:p>
    <w:p w:rsidR="005D516B" w:rsidRDefault="00860836">
      <w:pPr>
        <w:rPr>
          <w:noProof/>
        </w:rPr>
      </w:pPr>
      <w:r>
        <w:rPr>
          <w:noProof/>
        </w:rPr>
        <w:t>Prava peščenka je kratkoživa vrsta, za katero je znanstveno mnenje na voljo v drugi polovici februarja, ribolov pa se začne že aprila. V Uredbi Sveta (EU) 2021/92 so bile vrednosti omejitev celotnega dovoljenega ulova (TAC) določene na nič. Zato bi jih bilo treba spremeniti v skladu z najnovejšim znanstvenim mnenjem ICES.</w:t>
      </w:r>
    </w:p>
    <w:p w:rsidR="005D516B" w:rsidRDefault="005D516B">
      <w:pPr>
        <w:rPr>
          <w:noProof/>
        </w:rPr>
      </w:pPr>
    </w:p>
    <w:p w:rsidR="005D516B" w:rsidRDefault="005D516B">
      <w:pPr>
        <w:rPr>
          <w:noProof/>
        </w:rPr>
        <w:sectPr w:rsidR="005D516B">
          <w:footerReference w:type="default" r:id="rId22"/>
          <w:footerReference w:type="first" r:id="rId23"/>
          <w:pgSz w:w="11907" w:h="16839"/>
          <w:pgMar w:top="1134" w:right="1417" w:bottom="1134" w:left="1417" w:header="709" w:footer="709" w:gutter="0"/>
          <w:cols w:space="708"/>
          <w:docGrid w:linePitch="360"/>
        </w:sectPr>
      </w:pPr>
    </w:p>
    <w:p w:rsidR="005D516B" w:rsidRDefault="00860836">
      <w:pPr>
        <w:pStyle w:val="Rfrenceinterinstitutionnelle"/>
        <w:rPr>
          <w:noProof/>
        </w:rPr>
      </w:pPr>
      <w:r>
        <w:rPr>
          <w:noProof/>
        </w:rPr>
        <w:lastRenderedPageBreak/>
        <w:t>2021/0056 (NLE)</w:t>
      </w:r>
    </w:p>
    <w:p w:rsidR="005D516B" w:rsidRDefault="00860836">
      <w:pPr>
        <w:pStyle w:val="Statut"/>
        <w:rPr>
          <w:noProof/>
        </w:rPr>
      </w:pPr>
      <w:r>
        <w:rPr>
          <w:noProof/>
        </w:rPr>
        <w:t>Predlog</w:t>
      </w:r>
    </w:p>
    <w:p w:rsidR="005D516B" w:rsidRDefault="00860836">
      <w:pPr>
        <w:pStyle w:val="Typedudocument"/>
        <w:rPr>
          <w:noProof/>
        </w:rPr>
      </w:pPr>
      <w:r>
        <w:rPr>
          <w:noProof/>
        </w:rPr>
        <w:t>UREDBA SVETA</w:t>
      </w:r>
    </w:p>
    <w:p w:rsidR="005D516B" w:rsidRDefault="00860836">
      <w:pPr>
        <w:pStyle w:val="Titreobjet"/>
        <w:rPr>
          <w:noProof/>
        </w:rPr>
      </w:pPr>
      <w:r>
        <w:rPr>
          <w:noProof/>
        </w:rPr>
        <w:t xml:space="preserve">o spremembi Uredbe (EU) 2021/92 glede nekaterih ribolovnih možnosti za leto 2021 v vodah Unije in vodah zunaj Unije  </w:t>
      </w:r>
    </w:p>
    <w:p w:rsidR="005D516B" w:rsidRDefault="00860836">
      <w:pPr>
        <w:pStyle w:val="Institutionquiagit"/>
        <w:rPr>
          <w:noProof/>
        </w:rPr>
      </w:pPr>
      <w:r>
        <w:rPr>
          <w:noProof/>
        </w:rPr>
        <w:t>SVET EVROPSKE UNIJE JE –</w:t>
      </w:r>
    </w:p>
    <w:p w:rsidR="005D516B" w:rsidRDefault="00860836">
      <w:pPr>
        <w:rPr>
          <w:noProof/>
        </w:rPr>
      </w:pPr>
      <w:r>
        <w:rPr>
          <w:noProof/>
        </w:rPr>
        <w:t>ob upoštevanju Pogodbe o delovanju Evropske unije in zlasti člena 43(3) Pogodbe,</w:t>
      </w:r>
    </w:p>
    <w:p w:rsidR="005D516B" w:rsidRDefault="00860836">
      <w:pPr>
        <w:rPr>
          <w:noProof/>
        </w:rPr>
      </w:pPr>
      <w:r>
        <w:rPr>
          <w:noProof/>
        </w:rPr>
        <w:t>ob upoštevanju predloga Evropske komisije,</w:t>
      </w:r>
    </w:p>
    <w:p w:rsidR="005D516B" w:rsidRDefault="00860836">
      <w:pPr>
        <w:rPr>
          <w:noProof/>
        </w:rPr>
      </w:pPr>
      <w:r>
        <w:rPr>
          <w:noProof/>
        </w:rPr>
        <w:t>ob upoštevanju naslednjega:</w:t>
      </w:r>
    </w:p>
    <w:p w:rsidR="005D516B" w:rsidRDefault="00860836">
      <w:pPr>
        <w:pStyle w:val="ManualConsidrant"/>
        <w:rPr>
          <w:noProof/>
        </w:rPr>
      </w:pPr>
      <w:r>
        <w:t>(1)</w:t>
      </w:r>
      <w:r>
        <w:tab/>
      </w:r>
      <w:r>
        <w:rPr>
          <w:noProof/>
        </w:rPr>
        <w:t>Uredba Sveta (EU) 2021/92</w:t>
      </w:r>
      <w:r>
        <w:rPr>
          <w:rStyle w:val="FootnoteReference"/>
          <w:noProof/>
        </w:rPr>
        <w:footnoteReference w:id="1"/>
      </w:r>
      <w:r>
        <w:rPr>
          <w:noProof/>
        </w:rPr>
        <w:t xml:space="preserve"> določa ribolovne možnosti za leto 2021 za nekatere staleže rib in skupine staležev rib, ki se uporabljajo za vode Unije in za plovila Unije v nekaterih vodah zunaj Unije.</w:t>
      </w:r>
    </w:p>
    <w:p w:rsidR="005D516B" w:rsidRDefault="00860836">
      <w:pPr>
        <w:pStyle w:val="ManualConsidrant"/>
        <w:rPr>
          <w:noProof/>
        </w:rPr>
      </w:pPr>
      <w:r>
        <w:t>(2)</w:t>
      </w:r>
      <w:r>
        <w:tab/>
      </w:r>
      <w:r>
        <w:rPr>
          <w:noProof/>
        </w:rPr>
        <w:t xml:space="preserve">V Uredbi (EU) 2021/92 je bil celotni dovoljeni ulov (v nadaljnjem besedilu: TAC) za pravo peščenko v razdelkih ICES 2a in 3a ter na podobmočju ICES 4 določen na nič, dokler se ne objavi ustrezno znanstveno mnenje Mednarodnega sveta za raziskovanje morja (v nadaljnjem besedilu: ICES), ki je bilo znano 25. februarja 2021. Prava peščenka je kratkoživa vrsta, zato se ribolov začne 1. aprila, kmalu po objavi znanstvenega mnenja. </w:t>
      </w:r>
    </w:p>
    <w:p w:rsidR="005D516B" w:rsidRDefault="00860836">
      <w:pPr>
        <w:pStyle w:val="ManualConsidrant"/>
        <w:rPr>
          <w:noProof/>
        </w:rPr>
      </w:pPr>
      <w:r>
        <w:t>(3)</w:t>
      </w:r>
      <w:r>
        <w:tab/>
      </w:r>
      <w:r>
        <w:rPr>
          <w:noProof/>
        </w:rPr>
        <w:t>Omejitve ulova za pravo peščenko v razdelkih ICES 2a in 3a ter na podobmočju ICES 4 bi bilo treba spremeniti v skladu z najnovejšim znanstvenim mnenjem ICES.</w:t>
      </w:r>
    </w:p>
    <w:p w:rsidR="005D516B" w:rsidRDefault="00860836">
      <w:pPr>
        <w:pStyle w:val="ManualConsidrant"/>
        <w:rPr>
          <w:noProof/>
        </w:rPr>
      </w:pPr>
      <w:r>
        <w:t>(4)</w:t>
      </w:r>
      <w:r>
        <w:tab/>
      </w:r>
      <w:r>
        <w:rPr>
          <w:noProof/>
        </w:rPr>
        <w:t>Uredba (EU) 2021/92 določa predhodne ribolovne možnosti za prvo četrtletje leta 2021. Poleg tega člen 14 Uredbe določa prepoved od 1. januarja do 31. marca 2021 za plovila, ki lovijo pravo peščenko z uporabo določenega orodja v razdelkih ICES 2a in 3a ter na podobmočju ICES 4. Ker ta uredba določa ribolovne možnosti za celotno ribolovno leto, bi morala ta prepoved zajemati tudi obdobje od 1. avgusta do 31. decembra 2021, tako kot leta 2020.</w:t>
      </w:r>
    </w:p>
    <w:p w:rsidR="005D516B" w:rsidRDefault="00860836">
      <w:pPr>
        <w:pStyle w:val="ManualConsidrant"/>
        <w:rPr>
          <w:noProof/>
        </w:rPr>
      </w:pPr>
      <w:r>
        <w:t>(5)</w:t>
      </w:r>
      <w:r>
        <w:tab/>
      </w:r>
      <w:r>
        <w:rPr>
          <w:noProof/>
        </w:rPr>
        <w:t>Uredbo (EU) 2021/92 bi bilo zato treba ustrezno spremeniti.</w:t>
      </w:r>
    </w:p>
    <w:p w:rsidR="005D516B" w:rsidRDefault="00860836">
      <w:pPr>
        <w:pStyle w:val="ManualConsidrant"/>
        <w:rPr>
          <w:noProof/>
        </w:rPr>
      </w:pPr>
      <w:r>
        <w:t>(6)</w:t>
      </w:r>
      <w:r>
        <w:tab/>
      </w:r>
      <w:r>
        <w:rPr>
          <w:noProof/>
        </w:rPr>
        <w:t>Omejitve ulova iz Uredbe (EU) 2021/92 se uporabljajo od 1. januarja 2021. Določbe o omejitvah ulova, ki jih uvaja ta uredba o spremembi, bi se zato prav tako morale uporabljati od navedenega datuma. Taka retroaktivna uporaba ne vpliva na načeli pravne varnosti in varstva legitimnih pričakovanj, saj zadevne ribolovne možnosti še niso bile izčrpane.</w:t>
      </w:r>
    </w:p>
    <w:p w:rsidR="005D516B" w:rsidRDefault="00860836">
      <w:pPr>
        <w:pStyle w:val="ManualConsidrant"/>
        <w:rPr>
          <w:noProof/>
        </w:rPr>
      </w:pPr>
      <w:r>
        <w:t>(7)</w:t>
      </w:r>
      <w:r>
        <w:tab/>
      </w:r>
      <w:r>
        <w:rPr>
          <w:noProof/>
        </w:rPr>
        <w:t xml:space="preserve">Ta uredba bi morala začeti veljati dan po objavi zaradi nujnosti pravočasnega začetka ribolovne sezone za pravo peščenko 1. aprila 2021 – </w:t>
      </w:r>
    </w:p>
    <w:p w:rsidR="005D516B" w:rsidRDefault="005D516B">
      <w:pPr>
        <w:rPr>
          <w:noProof/>
        </w:rPr>
      </w:pPr>
    </w:p>
    <w:p w:rsidR="005D516B" w:rsidRDefault="00860836">
      <w:pPr>
        <w:pStyle w:val="Formuledadoption"/>
        <w:rPr>
          <w:noProof/>
        </w:rPr>
      </w:pPr>
      <w:r>
        <w:rPr>
          <w:noProof/>
        </w:rPr>
        <w:lastRenderedPageBreak/>
        <w:t>SPREJEL NASLEDNJO UREDBO:</w:t>
      </w:r>
    </w:p>
    <w:p w:rsidR="005D516B" w:rsidRDefault="00860836">
      <w:pPr>
        <w:pStyle w:val="Titrearticle"/>
        <w:rPr>
          <w:noProof/>
        </w:rPr>
      </w:pPr>
      <w:r>
        <w:rPr>
          <w:noProof/>
        </w:rPr>
        <w:t>Člen 1</w:t>
      </w:r>
    </w:p>
    <w:p w:rsidR="005D516B" w:rsidRDefault="00860836">
      <w:pPr>
        <w:rPr>
          <w:noProof/>
        </w:rPr>
      </w:pPr>
      <w:r>
        <w:rPr>
          <w:noProof/>
        </w:rPr>
        <w:tab/>
      </w:r>
      <w:r>
        <w:rPr>
          <w:noProof/>
        </w:rPr>
        <w:tab/>
      </w:r>
      <w:r>
        <w:rPr>
          <w:noProof/>
        </w:rPr>
        <w:tab/>
      </w:r>
      <w:r>
        <w:rPr>
          <w:noProof/>
        </w:rPr>
        <w:tab/>
      </w:r>
      <w:r>
        <w:rPr>
          <w:i/>
          <w:noProof/>
        </w:rPr>
        <w:t>Sprememba Uredbe (EU) 2021/92</w:t>
      </w:r>
    </w:p>
    <w:p w:rsidR="005D516B" w:rsidRDefault="00860836">
      <w:pPr>
        <w:rPr>
          <w:noProof/>
        </w:rPr>
      </w:pPr>
      <w:r>
        <w:rPr>
          <w:noProof/>
        </w:rPr>
        <w:t xml:space="preserve">Uredba (EU) 2021/92 se spremeni: </w:t>
      </w:r>
    </w:p>
    <w:p w:rsidR="005D516B" w:rsidRDefault="00860836">
      <w:pPr>
        <w:pStyle w:val="Point0"/>
        <w:rPr>
          <w:noProof/>
        </w:rPr>
      </w:pPr>
      <w:r>
        <w:t>(1)</w:t>
      </w:r>
      <w:r>
        <w:tab/>
      </w:r>
      <w:r>
        <w:rPr>
          <w:noProof/>
        </w:rPr>
        <w:t>člen 14 se nadomesti z naslednjim:</w:t>
      </w:r>
    </w:p>
    <w:p w:rsidR="005D516B" w:rsidRDefault="00860836">
      <w:pPr>
        <w:pStyle w:val="Titrearticle"/>
        <w:rPr>
          <w:noProof/>
        </w:rPr>
      </w:pPr>
      <w:r>
        <w:rPr>
          <w:noProof/>
        </w:rPr>
        <w:t xml:space="preserve">„Člen 14 </w:t>
      </w:r>
      <w:r>
        <w:rPr>
          <w:noProof/>
        </w:rPr>
        <w:br/>
        <w:t>Zaprte ribolovne sezone za prave peščenke</w:t>
      </w:r>
    </w:p>
    <w:p w:rsidR="005D516B" w:rsidRDefault="00860836">
      <w:pPr>
        <w:rPr>
          <w:noProof/>
        </w:rPr>
      </w:pPr>
      <w:r>
        <w:rPr>
          <w:noProof/>
        </w:rPr>
        <w:t>Gospodarski ribolov pravih peščenk s pridneno vlečno mrežo, potegalko ali podobnim vlečnim orodjem z velikostjo mrežnega očesa manj kot 16 mm je v razdelkih ICES 2a in 3a ter na podobmočju ICES 4 prepovedan od 1. januarja do 31. marca 2021 in od 1. avgusta do 31. decembra 2021.“;</w:t>
      </w:r>
    </w:p>
    <w:p w:rsidR="005D516B" w:rsidRDefault="00860836">
      <w:pPr>
        <w:pStyle w:val="Point0"/>
        <w:rPr>
          <w:noProof/>
        </w:rPr>
      </w:pPr>
      <w:r>
        <w:t>(2)</w:t>
      </w:r>
      <w:r>
        <w:tab/>
      </w:r>
      <w:r>
        <w:rPr>
          <w:noProof/>
        </w:rPr>
        <w:t>Priloga IA se spremeni v skladu s Prilogo k tej uredbi.</w:t>
      </w:r>
    </w:p>
    <w:p w:rsidR="005D516B" w:rsidRDefault="00860836">
      <w:pPr>
        <w:pStyle w:val="Titrearticle"/>
        <w:rPr>
          <w:noProof/>
        </w:rPr>
      </w:pPr>
      <w:r>
        <w:rPr>
          <w:noProof/>
        </w:rPr>
        <w:t>Člen 2</w:t>
      </w:r>
    </w:p>
    <w:p w:rsidR="005D516B" w:rsidRDefault="00860836">
      <w:pPr>
        <w:rPr>
          <w:noProof/>
        </w:rPr>
      </w:pPr>
      <w:r>
        <w:rPr>
          <w:noProof/>
        </w:rPr>
        <w:t xml:space="preserve">Ta uredba začne veljati dan po objavi v </w:t>
      </w:r>
      <w:r>
        <w:rPr>
          <w:i/>
          <w:noProof/>
        </w:rPr>
        <w:t>Uradnem listu Evropske unije</w:t>
      </w:r>
      <w:r>
        <w:rPr>
          <w:noProof/>
        </w:rPr>
        <w:t>.</w:t>
      </w:r>
    </w:p>
    <w:p w:rsidR="005D516B" w:rsidRDefault="00860836">
      <w:pPr>
        <w:rPr>
          <w:i/>
          <w:noProof/>
        </w:rPr>
      </w:pPr>
      <w:r>
        <w:rPr>
          <w:noProof/>
        </w:rPr>
        <w:t>Uporablja se od 1. januarja 2021.</w:t>
      </w:r>
    </w:p>
    <w:p w:rsidR="005D516B" w:rsidRDefault="00860836">
      <w:pPr>
        <w:pStyle w:val="Applicationdirecte"/>
        <w:rPr>
          <w:noProof/>
        </w:rPr>
      </w:pPr>
      <w:r>
        <w:rPr>
          <w:noProof/>
        </w:rPr>
        <w:t>Ta uredba je v celoti zavezujoča in se neposredno uporablja v vseh državah članicah.</w:t>
      </w:r>
    </w:p>
    <w:p w:rsidR="005D516B" w:rsidRDefault="00860836">
      <w:pPr>
        <w:pStyle w:val="Fait"/>
        <w:rPr>
          <w:noProof/>
        </w:rPr>
      </w:pPr>
      <w:r>
        <w:t>V Bruslju,</w:t>
      </w:r>
    </w:p>
    <w:p w:rsidR="005D516B" w:rsidRDefault="00860836">
      <w:pPr>
        <w:pStyle w:val="Institutionquisigne"/>
        <w:rPr>
          <w:noProof/>
        </w:rPr>
      </w:pPr>
      <w:r>
        <w:rPr>
          <w:noProof/>
        </w:rPr>
        <w:tab/>
        <w:t>Za Svet</w:t>
      </w:r>
    </w:p>
    <w:p w:rsidR="005D516B" w:rsidRDefault="00860836">
      <w:pPr>
        <w:pStyle w:val="Personnequisigne"/>
        <w:rPr>
          <w:noProof/>
        </w:rPr>
      </w:pPr>
      <w:r>
        <w:rPr>
          <w:noProof/>
        </w:rPr>
        <w:tab/>
        <w:t>Predsednik</w:t>
      </w:r>
    </w:p>
    <w:sectPr w:rsidR="005D516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6B" w:rsidRDefault="00860836">
      <w:pPr>
        <w:spacing w:before="0" w:after="0"/>
      </w:pPr>
      <w:r>
        <w:separator/>
      </w:r>
    </w:p>
  </w:endnote>
  <w:endnote w:type="continuationSeparator" w:id="0">
    <w:p w:rsidR="005D516B" w:rsidRDefault="00860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Pr="00860836" w:rsidRDefault="00860836" w:rsidP="00860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60836" w:rsidRPr="00D94637" w:rsidTr="00860836">
      <w:trPr>
        <w:jc w:val="center"/>
      </w:trPr>
      <w:tc>
        <w:tcPr>
          <w:tcW w:w="5000" w:type="pct"/>
          <w:gridSpan w:val="7"/>
          <w:shd w:val="clear" w:color="auto" w:fill="auto"/>
          <w:tcMar>
            <w:top w:w="57" w:type="dxa"/>
          </w:tcMar>
        </w:tcPr>
        <w:p w:rsidR="00860836" w:rsidRPr="00D94637" w:rsidRDefault="00860836" w:rsidP="00D94637">
          <w:pPr>
            <w:pStyle w:val="FooterText"/>
            <w:pBdr>
              <w:top w:val="single" w:sz="4" w:space="1" w:color="auto"/>
            </w:pBdr>
            <w:spacing w:before="200"/>
            <w:rPr>
              <w:sz w:val="2"/>
              <w:szCs w:val="2"/>
            </w:rPr>
          </w:pPr>
          <w:bookmarkStart w:id="2" w:name="FOOTER_STANDARD"/>
        </w:p>
      </w:tc>
    </w:tr>
    <w:tr w:rsidR="00860836" w:rsidRPr="00B310DC" w:rsidTr="00860836">
      <w:trPr>
        <w:jc w:val="center"/>
      </w:trPr>
      <w:tc>
        <w:tcPr>
          <w:tcW w:w="2500" w:type="pct"/>
          <w:gridSpan w:val="2"/>
          <w:shd w:val="clear" w:color="auto" w:fill="auto"/>
          <w:tcMar>
            <w:top w:w="0" w:type="dxa"/>
          </w:tcMar>
        </w:tcPr>
        <w:p w:rsidR="00860836" w:rsidRPr="00AD7BF2" w:rsidRDefault="00860836" w:rsidP="004F54B2">
          <w:pPr>
            <w:pStyle w:val="FooterText"/>
          </w:pPr>
          <w:r>
            <w:t>6765/21</w:t>
          </w:r>
          <w:r w:rsidRPr="002511D8">
            <w:t xml:space="preserve"> </w:t>
          </w:r>
        </w:p>
      </w:tc>
      <w:tc>
        <w:tcPr>
          <w:tcW w:w="625" w:type="pct"/>
          <w:shd w:val="clear" w:color="auto" w:fill="auto"/>
          <w:tcMar>
            <w:top w:w="0" w:type="dxa"/>
          </w:tcMar>
        </w:tcPr>
        <w:p w:rsidR="00860836" w:rsidRPr="00AD7BF2" w:rsidRDefault="00860836" w:rsidP="00D94637">
          <w:pPr>
            <w:pStyle w:val="FooterText"/>
            <w:jc w:val="center"/>
          </w:pPr>
        </w:p>
      </w:tc>
      <w:tc>
        <w:tcPr>
          <w:tcW w:w="1286" w:type="pct"/>
          <w:gridSpan w:val="3"/>
          <w:shd w:val="clear" w:color="auto" w:fill="auto"/>
          <w:tcMar>
            <w:top w:w="0" w:type="dxa"/>
          </w:tcMar>
        </w:tcPr>
        <w:p w:rsidR="00860836" w:rsidRPr="002511D8" w:rsidRDefault="00860836" w:rsidP="00D94637">
          <w:pPr>
            <w:pStyle w:val="FooterText"/>
            <w:jc w:val="center"/>
          </w:pPr>
          <w:r>
            <w:t>men</w:t>
          </w:r>
        </w:p>
      </w:tc>
      <w:tc>
        <w:tcPr>
          <w:tcW w:w="589" w:type="pct"/>
          <w:shd w:val="clear" w:color="auto" w:fill="auto"/>
          <w:tcMar>
            <w:top w:w="0" w:type="dxa"/>
          </w:tcMar>
        </w:tcPr>
        <w:p w:rsidR="00860836" w:rsidRPr="00B310DC" w:rsidRDefault="00860836" w:rsidP="00860836">
          <w:pPr>
            <w:pStyle w:val="FooterText"/>
            <w:jc w:val="right"/>
          </w:pPr>
          <w:r>
            <w:fldChar w:fldCharType="begin"/>
          </w:r>
          <w:r>
            <w:instrText xml:space="preserve"> PAGE  \* MERGEFORMAT </w:instrText>
          </w:r>
          <w:r>
            <w:fldChar w:fldCharType="separate"/>
          </w:r>
          <w:r w:rsidR="000A781C">
            <w:rPr>
              <w:noProof/>
            </w:rPr>
            <w:t>0</w:t>
          </w:r>
          <w:r>
            <w:fldChar w:fldCharType="end"/>
          </w:r>
        </w:p>
      </w:tc>
    </w:tr>
    <w:tr w:rsidR="00860836" w:rsidRPr="00D94637" w:rsidTr="00860836">
      <w:trPr>
        <w:jc w:val="center"/>
      </w:trPr>
      <w:tc>
        <w:tcPr>
          <w:tcW w:w="1774" w:type="pct"/>
          <w:shd w:val="clear" w:color="auto" w:fill="auto"/>
        </w:tcPr>
        <w:p w:rsidR="00860836" w:rsidRPr="00AD7BF2" w:rsidRDefault="00860836" w:rsidP="00D94637">
          <w:pPr>
            <w:pStyle w:val="FooterText"/>
            <w:spacing w:before="40"/>
          </w:pPr>
        </w:p>
      </w:tc>
      <w:tc>
        <w:tcPr>
          <w:tcW w:w="1455" w:type="pct"/>
          <w:gridSpan w:val="3"/>
          <w:shd w:val="clear" w:color="auto" w:fill="auto"/>
        </w:tcPr>
        <w:p w:rsidR="00860836" w:rsidRPr="00AD7BF2" w:rsidRDefault="00860836" w:rsidP="00D204D6">
          <w:pPr>
            <w:pStyle w:val="FooterText"/>
            <w:spacing w:before="40"/>
            <w:jc w:val="center"/>
          </w:pPr>
          <w:r>
            <w:t>LIFE.2</w:t>
          </w:r>
        </w:p>
      </w:tc>
      <w:tc>
        <w:tcPr>
          <w:tcW w:w="742" w:type="pct"/>
          <w:shd w:val="clear" w:color="auto" w:fill="auto"/>
        </w:tcPr>
        <w:p w:rsidR="00860836" w:rsidRPr="00D94637" w:rsidRDefault="00860836" w:rsidP="002F0099">
          <w:pPr>
            <w:pStyle w:val="FooterText"/>
            <w:jc w:val="center"/>
            <w:rPr>
              <w:b/>
              <w:position w:val="-4"/>
              <w:sz w:val="36"/>
            </w:rPr>
          </w:pPr>
        </w:p>
      </w:tc>
      <w:tc>
        <w:tcPr>
          <w:tcW w:w="1029" w:type="pct"/>
          <w:gridSpan w:val="2"/>
          <w:shd w:val="clear" w:color="auto" w:fill="auto"/>
        </w:tcPr>
        <w:p w:rsidR="00860836" w:rsidRPr="000310C2" w:rsidRDefault="00860836" w:rsidP="00D94637">
          <w:pPr>
            <w:pStyle w:val="FooterText"/>
            <w:jc w:val="right"/>
            <w:rPr>
              <w:spacing w:val="-20"/>
              <w:sz w:val="16"/>
            </w:rPr>
          </w:pPr>
          <w:r>
            <w:rPr>
              <w:b/>
              <w:spacing w:val="-20"/>
              <w:position w:val="-4"/>
              <w:sz w:val="36"/>
            </w:rPr>
            <w:t>SL</w:t>
          </w:r>
        </w:p>
      </w:tc>
    </w:tr>
    <w:bookmarkEnd w:id="2"/>
  </w:tbl>
  <w:p w:rsidR="005D516B" w:rsidRPr="00860836" w:rsidRDefault="005D516B" w:rsidP="0086083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60836" w:rsidRPr="00D94637" w:rsidTr="00860836">
      <w:trPr>
        <w:jc w:val="center"/>
      </w:trPr>
      <w:tc>
        <w:tcPr>
          <w:tcW w:w="5000" w:type="pct"/>
          <w:gridSpan w:val="7"/>
          <w:shd w:val="clear" w:color="auto" w:fill="auto"/>
          <w:tcMar>
            <w:top w:w="57" w:type="dxa"/>
          </w:tcMar>
        </w:tcPr>
        <w:p w:rsidR="00860836" w:rsidRPr="00D94637" w:rsidRDefault="00860836" w:rsidP="00D94637">
          <w:pPr>
            <w:pStyle w:val="FooterText"/>
            <w:pBdr>
              <w:top w:val="single" w:sz="4" w:space="1" w:color="auto"/>
            </w:pBdr>
            <w:spacing w:before="200"/>
            <w:rPr>
              <w:sz w:val="2"/>
              <w:szCs w:val="2"/>
            </w:rPr>
          </w:pPr>
        </w:p>
      </w:tc>
    </w:tr>
    <w:tr w:rsidR="00860836" w:rsidRPr="00B310DC" w:rsidTr="00860836">
      <w:trPr>
        <w:jc w:val="center"/>
      </w:trPr>
      <w:tc>
        <w:tcPr>
          <w:tcW w:w="2500" w:type="pct"/>
          <w:gridSpan w:val="2"/>
          <w:shd w:val="clear" w:color="auto" w:fill="auto"/>
          <w:tcMar>
            <w:top w:w="0" w:type="dxa"/>
          </w:tcMar>
        </w:tcPr>
        <w:p w:rsidR="00860836" w:rsidRPr="00AD7BF2" w:rsidRDefault="00860836" w:rsidP="004F54B2">
          <w:pPr>
            <w:pStyle w:val="FooterText"/>
          </w:pPr>
          <w:r>
            <w:t>6765/21</w:t>
          </w:r>
          <w:r w:rsidRPr="002511D8">
            <w:t xml:space="preserve"> </w:t>
          </w:r>
        </w:p>
      </w:tc>
      <w:tc>
        <w:tcPr>
          <w:tcW w:w="625" w:type="pct"/>
          <w:shd w:val="clear" w:color="auto" w:fill="auto"/>
          <w:tcMar>
            <w:top w:w="0" w:type="dxa"/>
          </w:tcMar>
        </w:tcPr>
        <w:p w:rsidR="00860836" w:rsidRPr="00AD7BF2" w:rsidRDefault="00860836" w:rsidP="00D94637">
          <w:pPr>
            <w:pStyle w:val="FooterText"/>
            <w:jc w:val="center"/>
          </w:pPr>
        </w:p>
      </w:tc>
      <w:tc>
        <w:tcPr>
          <w:tcW w:w="1286" w:type="pct"/>
          <w:gridSpan w:val="3"/>
          <w:shd w:val="clear" w:color="auto" w:fill="auto"/>
          <w:tcMar>
            <w:top w:w="0" w:type="dxa"/>
          </w:tcMar>
        </w:tcPr>
        <w:p w:rsidR="00860836" w:rsidRPr="002511D8" w:rsidRDefault="00860836" w:rsidP="00D94637">
          <w:pPr>
            <w:pStyle w:val="FooterText"/>
            <w:jc w:val="center"/>
          </w:pPr>
          <w:r>
            <w:t>men</w:t>
          </w:r>
        </w:p>
      </w:tc>
      <w:tc>
        <w:tcPr>
          <w:tcW w:w="589" w:type="pct"/>
          <w:shd w:val="clear" w:color="auto" w:fill="auto"/>
          <w:tcMar>
            <w:top w:w="0" w:type="dxa"/>
          </w:tcMar>
        </w:tcPr>
        <w:p w:rsidR="00860836" w:rsidRPr="00B310DC" w:rsidRDefault="00860836" w:rsidP="00D94637">
          <w:pPr>
            <w:pStyle w:val="FooterText"/>
            <w:jc w:val="right"/>
          </w:pPr>
        </w:p>
      </w:tc>
    </w:tr>
    <w:tr w:rsidR="00860836" w:rsidRPr="00D94637" w:rsidTr="00860836">
      <w:trPr>
        <w:jc w:val="center"/>
      </w:trPr>
      <w:tc>
        <w:tcPr>
          <w:tcW w:w="1774" w:type="pct"/>
          <w:shd w:val="clear" w:color="auto" w:fill="auto"/>
        </w:tcPr>
        <w:p w:rsidR="00860836" w:rsidRPr="00AD7BF2" w:rsidRDefault="00860836" w:rsidP="00D94637">
          <w:pPr>
            <w:pStyle w:val="FooterText"/>
            <w:spacing w:before="40"/>
          </w:pPr>
        </w:p>
      </w:tc>
      <w:tc>
        <w:tcPr>
          <w:tcW w:w="1455" w:type="pct"/>
          <w:gridSpan w:val="3"/>
          <w:shd w:val="clear" w:color="auto" w:fill="auto"/>
        </w:tcPr>
        <w:p w:rsidR="00860836" w:rsidRPr="00AD7BF2" w:rsidRDefault="00860836" w:rsidP="00D204D6">
          <w:pPr>
            <w:pStyle w:val="FooterText"/>
            <w:spacing w:before="40"/>
            <w:jc w:val="center"/>
          </w:pPr>
          <w:r>
            <w:t>LIFE.2</w:t>
          </w:r>
        </w:p>
      </w:tc>
      <w:tc>
        <w:tcPr>
          <w:tcW w:w="742" w:type="pct"/>
          <w:shd w:val="clear" w:color="auto" w:fill="auto"/>
        </w:tcPr>
        <w:p w:rsidR="00860836" w:rsidRPr="00D94637" w:rsidRDefault="00860836" w:rsidP="002F0099">
          <w:pPr>
            <w:pStyle w:val="FooterText"/>
            <w:jc w:val="center"/>
            <w:rPr>
              <w:b/>
              <w:position w:val="-4"/>
              <w:sz w:val="36"/>
            </w:rPr>
          </w:pPr>
        </w:p>
      </w:tc>
      <w:tc>
        <w:tcPr>
          <w:tcW w:w="1029" w:type="pct"/>
          <w:gridSpan w:val="2"/>
          <w:shd w:val="clear" w:color="auto" w:fill="auto"/>
        </w:tcPr>
        <w:p w:rsidR="00860836" w:rsidRPr="000310C2" w:rsidRDefault="00860836" w:rsidP="00D94637">
          <w:pPr>
            <w:pStyle w:val="FooterText"/>
            <w:jc w:val="right"/>
            <w:rPr>
              <w:spacing w:val="-20"/>
              <w:sz w:val="16"/>
            </w:rPr>
          </w:pPr>
          <w:r>
            <w:rPr>
              <w:b/>
              <w:spacing w:val="-20"/>
              <w:position w:val="-4"/>
              <w:sz w:val="36"/>
            </w:rPr>
            <w:t>SL</w:t>
          </w:r>
        </w:p>
      </w:tc>
    </w:tr>
  </w:tbl>
  <w:p w:rsidR="00860836" w:rsidRPr="00860836" w:rsidRDefault="00860836" w:rsidP="0086083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Default="008608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Default="00860836">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Default="008608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6B" w:rsidRDefault="00860836">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0A781C">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6B" w:rsidRDefault="005D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6B" w:rsidRDefault="00860836">
      <w:pPr>
        <w:spacing w:before="0" w:after="0"/>
      </w:pPr>
      <w:r>
        <w:separator/>
      </w:r>
    </w:p>
  </w:footnote>
  <w:footnote w:type="continuationSeparator" w:id="0">
    <w:p w:rsidR="005D516B" w:rsidRDefault="00860836">
      <w:pPr>
        <w:spacing w:before="0" w:after="0"/>
      </w:pPr>
      <w:r>
        <w:continuationSeparator/>
      </w:r>
    </w:p>
  </w:footnote>
  <w:footnote w:id="1">
    <w:p w:rsidR="005D516B" w:rsidRDefault="00860836">
      <w:pPr>
        <w:pStyle w:val="FootnoteText"/>
      </w:pPr>
      <w:r>
        <w:rPr>
          <w:rStyle w:val="FootnoteReference"/>
        </w:rPr>
        <w:footnoteRef/>
      </w:r>
      <w:r>
        <w:tab/>
        <w:t>Uredba Sveta (EU) 2021/92 z dne 28. januarja 2021 o določitvi ribolovnih možnosti za leto 2021 za nekatere staleže rib in skupine staležev rib, ki se uporabljajo za vode Unije in za ribiška plovila Unije v nekaterih vodah zunaj Unije (UL L 31, 29.1.2021, str. 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Pr="00860836" w:rsidRDefault="00860836" w:rsidP="00860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Pr="00860836" w:rsidRDefault="00860836" w:rsidP="0086083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Pr="00860836" w:rsidRDefault="00860836" w:rsidP="0086083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Default="008608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Default="008608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36" w:rsidRDefault="0086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4FE144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4.3&quot; technicalblockguid=&quot;4659293502815247931&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1-03-10&lt;/text&gt;_x000d__x000a_  &lt;/metadata&gt;_x000d__x000a_  &lt;metadata key=&quot;md_Prefix&quot;&gt;_x000d__x000a_    &lt;text&gt;&lt;/text&gt;_x000d__x000a_  &lt;/metadata&gt;_x000d__x000a_  &lt;metadata key=&quot;md_DocumentNumber&quot;&gt;_x000d__x000a_    &lt;text&gt;6765&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7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1/0056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1-03-1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11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UREDBE SVETA o spremembi Uredbe (EU) 2021/92 glede nekaterih ribolovnih mo&amp;#382;nosti za leto 2021 v vodah Unije in vodah zunaj Unije&quot;&gt;&amp;lt;FlowDocument FontFamily=&quot;Segoe UI&quot; FontSize=&quot;12&quot; LineHeight=&quot;6&quot; PageWidth=&quot;329&quot; PagePadding=&quot;2,2,2,2&quot; AllowDrop=&quot;False&quot; xmlns=&quot;http://schemas.microsoft.com/winfx/2006/xaml/presentation&quot;&amp;gt;&amp;lt;Paragraph&amp;gt;Predlog UREDB&amp;lt;Run xml:lang=&quot;sl-si&quot;&amp;gt;E&amp;lt;/Run&amp;gt; SVETA o spremembi Uredbe (EU) 2021/92 glede nekaterih ribolovnih mo&amp;#382;nosti za leto 2021 v vodah Unije in vodah zunaj Unije&amp;lt;/Paragraph&amp;gt;&amp;lt;/FlowDocument&amp;gt;&lt;/xaml&gt;_x000d__x000a_  &lt;/metadata&gt;_x000d__x000a_  &lt;metadata key=&quot;md_SubjectFootnote&quot; /&gt;_x000d__x000a_  &lt;metadata key=&quot;md_DG&quot;&gt;_x000d__x000a_    &lt;text&gt;LIFE.2&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SVETA&lt;/text&gt;_x000d__x000a_  &lt;/metadata&gt;_x000d__x000a_  &lt;metadata key=&quot;md_SourceDocTitle&quot;&gt;_x000d__x000a_    &lt;text&gt;o spremembi Uredbe (EU) 2021/92 glede nekaterih ribolovnih mo&amp;#382;nosti za leto 2021 v vodah Unije in vodah zunaj Unij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1-03-03 09:03: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E4627AD-8090-4CF3-8DE2-F3F04B3CD744"/>
    <w:docVar w:name="LW_COVERPAGE_TYPE" w:val="1"/>
    <w:docVar w:name="LW_CROSSREFERENCE" w:val="&lt;UNUSED&gt;"/>
    <w:docVar w:name="LW_DocType" w:val="COM"/>
    <w:docVar w:name="LW_EMISSION" w:val="10.3.2021"/>
    <w:docVar w:name="LW_EMISSION_ISODATE" w:val="2021-03-10"/>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56"/>
    <w:docVar w:name="LW_REF.II.NEW.CP_YEAR" w:val="2021"/>
    <w:docVar w:name="LW_REF.INST.NEW" w:val="COM"/>
    <w:docVar w:name="LW_REF.INST.NEW_ADOPTED" w:val="final"/>
    <w:docVar w:name="LW_REF.INST.NEW_TEXT" w:val="(2021) 1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edlog"/>
    <w:docVar w:name="LW_SUPERTITRE" w:val="&lt;UNUSED&gt;"/>
    <w:docVar w:name="LW_TITRE.OBJ.CP" w:val="o spremembi Uredbe (EU) 2021/92 glede nekaterih ribolovnih mo\u382?nosti za leto 2021 v vodah Unije in vodah zunaj Unije  "/>
    <w:docVar w:name="LW_TYPE.DOC.CP" w:val="UREDBA SVETA"/>
  </w:docVars>
  <w:rsids>
    <w:rsidRoot w:val="005D516B"/>
    <w:rsid w:val="000A781C"/>
    <w:rsid w:val="005D516B"/>
    <w:rsid w:val="008608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09D316E-4DBA-49B3-B7AD-E1B4D637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860836"/>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860836"/>
    <w:pPr>
      <w:spacing w:before="0" w:after="240"/>
      <w:jc w:val="center"/>
    </w:pPr>
  </w:style>
  <w:style w:type="character" w:customStyle="1" w:styleId="TechnicalBlockChar">
    <w:name w:val="Technical Block Char"/>
    <w:basedOn w:val="DefaultParagraphFont"/>
    <w:link w:val="TechnicalBlock"/>
    <w:rsid w:val="00860836"/>
    <w:rPr>
      <w:rFonts w:ascii="Times New Roman" w:hAnsi="Times New Roman" w:cs="Times New Roman"/>
      <w:sz w:val="24"/>
      <w:lang w:val="sl-SI"/>
    </w:rPr>
  </w:style>
  <w:style w:type="paragraph" w:customStyle="1" w:styleId="Lignefinal">
    <w:name w:val="Ligne final"/>
    <w:basedOn w:val="Normal"/>
    <w:next w:val="Normal"/>
    <w:rsid w:val="00860836"/>
    <w:pPr>
      <w:pBdr>
        <w:bottom w:val="single" w:sz="4" w:space="0" w:color="000000"/>
      </w:pBdr>
      <w:spacing w:before="360" w:line="360" w:lineRule="auto"/>
      <w:ind w:left="3400" w:right="3400"/>
      <w:jc w:val="center"/>
    </w:pPr>
    <w:rPr>
      <w:b/>
    </w:rPr>
  </w:style>
  <w:style w:type="paragraph" w:customStyle="1" w:styleId="EntText">
    <w:name w:val="EntText"/>
    <w:basedOn w:val="Normal"/>
    <w:rsid w:val="00860836"/>
    <w:pPr>
      <w:spacing w:line="360" w:lineRule="auto"/>
      <w:jc w:val="left"/>
    </w:pPr>
  </w:style>
  <w:style w:type="paragraph" w:customStyle="1" w:styleId="pj">
    <w:name w:val="p.j."/>
    <w:basedOn w:val="Normal"/>
    <w:link w:val="pjChar"/>
    <w:rsid w:val="00860836"/>
    <w:pPr>
      <w:spacing w:before="1200"/>
      <w:ind w:left="1440" w:hanging="1440"/>
      <w:jc w:val="left"/>
    </w:pPr>
  </w:style>
  <w:style w:type="character" w:customStyle="1" w:styleId="pjChar">
    <w:name w:val="p.j. Char"/>
    <w:basedOn w:val="TechnicalBlockChar"/>
    <w:link w:val="pj"/>
    <w:rsid w:val="00860836"/>
    <w:rPr>
      <w:rFonts w:ascii="Times New Roman" w:hAnsi="Times New Roman" w:cs="Times New Roman"/>
      <w:sz w:val="24"/>
      <w:lang w:val="sl-SI"/>
    </w:rPr>
  </w:style>
  <w:style w:type="paragraph" w:customStyle="1" w:styleId="nbbordered">
    <w:name w:val="nb bordered"/>
    <w:basedOn w:val="Normal"/>
    <w:link w:val="nbborderedChar"/>
    <w:rsid w:val="00860836"/>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860836"/>
    <w:rPr>
      <w:rFonts w:ascii="Times New Roman" w:hAnsi="Times New Roman" w:cs="Times New Roman"/>
      <w:b/>
      <w:sz w:val="24"/>
      <w:lang w:val="sl-SI"/>
    </w:rPr>
  </w:style>
  <w:style w:type="paragraph" w:customStyle="1" w:styleId="HeaderCouncil">
    <w:name w:val="Header Council"/>
    <w:basedOn w:val="Normal"/>
    <w:link w:val="HeaderCouncilChar"/>
    <w:rsid w:val="00860836"/>
    <w:pPr>
      <w:spacing w:before="0" w:after="0"/>
    </w:pPr>
    <w:rPr>
      <w:sz w:val="2"/>
    </w:rPr>
  </w:style>
  <w:style w:type="character" w:customStyle="1" w:styleId="HeaderCouncilChar">
    <w:name w:val="Header Council Char"/>
    <w:basedOn w:val="DefaultParagraphFont"/>
    <w:link w:val="HeaderCouncil"/>
    <w:rsid w:val="00860836"/>
    <w:rPr>
      <w:rFonts w:ascii="Times New Roman" w:hAnsi="Times New Roman" w:cs="Times New Roman"/>
      <w:sz w:val="2"/>
      <w:lang w:val="sl-SI"/>
    </w:rPr>
  </w:style>
  <w:style w:type="paragraph" w:customStyle="1" w:styleId="HeaderCouncilLarge">
    <w:name w:val="Header Council Large"/>
    <w:basedOn w:val="Normal"/>
    <w:link w:val="HeaderCouncilLargeChar"/>
    <w:rsid w:val="00860836"/>
    <w:pPr>
      <w:spacing w:before="0" w:after="440"/>
    </w:pPr>
    <w:rPr>
      <w:sz w:val="2"/>
    </w:rPr>
  </w:style>
  <w:style w:type="character" w:customStyle="1" w:styleId="HeaderCouncilLargeChar">
    <w:name w:val="Header Council Large Char"/>
    <w:basedOn w:val="DefaultParagraphFont"/>
    <w:link w:val="HeaderCouncilLarge"/>
    <w:rsid w:val="00860836"/>
    <w:rPr>
      <w:rFonts w:ascii="Times New Roman" w:hAnsi="Times New Roman" w:cs="Times New Roman"/>
      <w:sz w:val="2"/>
      <w:lang w:val="sl-SI"/>
    </w:rPr>
  </w:style>
  <w:style w:type="paragraph" w:customStyle="1" w:styleId="FooterCouncil">
    <w:name w:val="Footer Council"/>
    <w:basedOn w:val="Normal"/>
    <w:link w:val="FooterCouncilChar"/>
    <w:rsid w:val="00860836"/>
    <w:pPr>
      <w:spacing w:before="0" w:after="0"/>
    </w:pPr>
    <w:rPr>
      <w:sz w:val="2"/>
    </w:rPr>
  </w:style>
  <w:style w:type="character" w:customStyle="1" w:styleId="FooterCouncilChar">
    <w:name w:val="Footer Council Char"/>
    <w:basedOn w:val="DefaultParagraphFont"/>
    <w:link w:val="FooterCouncil"/>
    <w:rsid w:val="00860836"/>
    <w:rPr>
      <w:rFonts w:ascii="Times New Roman" w:hAnsi="Times New Roman" w:cs="Times New Roman"/>
      <w:sz w:val="2"/>
      <w:lang w:val="sl-SI"/>
    </w:rPr>
  </w:style>
  <w:style w:type="paragraph" w:customStyle="1" w:styleId="FooterText">
    <w:name w:val="Footer Text"/>
    <w:basedOn w:val="Normal"/>
    <w:rsid w:val="00860836"/>
    <w:pPr>
      <w:spacing w:before="0" w:after="0"/>
      <w:jc w:val="left"/>
    </w:pPr>
    <w:rPr>
      <w:rFonts w:eastAsia="Times New Roman"/>
      <w:szCs w:val="24"/>
      <w:lang w:val="en-GB"/>
    </w:rPr>
  </w:style>
  <w:style w:type="character" w:styleId="PlaceholderText">
    <w:name w:val="Placeholder Text"/>
    <w:basedOn w:val="DefaultParagraphFont"/>
    <w:uiPriority w:val="99"/>
    <w:semiHidden/>
    <w:rsid w:val="008608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84621">
      <w:bodyDiv w:val="1"/>
      <w:marLeft w:val="0"/>
      <w:marRight w:val="0"/>
      <w:marTop w:val="0"/>
      <w:marBottom w:val="0"/>
      <w:divBdr>
        <w:top w:val="none" w:sz="0" w:space="0" w:color="auto"/>
        <w:left w:val="none" w:sz="0" w:space="0" w:color="auto"/>
        <w:bottom w:val="none" w:sz="0" w:space="0" w:color="auto"/>
        <w:right w:val="none" w:sz="0" w:space="0" w:color="auto"/>
      </w:divBdr>
      <w:divsChild>
        <w:div w:id="1807426841">
          <w:marLeft w:val="0"/>
          <w:marRight w:val="0"/>
          <w:marTop w:val="0"/>
          <w:marBottom w:val="0"/>
          <w:divBdr>
            <w:top w:val="none" w:sz="0" w:space="0" w:color="auto"/>
            <w:left w:val="none" w:sz="0" w:space="0" w:color="auto"/>
            <w:bottom w:val="none" w:sz="0" w:space="0" w:color="auto"/>
            <w:right w:val="none" w:sz="0" w:space="0" w:color="auto"/>
          </w:divBdr>
          <w:divsChild>
            <w:div w:id="1876766329">
              <w:marLeft w:val="0"/>
              <w:marRight w:val="0"/>
              <w:marTop w:val="0"/>
              <w:marBottom w:val="0"/>
              <w:divBdr>
                <w:top w:val="none" w:sz="0" w:space="0" w:color="auto"/>
                <w:left w:val="none" w:sz="0" w:space="0" w:color="auto"/>
                <w:bottom w:val="none" w:sz="0" w:space="0" w:color="auto"/>
                <w:right w:val="none" w:sz="0" w:space="0" w:color="auto"/>
              </w:divBdr>
              <w:divsChild>
                <w:div w:id="833491775">
                  <w:marLeft w:val="0"/>
                  <w:marRight w:val="0"/>
                  <w:marTop w:val="0"/>
                  <w:marBottom w:val="0"/>
                  <w:divBdr>
                    <w:top w:val="none" w:sz="0" w:space="0" w:color="auto"/>
                    <w:left w:val="none" w:sz="0" w:space="0" w:color="auto"/>
                    <w:bottom w:val="none" w:sz="0" w:space="0" w:color="auto"/>
                    <w:right w:val="none" w:sz="0" w:space="0" w:color="auto"/>
                  </w:divBdr>
                  <w:divsChild>
                    <w:div w:id="935555531">
                      <w:marLeft w:val="1"/>
                      <w:marRight w:val="1"/>
                      <w:marTop w:val="0"/>
                      <w:marBottom w:val="0"/>
                      <w:divBdr>
                        <w:top w:val="none" w:sz="0" w:space="0" w:color="auto"/>
                        <w:left w:val="none" w:sz="0" w:space="0" w:color="auto"/>
                        <w:bottom w:val="none" w:sz="0" w:space="0" w:color="auto"/>
                        <w:right w:val="none" w:sz="0" w:space="0" w:color="auto"/>
                      </w:divBdr>
                      <w:divsChild>
                        <w:div w:id="1097483941">
                          <w:marLeft w:val="0"/>
                          <w:marRight w:val="0"/>
                          <w:marTop w:val="0"/>
                          <w:marBottom w:val="0"/>
                          <w:divBdr>
                            <w:top w:val="none" w:sz="0" w:space="0" w:color="auto"/>
                            <w:left w:val="none" w:sz="0" w:space="0" w:color="auto"/>
                            <w:bottom w:val="none" w:sz="0" w:space="0" w:color="auto"/>
                            <w:right w:val="none" w:sz="0" w:space="0" w:color="auto"/>
                          </w:divBdr>
                          <w:divsChild>
                            <w:div w:id="840316443">
                              <w:marLeft w:val="0"/>
                              <w:marRight w:val="0"/>
                              <w:marTop w:val="0"/>
                              <w:marBottom w:val="360"/>
                              <w:divBdr>
                                <w:top w:val="none" w:sz="0" w:space="0" w:color="auto"/>
                                <w:left w:val="none" w:sz="0" w:space="0" w:color="auto"/>
                                <w:bottom w:val="none" w:sz="0" w:space="0" w:color="auto"/>
                                <w:right w:val="none" w:sz="0" w:space="0" w:color="auto"/>
                              </w:divBdr>
                              <w:divsChild>
                                <w:div w:id="1164780254">
                                  <w:marLeft w:val="0"/>
                                  <w:marRight w:val="0"/>
                                  <w:marTop w:val="0"/>
                                  <w:marBottom w:val="0"/>
                                  <w:divBdr>
                                    <w:top w:val="none" w:sz="0" w:space="0" w:color="auto"/>
                                    <w:left w:val="none" w:sz="0" w:space="0" w:color="auto"/>
                                    <w:bottom w:val="none" w:sz="0" w:space="0" w:color="auto"/>
                                    <w:right w:val="none" w:sz="0" w:space="0" w:color="auto"/>
                                  </w:divBdr>
                                  <w:divsChild>
                                    <w:div w:id="1265844140">
                                      <w:marLeft w:val="0"/>
                                      <w:marRight w:val="0"/>
                                      <w:marTop w:val="0"/>
                                      <w:marBottom w:val="0"/>
                                      <w:divBdr>
                                        <w:top w:val="none" w:sz="0" w:space="0" w:color="auto"/>
                                        <w:left w:val="none" w:sz="0" w:space="0" w:color="auto"/>
                                        <w:bottom w:val="none" w:sz="0" w:space="0" w:color="auto"/>
                                        <w:right w:val="none" w:sz="0" w:space="0" w:color="auto"/>
                                      </w:divBdr>
                                      <w:divsChild>
                                        <w:div w:id="1358121743">
                                          <w:marLeft w:val="0"/>
                                          <w:marRight w:val="0"/>
                                          <w:marTop w:val="0"/>
                                          <w:marBottom w:val="0"/>
                                          <w:divBdr>
                                            <w:top w:val="none" w:sz="0" w:space="0" w:color="auto"/>
                                            <w:left w:val="none" w:sz="0" w:space="0" w:color="auto"/>
                                            <w:bottom w:val="none" w:sz="0" w:space="0" w:color="auto"/>
                                            <w:right w:val="none" w:sz="0" w:space="0" w:color="auto"/>
                                          </w:divBdr>
                                        </w:div>
                                        <w:div w:id="567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641D-62C1-475B-A499-87377A1E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MENART Mihael</dc:creator>
  <cp:lastModifiedBy>MENART Mihael</cp:lastModifiedBy>
  <cp:revision>3</cp:revision>
  <cp:lastPrinted>2020-02-21T08:57:00Z</cp:lastPrinted>
  <dcterms:created xsi:type="dcterms:W3CDTF">2021-03-11T13:35:00Z</dcterms:created>
  <dcterms:modified xsi:type="dcterms:W3CDTF">2021-03-11T13:35:00Z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DocuWrite 4.4.3, Build 20201021</vt:lpwstr>
  </property>
  <property fmtid="{D5CDD505-2E9C-101B-9397-08002B2CF9AE}" pid="5" name="Created using">
    <vt:lpwstr>DocuWrite 4.4.3, Build 20201021</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