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8B176" w14:textId="37D40E31" w:rsidR="005218C9" w:rsidRPr="00D27DA9" w:rsidRDefault="005218C9" w:rsidP="00D54094">
      <w:pPr>
        <w:pStyle w:val="Glava"/>
        <w:tabs>
          <w:tab w:val="left" w:pos="5112"/>
        </w:tabs>
        <w:spacing w:line="240" w:lineRule="exact"/>
        <w:rPr>
          <w:rFonts w:cstheme="minorHAnsi"/>
        </w:rPr>
      </w:pPr>
      <w:bookmarkStart w:id="0" w:name="_GoBack"/>
      <w:bookmarkEnd w:id="0"/>
    </w:p>
    <w:p w14:paraId="245CCDC4" w14:textId="77777777" w:rsidR="005218C9" w:rsidRPr="00D27DA9" w:rsidRDefault="005218C9" w:rsidP="00D54094">
      <w:pPr>
        <w:pStyle w:val="Glava"/>
        <w:tabs>
          <w:tab w:val="left" w:pos="5112"/>
        </w:tabs>
        <w:spacing w:line="240" w:lineRule="exact"/>
        <w:rPr>
          <w:rFonts w:cstheme="minorHAnsi"/>
        </w:rPr>
      </w:pPr>
      <w:r w:rsidRPr="00D27DA9">
        <w:rPr>
          <w:rFonts w:cstheme="minorHAnsi"/>
        </w:rPr>
        <w:t xml:space="preserve">        </w:t>
      </w:r>
      <w:r w:rsidRPr="00D27DA9">
        <w:rPr>
          <w:rFonts w:cstheme="minorHAnsi"/>
          <w:noProof/>
          <w:lang w:eastAsia="sl-SI"/>
        </w:rPr>
        <w:drawing>
          <wp:anchor distT="0" distB="0" distL="114300" distR="114300" simplePos="0" relativeHeight="251659264" behindDoc="0" locked="0" layoutInCell="1" allowOverlap="1" wp14:anchorId="4069773E" wp14:editId="291067E8">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Pr="00D27DA9">
        <w:rPr>
          <w:rFonts w:cstheme="minorHAnsi"/>
        </w:rPr>
        <w:t>Gregorčičeva 20–25, Sl-1001 Ljubljana</w:t>
      </w:r>
      <w:r w:rsidRPr="00D27DA9">
        <w:rPr>
          <w:rFonts w:cstheme="minorHAnsi"/>
        </w:rPr>
        <w:tab/>
      </w:r>
      <w:r w:rsidRPr="00D27DA9">
        <w:rPr>
          <w:rFonts w:cstheme="minorHAnsi"/>
        </w:rPr>
        <w:tab/>
        <w:t>T: +386 1 478 1000</w:t>
      </w:r>
    </w:p>
    <w:p w14:paraId="174EA023" w14:textId="77777777" w:rsidR="005218C9" w:rsidRPr="00D27DA9" w:rsidRDefault="005218C9" w:rsidP="00D54094">
      <w:pPr>
        <w:pStyle w:val="Glava"/>
        <w:tabs>
          <w:tab w:val="left" w:pos="5112"/>
        </w:tabs>
        <w:spacing w:line="240" w:lineRule="exact"/>
        <w:rPr>
          <w:rFonts w:cstheme="minorHAnsi"/>
        </w:rPr>
      </w:pPr>
      <w:r w:rsidRPr="00D27DA9">
        <w:rPr>
          <w:rFonts w:cstheme="minorHAnsi"/>
        </w:rPr>
        <w:tab/>
      </w:r>
      <w:r w:rsidRPr="00D27DA9">
        <w:rPr>
          <w:rFonts w:cstheme="minorHAnsi"/>
        </w:rPr>
        <w:tab/>
        <w:t>F: +386 1 478 1607</w:t>
      </w:r>
    </w:p>
    <w:p w14:paraId="3E622094" w14:textId="77777777" w:rsidR="005218C9" w:rsidRPr="00D27DA9" w:rsidRDefault="005218C9" w:rsidP="00D54094">
      <w:pPr>
        <w:pStyle w:val="Glava"/>
        <w:tabs>
          <w:tab w:val="left" w:pos="5112"/>
        </w:tabs>
        <w:spacing w:line="240" w:lineRule="exact"/>
        <w:rPr>
          <w:rFonts w:cstheme="minorHAnsi"/>
        </w:rPr>
      </w:pPr>
      <w:r w:rsidRPr="00D27DA9">
        <w:rPr>
          <w:rFonts w:cstheme="minorHAnsi"/>
        </w:rPr>
        <w:tab/>
      </w:r>
      <w:r w:rsidRPr="00D27DA9">
        <w:rPr>
          <w:rFonts w:cstheme="minorHAnsi"/>
        </w:rPr>
        <w:tab/>
        <w:t>E: gp.gs@gov.si</w:t>
      </w:r>
    </w:p>
    <w:p w14:paraId="55889AA4" w14:textId="77777777" w:rsidR="005218C9" w:rsidRPr="00D27DA9" w:rsidRDefault="005218C9" w:rsidP="00D54094">
      <w:pPr>
        <w:pStyle w:val="Glava"/>
        <w:tabs>
          <w:tab w:val="left" w:pos="5112"/>
        </w:tabs>
        <w:spacing w:line="240" w:lineRule="exact"/>
        <w:rPr>
          <w:rFonts w:cstheme="minorHAnsi"/>
        </w:rPr>
      </w:pPr>
      <w:r w:rsidRPr="00D27DA9">
        <w:rPr>
          <w:rFonts w:cstheme="minorHAnsi"/>
        </w:rPr>
        <w:tab/>
      </w:r>
      <w:r w:rsidRPr="00D27DA9">
        <w:rPr>
          <w:rFonts w:cstheme="minorHAnsi"/>
        </w:rPr>
        <w:tab/>
        <w:t>http://www.vlada.si/</w:t>
      </w:r>
    </w:p>
    <w:p w14:paraId="74A16D5A" w14:textId="77777777" w:rsidR="00E26899" w:rsidRPr="00D27DA9" w:rsidRDefault="00E26899" w:rsidP="00D54094">
      <w:pPr>
        <w:spacing w:after="0"/>
        <w:rPr>
          <w:rFonts w:cstheme="minorHAnsi"/>
        </w:rPr>
      </w:pPr>
    </w:p>
    <w:p w14:paraId="2EA86348" w14:textId="18B29C2C" w:rsidR="00544EAA" w:rsidRPr="00D27DA9" w:rsidRDefault="006A51CA" w:rsidP="00544EAA">
      <w:pPr>
        <w:pStyle w:val="datumtevilka"/>
        <w:rPr>
          <w:rFonts w:asciiTheme="minorHAnsi" w:hAnsiTheme="minorHAnsi" w:cstheme="minorHAnsi"/>
          <w:sz w:val="22"/>
          <w:szCs w:val="22"/>
        </w:rPr>
      </w:pPr>
      <w:r w:rsidRPr="00D27DA9">
        <w:rPr>
          <w:rFonts w:asciiTheme="minorHAnsi" w:hAnsiTheme="minorHAnsi" w:cstheme="minorHAnsi"/>
          <w:sz w:val="22"/>
          <w:szCs w:val="22"/>
        </w:rPr>
        <w:t xml:space="preserve">Številka: </w:t>
      </w:r>
    </w:p>
    <w:p w14:paraId="0CF58C63" w14:textId="440866C2" w:rsidR="00544EAA" w:rsidRPr="00D27DA9" w:rsidRDefault="00544EAA" w:rsidP="00544EAA">
      <w:pPr>
        <w:pStyle w:val="datumtevilka"/>
        <w:rPr>
          <w:rFonts w:asciiTheme="minorHAnsi" w:hAnsiTheme="minorHAnsi" w:cstheme="minorHAnsi"/>
          <w:sz w:val="22"/>
          <w:szCs w:val="22"/>
        </w:rPr>
      </w:pPr>
      <w:r w:rsidRPr="00D27DA9">
        <w:rPr>
          <w:rFonts w:asciiTheme="minorHAnsi" w:hAnsiTheme="minorHAnsi" w:cstheme="minorHAnsi"/>
          <w:sz w:val="22"/>
          <w:szCs w:val="22"/>
        </w:rPr>
        <w:t>Datum:</w:t>
      </w:r>
    </w:p>
    <w:p w14:paraId="3E82F67B" w14:textId="77777777" w:rsidR="005218C9" w:rsidRPr="00D27DA9" w:rsidRDefault="005218C9" w:rsidP="00D54094">
      <w:pPr>
        <w:spacing w:after="0"/>
        <w:rPr>
          <w:rFonts w:cstheme="minorHAnsi"/>
        </w:rPr>
      </w:pPr>
    </w:p>
    <w:p w14:paraId="41369CA2" w14:textId="77777777" w:rsidR="00F93316" w:rsidRPr="00D27DA9" w:rsidRDefault="00DA6D69" w:rsidP="00D54094">
      <w:pPr>
        <w:spacing w:after="0"/>
        <w:jc w:val="center"/>
        <w:rPr>
          <w:rFonts w:cstheme="minorHAnsi"/>
          <w:b/>
        </w:rPr>
      </w:pPr>
      <w:r w:rsidRPr="00D27DA9">
        <w:rPr>
          <w:rFonts w:cstheme="minorHAnsi"/>
          <w:b/>
        </w:rPr>
        <w:t xml:space="preserve"> </w:t>
      </w:r>
      <w:r w:rsidR="00F34D20" w:rsidRPr="00D27DA9">
        <w:rPr>
          <w:rFonts w:cstheme="minorHAnsi"/>
          <w:b/>
        </w:rPr>
        <w:t>I</w:t>
      </w:r>
      <w:r w:rsidRPr="00D27DA9">
        <w:rPr>
          <w:rFonts w:cstheme="minorHAnsi"/>
          <w:b/>
        </w:rPr>
        <w:t>zvedbeni načrt za izpolnjevanje</w:t>
      </w:r>
      <w:r w:rsidR="00B801E9" w:rsidRPr="00D27DA9">
        <w:rPr>
          <w:rFonts w:cstheme="minorHAnsi"/>
          <w:b/>
        </w:rPr>
        <w:t xml:space="preserve"> kriterijev in zavez Republike Slov</w:t>
      </w:r>
      <w:r w:rsidR="00B0051E" w:rsidRPr="00D27DA9">
        <w:rPr>
          <w:rFonts w:cstheme="minorHAnsi"/>
          <w:b/>
        </w:rPr>
        <w:t>enije za</w:t>
      </w:r>
      <w:r w:rsidR="00C860AF" w:rsidRPr="00D27DA9">
        <w:rPr>
          <w:rFonts w:cstheme="minorHAnsi"/>
          <w:b/>
        </w:rPr>
        <w:t xml:space="preserve"> Stalno strukturno sodelovan</w:t>
      </w:r>
      <w:r w:rsidR="00B801E9" w:rsidRPr="00D27DA9">
        <w:rPr>
          <w:rFonts w:cstheme="minorHAnsi"/>
          <w:b/>
        </w:rPr>
        <w:t xml:space="preserve">je na področju varnosti in obrambe Evropske unije </w:t>
      </w:r>
      <w:r w:rsidR="00F34D20" w:rsidRPr="00D27DA9">
        <w:rPr>
          <w:rFonts w:cstheme="minorHAnsi"/>
          <w:b/>
        </w:rPr>
        <w:t>(PESCO)</w:t>
      </w:r>
      <w:r w:rsidR="00F93316" w:rsidRPr="00D27DA9">
        <w:rPr>
          <w:rFonts w:cstheme="minorHAnsi"/>
          <w:b/>
        </w:rPr>
        <w:t xml:space="preserve"> </w:t>
      </w:r>
    </w:p>
    <w:p w14:paraId="6723C56C" w14:textId="4CF5EF93" w:rsidR="00F93316" w:rsidRPr="00D27DA9" w:rsidRDefault="00DE73A7" w:rsidP="00D54094">
      <w:pPr>
        <w:spacing w:after="0"/>
        <w:rPr>
          <w:rFonts w:cstheme="minorHAnsi"/>
        </w:rPr>
      </w:pPr>
      <w:r w:rsidRPr="00D27DA9">
        <w:rPr>
          <w:rFonts w:cstheme="minorHAnsi"/>
        </w:rPr>
        <w:t>Pravna podlaga</w:t>
      </w:r>
      <w:r w:rsidR="006E34D8" w:rsidRPr="00D27DA9">
        <w:rPr>
          <w:rFonts w:cstheme="minorHAnsi"/>
        </w:rPr>
        <w:t>:</w:t>
      </w:r>
      <w:r w:rsidRPr="00D27DA9">
        <w:rPr>
          <w:rFonts w:cstheme="minorHAnsi"/>
        </w:rPr>
        <w:t xml:space="preserve"> </w:t>
      </w:r>
      <w:r w:rsidR="009871D3" w:rsidRPr="00D27DA9">
        <w:rPr>
          <w:rFonts w:cstheme="minorHAnsi"/>
        </w:rPr>
        <w:t>Večje skupne obveznosti</w:t>
      </w:r>
      <w:r w:rsidRPr="00D27DA9">
        <w:rPr>
          <w:rFonts w:cstheme="minorHAnsi"/>
        </w:rPr>
        <w:t xml:space="preserve"> (</w:t>
      </w:r>
      <w:r w:rsidR="009871D3" w:rsidRPr="00D27DA9">
        <w:rPr>
          <w:rFonts w:cstheme="minorHAnsi"/>
        </w:rPr>
        <w:t>Sklep Sveta (SZVP)</w:t>
      </w:r>
      <w:r w:rsidRPr="00D27DA9">
        <w:rPr>
          <w:rFonts w:cstheme="minorHAnsi"/>
        </w:rPr>
        <w:t xml:space="preserve"> 2017/2315</w:t>
      </w:r>
      <w:r w:rsidR="009871D3" w:rsidRPr="00D27DA9">
        <w:rPr>
          <w:rFonts w:cstheme="minorHAnsi"/>
        </w:rPr>
        <w:t xml:space="preserve"> z dne </w:t>
      </w:r>
      <w:r w:rsidRPr="00D27DA9">
        <w:rPr>
          <w:rFonts w:cstheme="minorHAnsi"/>
        </w:rPr>
        <w:t xml:space="preserve"> 11</w:t>
      </w:r>
      <w:r w:rsidR="009871D3" w:rsidRPr="00D27DA9">
        <w:rPr>
          <w:rFonts w:cstheme="minorHAnsi"/>
        </w:rPr>
        <w:t>.</w:t>
      </w:r>
      <w:r w:rsidRPr="00D27DA9">
        <w:rPr>
          <w:rFonts w:cstheme="minorHAnsi"/>
        </w:rPr>
        <w:t xml:space="preserve"> </w:t>
      </w:r>
      <w:r w:rsidR="000637B5" w:rsidRPr="00D27DA9">
        <w:rPr>
          <w:rFonts w:cstheme="minorHAnsi"/>
        </w:rPr>
        <w:t>12.</w:t>
      </w:r>
      <w:r w:rsidR="009871D3" w:rsidRPr="00D27DA9">
        <w:rPr>
          <w:rFonts w:cstheme="minorHAnsi"/>
        </w:rPr>
        <w:t xml:space="preserve"> </w:t>
      </w:r>
      <w:r w:rsidRPr="00D27DA9">
        <w:rPr>
          <w:rFonts w:cstheme="minorHAnsi"/>
        </w:rPr>
        <w:t>2017)</w:t>
      </w:r>
      <w:r w:rsidR="00E8106F" w:rsidRPr="00D27DA9">
        <w:rPr>
          <w:rFonts w:cstheme="minorHAnsi"/>
        </w:rPr>
        <w:t xml:space="preserve">, </w:t>
      </w:r>
      <w:r w:rsidR="000637B5" w:rsidRPr="00D27DA9">
        <w:rPr>
          <w:rFonts w:cstheme="minorHAnsi"/>
        </w:rPr>
        <w:t>Priporočila Sveta 2018/C 374/01 z dne 15. 10. 2018</w:t>
      </w:r>
    </w:p>
    <w:p w14:paraId="6259A084" w14:textId="77777777" w:rsidR="00DE73A7" w:rsidRPr="00D27DA9" w:rsidRDefault="00DE73A7" w:rsidP="00D54094">
      <w:pPr>
        <w:spacing w:after="0"/>
        <w:rPr>
          <w:rFonts w:cstheme="minorHAnsi"/>
          <w:b/>
        </w:rPr>
      </w:pPr>
    </w:p>
    <w:p w14:paraId="236FD174" w14:textId="40C62629" w:rsidR="00F93316" w:rsidRPr="00D27DA9" w:rsidRDefault="00F93316" w:rsidP="006E34D8">
      <w:pPr>
        <w:pBdr>
          <w:top w:val="single" w:sz="4" w:space="1" w:color="auto"/>
          <w:left w:val="single" w:sz="4" w:space="4" w:color="auto"/>
          <w:bottom w:val="single" w:sz="4" w:space="1" w:color="auto"/>
          <w:right w:val="single" w:sz="4" w:space="4" w:color="auto"/>
        </w:pBdr>
        <w:shd w:val="clear" w:color="auto" w:fill="DBE5F1" w:themeFill="accent1" w:themeFillTint="33"/>
        <w:spacing w:after="0"/>
        <w:jc w:val="center"/>
        <w:rPr>
          <w:rFonts w:cstheme="minorHAnsi"/>
        </w:rPr>
      </w:pPr>
      <w:r w:rsidRPr="00D27DA9">
        <w:rPr>
          <w:rFonts w:cstheme="minorHAnsi"/>
          <w:b/>
        </w:rPr>
        <w:t>“(a) sodelov</w:t>
      </w:r>
      <w:r w:rsidR="00ED6B34" w:rsidRPr="00D27DA9">
        <w:rPr>
          <w:rFonts w:cstheme="minorHAnsi"/>
          <w:b/>
        </w:rPr>
        <w:t>ati</w:t>
      </w:r>
      <w:r w:rsidRPr="00D27DA9">
        <w:rPr>
          <w:rFonts w:cstheme="minorHAnsi"/>
          <w:b/>
        </w:rPr>
        <w:t xml:space="preserve"> od začetka veljavnosti Lizbonske pogodbe, da bi dosegle dogovorjene cilje glede višine odhodkov za naložbe v obrambno opremo in te cilje redno preverjale ob upoštevanju varnostnega okolja in mednarodnih odgovornosti Unije.”</w:t>
      </w:r>
      <w:r w:rsidRPr="00D27DA9">
        <w:rPr>
          <w:rFonts w:cstheme="minorHAnsi"/>
        </w:rPr>
        <w:t xml:space="preserve"> </w:t>
      </w:r>
      <w:r w:rsidR="000E43A7" w:rsidRPr="00D27DA9">
        <w:rPr>
          <w:rFonts w:cstheme="minorHAnsi"/>
        </w:rPr>
        <w:t>(zaveze 1-5)</w:t>
      </w:r>
    </w:p>
    <w:p w14:paraId="13C31F64" w14:textId="77777777" w:rsidR="00F93316" w:rsidRPr="00D27DA9" w:rsidRDefault="00F93316" w:rsidP="00D54094">
      <w:pPr>
        <w:spacing w:after="0"/>
        <w:jc w:val="center"/>
        <w:rPr>
          <w:rFonts w:cstheme="minorHAnsi"/>
        </w:rPr>
      </w:pPr>
    </w:p>
    <w:p w14:paraId="466116F1" w14:textId="12BF2662" w:rsidR="00DA6D69" w:rsidRPr="00D27DA9" w:rsidRDefault="00F93316" w:rsidP="00540FD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theme="minorHAnsi"/>
          <w:b/>
        </w:rPr>
      </w:pPr>
      <w:r w:rsidRPr="00D27DA9">
        <w:rPr>
          <w:rFonts w:cstheme="minorHAnsi"/>
          <w:b/>
        </w:rPr>
        <w:t>Zaveza 1:</w:t>
      </w:r>
      <w:r w:rsidR="00180BFB" w:rsidRPr="00D27DA9">
        <w:rPr>
          <w:rFonts w:cstheme="minorHAnsi"/>
          <w:b/>
        </w:rPr>
        <w:t xml:space="preserve"> </w:t>
      </w:r>
      <w:r w:rsidR="00540FDD" w:rsidRPr="00D27DA9">
        <w:rPr>
          <w:rFonts w:cstheme="minorHAnsi"/>
        </w:rPr>
        <w:t>Redno povečevale proračun za obrambo v realnih vrednostih, da bi uresničili dogovorjene cilje</w:t>
      </w:r>
      <w:r w:rsidR="005D1FCF" w:rsidRPr="00D27DA9">
        <w:rPr>
          <w:rFonts w:cstheme="minorHAnsi"/>
        </w:rPr>
        <w:t>.</w:t>
      </w:r>
    </w:p>
    <w:p w14:paraId="441082AA" w14:textId="77777777" w:rsidR="00C335D2" w:rsidRPr="00D27DA9" w:rsidRDefault="00C335D2" w:rsidP="00D54094">
      <w:pPr>
        <w:spacing w:after="0"/>
        <w:rPr>
          <w:rFonts w:cstheme="minorHAnsi"/>
        </w:rPr>
      </w:pPr>
    </w:p>
    <w:tbl>
      <w:tblPr>
        <w:tblStyle w:val="Tabelamrea"/>
        <w:tblW w:w="11624" w:type="dxa"/>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2410"/>
        <w:gridCol w:w="1698"/>
        <w:gridCol w:w="1698"/>
        <w:gridCol w:w="5818"/>
      </w:tblGrid>
      <w:tr w:rsidR="00F93316" w:rsidRPr="00D27DA9" w14:paraId="7E154327" w14:textId="77777777" w:rsidTr="007405CC">
        <w:trPr>
          <w:trHeight w:val="359"/>
        </w:trPr>
        <w:tc>
          <w:tcPr>
            <w:tcW w:w="2410" w:type="dxa"/>
            <w:shd w:val="clear" w:color="auto" w:fill="F2F2F2" w:themeFill="background1" w:themeFillShade="F2"/>
            <w:vAlign w:val="center"/>
          </w:tcPr>
          <w:p w14:paraId="6F34E4FC" w14:textId="77777777" w:rsidR="00F93316" w:rsidRPr="00D27DA9" w:rsidRDefault="00F93316" w:rsidP="00D54094">
            <w:pPr>
              <w:jc w:val="center"/>
              <w:rPr>
                <w:rFonts w:eastAsia="Calibri" w:cstheme="minorHAnsi"/>
                <w:b/>
                <w:bCs/>
                <w:lang w:val="sl-SI"/>
              </w:rPr>
            </w:pPr>
          </w:p>
        </w:tc>
        <w:tc>
          <w:tcPr>
            <w:tcW w:w="1698" w:type="dxa"/>
            <w:shd w:val="clear" w:color="auto" w:fill="F2F2F2" w:themeFill="background1" w:themeFillShade="F2"/>
            <w:vAlign w:val="center"/>
          </w:tcPr>
          <w:p w14:paraId="5B4188D6" w14:textId="61A97EF3" w:rsidR="00F93316" w:rsidRPr="00D27DA9" w:rsidRDefault="00E8106F" w:rsidP="00D54094">
            <w:pPr>
              <w:jc w:val="center"/>
              <w:rPr>
                <w:rFonts w:eastAsia="Calibri" w:cstheme="minorHAnsi"/>
                <w:b/>
                <w:bCs/>
                <w:lang w:val="sl-SI"/>
              </w:rPr>
            </w:pPr>
            <w:r w:rsidRPr="00D27DA9">
              <w:rPr>
                <w:rFonts w:eastAsia="Calibri" w:cstheme="minorHAnsi"/>
                <w:b/>
                <w:bCs/>
                <w:lang w:val="sl-SI"/>
              </w:rPr>
              <w:t>2020</w:t>
            </w:r>
          </w:p>
          <w:p w14:paraId="7C2B6C28" w14:textId="77777777" w:rsidR="00DE73A7" w:rsidRPr="00D27DA9" w:rsidRDefault="00DE73A7" w:rsidP="00D54094">
            <w:pPr>
              <w:jc w:val="center"/>
              <w:rPr>
                <w:rFonts w:eastAsia="Calibri" w:cstheme="minorHAnsi"/>
                <w:b/>
                <w:lang w:val="sl-SI"/>
              </w:rPr>
            </w:pPr>
            <w:r w:rsidRPr="00D27DA9">
              <w:rPr>
                <w:rFonts w:eastAsia="Calibri" w:cstheme="minorHAnsi"/>
                <w:b/>
                <w:bCs/>
                <w:lang w:val="sl-SI"/>
              </w:rPr>
              <w:t>(samoocena)</w:t>
            </w:r>
          </w:p>
        </w:tc>
        <w:tc>
          <w:tcPr>
            <w:tcW w:w="1698" w:type="dxa"/>
            <w:shd w:val="clear" w:color="auto" w:fill="F2F2F2" w:themeFill="background1" w:themeFillShade="F2"/>
            <w:vAlign w:val="center"/>
          </w:tcPr>
          <w:p w14:paraId="28E12262" w14:textId="2F7BC414" w:rsidR="00F93316" w:rsidRPr="00D27DA9" w:rsidRDefault="00E8106F" w:rsidP="00D54094">
            <w:pPr>
              <w:jc w:val="center"/>
              <w:rPr>
                <w:rFonts w:eastAsia="Calibri" w:cstheme="minorHAnsi"/>
                <w:b/>
                <w:lang w:val="sl-SI"/>
              </w:rPr>
            </w:pPr>
            <w:r w:rsidRPr="00D27DA9">
              <w:rPr>
                <w:rFonts w:eastAsia="Calibri" w:cstheme="minorHAnsi"/>
                <w:b/>
                <w:bCs/>
                <w:lang w:val="sl-SI"/>
              </w:rPr>
              <w:t>2021</w:t>
            </w:r>
            <w:r w:rsidR="00DE73A7" w:rsidRPr="00D27DA9">
              <w:rPr>
                <w:rFonts w:eastAsia="Calibri" w:cstheme="minorHAnsi"/>
                <w:b/>
                <w:bCs/>
                <w:lang w:val="sl-SI"/>
              </w:rPr>
              <w:t xml:space="preserve"> (predvideno</w:t>
            </w:r>
            <w:r w:rsidR="00F93316" w:rsidRPr="00D27DA9">
              <w:rPr>
                <w:rFonts w:eastAsia="Calibri" w:cstheme="minorHAnsi"/>
                <w:b/>
                <w:bCs/>
                <w:lang w:val="sl-SI"/>
              </w:rPr>
              <w:t>)</w:t>
            </w:r>
          </w:p>
        </w:tc>
        <w:tc>
          <w:tcPr>
            <w:tcW w:w="5818" w:type="dxa"/>
            <w:shd w:val="clear" w:color="auto" w:fill="F2F2F2" w:themeFill="background1" w:themeFillShade="F2"/>
            <w:vAlign w:val="center"/>
          </w:tcPr>
          <w:p w14:paraId="5FF0DA26" w14:textId="77777777" w:rsidR="007C1202" w:rsidRPr="00D27DA9" w:rsidRDefault="00F93316" w:rsidP="00D54094">
            <w:pPr>
              <w:jc w:val="center"/>
              <w:rPr>
                <w:rFonts w:eastAsia="Calibri" w:cstheme="minorHAnsi"/>
                <w:b/>
                <w:bCs/>
                <w:lang w:val="sl-SI"/>
              </w:rPr>
            </w:pPr>
            <w:r w:rsidRPr="00D27DA9">
              <w:rPr>
                <w:rFonts w:eastAsia="Calibri" w:cstheme="minorHAnsi"/>
                <w:b/>
                <w:bCs/>
                <w:lang w:val="sl-SI"/>
              </w:rPr>
              <w:t xml:space="preserve">2021-2025 </w:t>
            </w:r>
          </w:p>
          <w:p w14:paraId="35EDC7C3" w14:textId="77777777" w:rsidR="00F93316" w:rsidRPr="00D27DA9" w:rsidRDefault="00F93316" w:rsidP="00D54094">
            <w:pPr>
              <w:jc w:val="center"/>
              <w:rPr>
                <w:rFonts w:eastAsia="Calibri" w:cstheme="minorHAnsi"/>
                <w:b/>
                <w:lang w:val="sl-SI"/>
              </w:rPr>
            </w:pPr>
            <w:r w:rsidRPr="00D27DA9">
              <w:rPr>
                <w:rFonts w:eastAsia="Calibri" w:cstheme="minorHAnsi"/>
                <w:b/>
                <w:bCs/>
                <w:lang w:val="sl-SI"/>
              </w:rPr>
              <w:t>(</w:t>
            </w:r>
            <w:r w:rsidR="00DE73A7" w:rsidRPr="00D27DA9">
              <w:rPr>
                <w:rFonts w:eastAsia="Calibri" w:cstheme="minorHAnsi"/>
                <w:b/>
                <w:bCs/>
                <w:lang w:val="sl-SI"/>
              </w:rPr>
              <w:t>predvideno</w:t>
            </w:r>
            <w:r w:rsidRPr="00D27DA9">
              <w:rPr>
                <w:rFonts w:eastAsia="Calibri" w:cstheme="minorHAnsi"/>
                <w:b/>
                <w:bCs/>
                <w:lang w:val="sl-SI"/>
              </w:rPr>
              <w:t>)</w:t>
            </w:r>
          </w:p>
        </w:tc>
      </w:tr>
      <w:tr w:rsidR="007F0B36" w:rsidRPr="00D27DA9" w14:paraId="04CAF237" w14:textId="77777777" w:rsidTr="007405CC">
        <w:trPr>
          <w:trHeight w:val="840"/>
        </w:trPr>
        <w:tc>
          <w:tcPr>
            <w:tcW w:w="2410" w:type="dxa"/>
            <w:vAlign w:val="center"/>
          </w:tcPr>
          <w:p w14:paraId="10BE1BAB" w14:textId="77777777" w:rsidR="007F0B36" w:rsidRPr="00D27DA9" w:rsidRDefault="007F0B36" w:rsidP="007F0B36">
            <w:pPr>
              <w:rPr>
                <w:rFonts w:eastAsia="Calibri" w:cstheme="minorHAnsi"/>
                <w:b/>
                <w:lang w:val="sl-SI"/>
              </w:rPr>
            </w:pPr>
            <w:r w:rsidRPr="00D27DA9">
              <w:rPr>
                <w:rFonts w:eastAsia="Calibri" w:cstheme="minorHAnsi"/>
                <w:b/>
                <w:bCs/>
                <w:lang w:val="sl-SI"/>
              </w:rPr>
              <w:t>Obrambni izdatki</w:t>
            </w:r>
          </w:p>
        </w:tc>
        <w:tc>
          <w:tcPr>
            <w:tcW w:w="1698" w:type="dxa"/>
            <w:vAlign w:val="center"/>
          </w:tcPr>
          <w:p w14:paraId="68382332" w14:textId="4930CDAB" w:rsidR="007F0B36" w:rsidRPr="00D27DA9" w:rsidRDefault="00ED37DB" w:rsidP="00277E4B">
            <w:pPr>
              <w:rPr>
                <w:rFonts w:eastAsia="Calibri" w:cstheme="minorHAnsi"/>
                <w:lang w:val="sl-SI"/>
              </w:rPr>
            </w:pPr>
            <w:r w:rsidRPr="00D27DA9">
              <w:rPr>
                <w:rFonts w:cstheme="minorHAnsi"/>
                <w:iCs/>
                <w:lang w:val="sl-SI"/>
              </w:rPr>
              <w:t>499.179.472</w:t>
            </w:r>
          </w:p>
        </w:tc>
        <w:tc>
          <w:tcPr>
            <w:tcW w:w="1698" w:type="dxa"/>
            <w:vAlign w:val="center"/>
          </w:tcPr>
          <w:p w14:paraId="4CAB1838" w14:textId="5C7FFFE7" w:rsidR="007F0B36" w:rsidRPr="00D27DA9" w:rsidRDefault="00ED37DB" w:rsidP="007F0B36">
            <w:pPr>
              <w:jc w:val="center"/>
              <w:rPr>
                <w:rFonts w:cstheme="minorHAnsi"/>
                <w:lang w:val="sl-SI"/>
              </w:rPr>
            </w:pPr>
            <w:r w:rsidRPr="00D27DA9">
              <w:rPr>
                <w:rFonts w:cstheme="minorHAnsi"/>
                <w:iCs/>
                <w:lang w:val="sl-SI"/>
              </w:rPr>
              <w:t>623.644.604</w:t>
            </w:r>
          </w:p>
        </w:tc>
        <w:tc>
          <w:tcPr>
            <w:tcW w:w="5818" w:type="dxa"/>
            <w:vAlign w:val="center"/>
          </w:tcPr>
          <w:p w14:paraId="5C7F5777" w14:textId="77777777" w:rsidR="00ED37DB" w:rsidRPr="00D27DA9" w:rsidRDefault="00ED37DB" w:rsidP="00ED37DB">
            <w:pPr>
              <w:autoSpaceDE w:val="0"/>
              <w:autoSpaceDN w:val="0"/>
              <w:adjustRightInd w:val="0"/>
              <w:rPr>
                <w:rFonts w:cstheme="minorHAnsi"/>
                <w:iCs/>
                <w:lang w:val="sl-SI"/>
              </w:rPr>
            </w:pPr>
            <w:r w:rsidRPr="00D27DA9">
              <w:rPr>
                <w:rFonts w:cstheme="minorHAnsi"/>
                <w:iCs/>
                <w:lang w:val="sl-SI"/>
              </w:rPr>
              <w:t>2022: 671.019.449</w:t>
            </w:r>
          </w:p>
          <w:p w14:paraId="5ACCFB20" w14:textId="0709C559" w:rsidR="007F0B36" w:rsidRPr="00D27DA9" w:rsidRDefault="00ED37DB" w:rsidP="007405CC">
            <w:pPr>
              <w:autoSpaceDE w:val="0"/>
              <w:autoSpaceDN w:val="0"/>
              <w:adjustRightInd w:val="0"/>
              <w:rPr>
                <w:rFonts w:cstheme="minorHAnsi"/>
                <w:lang w:val="sl-SI"/>
              </w:rPr>
            </w:pPr>
            <w:r w:rsidRPr="00D27DA9">
              <w:rPr>
                <w:rFonts w:cstheme="minorHAnsi"/>
                <w:iCs/>
                <w:lang w:val="sl-SI"/>
              </w:rPr>
              <w:t>V skladu z DIP (Defence Investment</w:t>
            </w:r>
            <w:r w:rsidR="007405CC" w:rsidRPr="00D27DA9">
              <w:rPr>
                <w:rFonts w:cstheme="minorHAnsi"/>
                <w:iCs/>
                <w:lang w:val="sl-SI"/>
              </w:rPr>
              <w:t xml:space="preserve"> </w:t>
            </w:r>
            <w:r w:rsidRPr="00D27DA9">
              <w:rPr>
                <w:rFonts w:cstheme="minorHAnsi"/>
                <w:iCs/>
                <w:lang w:val="sl-SI"/>
              </w:rPr>
              <w:t>Pledge) poročilom, poslanim na NATO</w:t>
            </w:r>
            <w:r w:rsidR="007405CC" w:rsidRPr="00D27DA9">
              <w:rPr>
                <w:rFonts w:cstheme="minorHAnsi"/>
                <w:iCs/>
                <w:lang w:val="sl-SI"/>
              </w:rPr>
              <w:t xml:space="preserve"> </w:t>
            </w:r>
            <w:r w:rsidRPr="00D27DA9">
              <w:rPr>
                <w:rFonts w:cstheme="minorHAnsi"/>
                <w:iCs/>
                <w:lang w:val="sl-SI"/>
              </w:rPr>
              <w:t>v prvi polovici januarja 2021, bodo OI</w:t>
            </w:r>
            <w:r w:rsidR="007405CC" w:rsidRPr="00D27DA9">
              <w:rPr>
                <w:rFonts w:cstheme="minorHAnsi"/>
                <w:iCs/>
                <w:lang w:val="sl-SI"/>
              </w:rPr>
              <w:t xml:space="preserve"> </w:t>
            </w:r>
            <w:r w:rsidRPr="00D27DA9">
              <w:rPr>
                <w:rFonts w:cstheme="minorHAnsi"/>
                <w:iCs/>
                <w:lang w:val="sl-SI"/>
              </w:rPr>
              <w:t>do leta 2025 dosegli nominalno višino</w:t>
            </w:r>
            <w:r w:rsidR="007405CC" w:rsidRPr="00D27DA9">
              <w:rPr>
                <w:rFonts w:cstheme="minorHAnsi"/>
                <w:iCs/>
                <w:lang w:val="sl-SI"/>
              </w:rPr>
              <w:t xml:space="preserve"> </w:t>
            </w:r>
            <w:r w:rsidRPr="00D27DA9">
              <w:rPr>
                <w:rFonts w:cstheme="minorHAnsi"/>
                <w:iCs/>
                <w:lang w:val="sl-SI"/>
              </w:rPr>
              <w:t>899 milijonov evrov.</w:t>
            </w:r>
          </w:p>
        </w:tc>
      </w:tr>
      <w:tr w:rsidR="007F0B36" w:rsidRPr="00D27DA9" w14:paraId="0BDC1598" w14:textId="77777777" w:rsidTr="007405CC">
        <w:trPr>
          <w:trHeight w:val="840"/>
        </w:trPr>
        <w:tc>
          <w:tcPr>
            <w:tcW w:w="2410" w:type="dxa"/>
            <w:vAlign w:val="center"/>
          </w:tcPr>
          <w:p w14:paraId="78BAD78F" w14:textId="77777777" w:rsidR="007F0B36" w:rsidRPr="00D27DA9" w:rsidRDefault="007F0B36" w:rsidP="007F0B36">
            <w:pPr>
              <w:rPr>
                <w:rFonts w:eastAsia="Calibri" w:cstheme="minorHAnsi"/>
                <w:b/>
                <w:lang w:val="sl-SI"/>
              </w:rPr>
            </w:pPr>
            <w:r w:rsidRPr="00D27DA9">
              <w:rPr>
                <w:rFonts w:eastAsia="Calibri" w:cstheme="minorHAnsi"/>
                <w:b/>
                <w:bCs/>
                <w:lang w:val="sl-SI"/>
              </w:rPr>
              <w:t>Obrambni izdatki kot % BDP</w:t>
            </w:r>
          </w:p>
        </w:tc>
        <w:tc>
          <w:tcPr>
            <w:tcW w:w="1698" w:type="dxa"/>
            <w:vAlign w:val="center"/>
          </w:tcPr>
          <w:p w14:paraId="32EC6FE7" w14:textId="2DF1BFA1" w:rsidR="007F0B36" w:rsidRPr="00D27DA9" w:rsidRDefault="00ED37DB" w:rsidP="007F0B36">
            <w:pPr>
              <w:jc w:val="center"/>
              <w:rPr>
                <w:rFonts w:eastAsia="Calibri" w:cstheme="minorHAnsi"/>
                <w:lang w:val="sl-SI"/>
              </w:rPr>
            </w:pPr>
            <w:r w:rsidRPr="00D27DA9">
              <w:rPr>
                <w:rFonts w:eastAsia="Calibri" w:cstheme="minorHAnsi"/>
                <w:lang w:val="sl-SI"/>
              </w:rPr>
              <w:t>1,</w:t>
            </w:r>
            <w:r w:rsidR="00E229DD" w:rsidRPr="00D27DA9">
              <w:rPr>
                <w:rFonts w:eastAsia="Calibri" w:cstheme="minorHAnsi"/>
                <w:lang w:val="sl-SI"/>
              </w:rPr>
              <w:t>0</w:t>
            </w:r>
            <w:r w:rsidRPr="00D27DA9">
              <w:rPr>
                <w:rFonts w:eastAsia="Calibri" w:cstheme="minorHAnsi"/>
                <w:lang w:val="sl-SI"/>
              </w:rPr>
              <w:t>9</w:t>
            </w:r>
          </w:p>
        </w:tc>
        <w:tc>
          <w:tcPr>
            <w:tcW w:w="1698" w:type="dxa"/>
            <w:vAlign w:val="center"/>
          </w:tcPr>
          <w:p w14:paraId="338DBA93" w14:textId="754561B0" w:rsidR="007F0B36" w:rsidRPr="00D27DA9" w:rsidRDefault="00ED37DB" w:rsidP="007F0B36">
            <w:pPr>
              <w:jc w:val="center"/>
              <w:rPr>
                <w:rFonts w:eastAsia="Calibri" w:cstheme="minorHAnsi"/>
                <w:lang w:val="sl-SI"/>
              </w:rPr>
            </w:pPr>
            <w:r w:rsidRPr="00D27DA9">
              <w:rPr>
                <w:rFonts w:eastAsia="Calibri" w:cstheme="minorHAnsi"/>
                <w:lang w:val="sl-SI"/>
              </w:rPr>
              <w:t>1,29</w:t>
            </w:r>
          </w:p>
        </w:tc>
        <w:tc>
          <w:tcPr>
            <w:tcW w:w="5818" w:type="dxa"/>
            <w:vAlign w:val="center"/>
          </w:tcPr>
          <w:p w14:paraId="14CEF586" w14:textId="77777777" w:rsidR="00ED37DB" w:rsidRPr="00D27DA9" w:rsidRDefault="00ED37DB" w:rsidP="00ED37DB">
            <w:pPr>
              <w:autoSpaceDE w:val="0"/>
              <w:autoSpaceDN w:val="0"/>
              <w:adjustRightInd w:val="0"/>
              <w:rPr>
                <w:rFonts w:cstheme="minorHAnsi"/>
                <w:iCs/>
                <w:lang w:val="sl-SI"/>
              </w:rPr>
            </w:pPr>
            <w:r w:rsidRPr="00D27DA9">
              <w:rPr>
                <w:rFonts w:cstheme="minorHAnsi"/>
                <w:iCs/>
                <w:lang w:val="sl-SI"/>
              </w:rPr>
              <w:t>2022: 1,30</w:t>
            </w:r>
          </w:p>
          <w:p w14:paraId="042EA0D1" w14:textId="240774DC" w:rsidR="007F0B36" w:rsidRPr="00D27DA9" w:rsidRDefault="00ED37DB" w:rsidP="007405CC">
            <w:pPr>
              <w:autoSpaceDE w:val="0"/>
              <w:autoSpaceDN w:val="0"/>
              <w:adjustRightInd w:val="0"/>
              <w:rPr>
                <w:rFonts w:cstheme="minorHAnsi"/>
                <w:lang w:val="sl-SI"/>
              </w:rPr>
            </w:pPr>
            <w:r w:rsidRPr="00D27DA9">
              <w:rPr>
                <w:rFonts w:cstheme="minorHAnsi"/>
                <w:iCs/>
                <w:lang w:val="sl-SI"/>
              </w:rPr>
              <w:t>OI bodo v letu 2025 predstavljali 1,51</w:t>
            </w:r>
            <w:r w:rsidR="007405CC" w:rsidRPr="00D27DA9">
              <w:rPr>
                <w:rFonts w:cstheme="minorHAnsi"/>
                <w:iCs/>
                <w:lang w:val="sl-SI"/>
              </w:rPr>
              <w:t xml:space="preserve"> </w:t>
            </w:r>
            <w:r w:rsidRPr="00D27DA9">
              <w:rPr>
                <w:rFonts w:cstheme="minorHAnsi"/>
                <w:iCs/>
                <w:lang w:val="sl-SI"/>
              </w:rPr>
              <w:t>% BDP.</w:t>
            </w:r>
          </w:p>
        </w:tc>
      </w:tr>
    </w:tbl>
    <w:p w14:paraId="15352D61" w14:textId="77777777" w:rsidR="00F93316" w:rsidRPr="00D27DA9" w:rsidRDefault="00F93316" w:rsidP="00D54094">
      <w:pPr>
        <w:spacing w:after="0"/>
        <w:rPr>
          <w:rFonts w:cstheme="minorHAnsi"/>
        </w:rPr>
      </w:pPr>
    </w:p>
    <w:p w14:paraId="341AAED1" w14:textId="77777777" w:rsidR="00D54094" w:rsidRPr="00D27DA9" w:rsidRDefault="00D54094" w:rsidP="00D54094">
      <w:pPr>
        <w:spacing w:after="0"/>
        <w:rPr>
          <w:rFonts w:cstheme="minorHAnsi"/>
        </w:rPr>
      </w:pPr>
    </w:p>
    <w:p w14:paraId="73E9C5ED" w14:textId="54125390" w:rsidR="00D54094" w:rsidRPr="00D27DA9" w:rsidRDefault="00180BFB" w:rsidP="00D5409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theme="minorHAnsi"/>
          <w:b/>
        </w:rPr>
      </w:pPr>
      <w:r w:rsidRPr="00D27DA9">
        <w:rPr>
          <w:rFonts w:cstheme="minorHAnsi"/>
          <w:b/>
        </w:rPr>
        <w:lastRenderedPageBreak/>
        <w:t xml:space="preserve">Zaveza 2: </w:t>
      </w:r>
      <w:r w:rsidR="00917D57" w:rsidRPr="00D27DA9">
        <w:rPr>
          <w:rFonts w:cstheme="minorHAnsi"/>
        </w:rPr>
        <w:t>Srednjeročno postopoma povečevale odhodke za naložbe v obrambo, tako da bodo predstavljali 20 % vseh odhodkov za obrambo (skupno merilo), da bi zapolnili vrzeli v strateških zmogljivostih s sodelovanjem pri projektih za razvoj obrambnih zmogljivosti v skladu z načrtom za razvoj zmogljivosti in usklajenim letnim pregledom na področju obrambe</w:t>
      </w:r>
      <w:r w:rsidR="006F3531" w:rsidRPr="00D27DA9">
        <w:rPr>
          <w:rFonts w:cstheme="minorHAnsi"/>
        </w:rPr>
        <w:t xml:space="preserve"> (CARD)</w:t>
      </w:r>
      <w:r w:rsidR="005D1FCF" w:rsidRPr="00D27DA9">
        <w:rPr>
          <w:rFonts w:cstheme="minorHAnsi"/>
        </w:rPr>
        <w:t>.</w:t>
      </w:r>
    </w:p>
    <w:p w14:paraId="172160F4" w14:textId="3DC9FF6D" w:rsidR="00F93316" w:rsidRPr="00D27DA9" w:rsidRDefault="00F93316" w:rsidP="00D54094">
      <w:pPr>
        <w:spacing w:after="0"/>
        <w:rPr>
          <w:rFonts w:cstheme="minorHAnsi"/>
          <w:b/>
        </w:rPr>
      </w:pPr>
    </w:p>
    <w:tbl>
      <w:tblPr>
        <w:tblStyle w:val="Tabelamrea"/>
        <w:tblW w:w="11482" w:type="dxa"/>
        <w:tblInd w:w="8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2268"/>
        <w:gridCol w:w="2533"/>
        <w:gridCol w:w="2551"/>
        <w:gridCol w:w="4130"/>
      </w:tblGrid>
      <w:tr w:rsidR="004A6B22" w:rsidRPr="00D27DA9" w14:paraId="52955ACB" w14:textId="77777777" w:rsidTr="007405CC">
        <w:trPr>
          <w:trHeight w:val="359"/>
        </w:trPr>
        <w:tc>
          <w:tcPr>
            <w:tcW w:w="2268" w:type="dxa"/>
            <w:shd w:val="clear" w:color="auto" w:fill="F2F2F2" w:themeFill="background1" w:themeFillShade="F2"/>
            <w:vAlign w:val="center"/>
          </w:tcPr>
          <w:p w14:paraId="769134BF" w14:textId="77777777" w:rsidR="004A6B22" w:rsidRPr="00D27DA9" w:rsidRDefault="004A6B22" w:rsidP="00D362DB">
            <w:pPr>
              <w:jc w:val="center"/>
              <w:rPr>
                <w:rFonts w:eastAsia="Calibri" w:cstheme="minorHAnsi"/>
                <w:b/>
                <w:bCs/>
                <w:lang w:val="sl-SI"/>
              </w:rPr>
            </w:pPr>
          </w:p>
        </w:tc>
        <w:tc>
          <w:tcPr>
            <w:tcW w:w="2533" w:type="dxa"/>
            <w:shd w:val="clear" w:color="auto" w:fill="F2F2F2" w:themeFill="background1" w:themeFillShade="F2"/>
            <w:vAlign w:val="center"/>
          </w:tcPr>
          <w:p w14:paraId="3BA187DC" w14:textId="7C49317A" w:rsidR="004A6B22" w:rsidRPr="00D27DA9" w:rsidRDefault="002E61DA" w:rsidP="00D362DB">
            <w:pPr>
              <w:jc w:val="center"/>
              <w:rPr>
                <w:rFonts w:eastAsia="Calibri" w:cstheme="minorHAnsi"/>
                <w:b/>
                <w:bCs/>
                <w:lang w:val="sl-SI"/>
              </w:rPr>
            </w:pPr>
            <w:r w:rsidRPr="00D27DA9">
              <w:rPr>
                <w:rFonts w:eastAsia="Calibri" w:cstheme="minorHAnsi"/>
                <w:b/>
                <w:bCs/>
                <w:lang w:val="sl-SI"/>
              </w:rPr>
              <w:t>2020</w:t>
            </w:r>
          </w:p>
          <w:p w14:paraId="3EE5E228" w14:textId="77777777" w:rsidR="004A6B22" w:rsidRPr="00D27DA9" w:rsidRDefault="004A6B22" w:rsidP="00D362DB">
            <w:pPr>
              <w:jc w:val="center"/>
              <w:rPr>
                <w:rFonts w:eastAsia="Calibri" w:cstheme="minorHAnsi"/>
                <w:b/>
                <w:lang w:val="sl-SI"/>
              </w:rPr>
            </w:pPr>
            <w:r w:rsidRPr="00D27DA9">
              <w:rPr>
                <w:rFonts w:eastAsia="Calibri" w:cstheme="minorHAnsi"/>
                <w:b/>
                <w:bCs/>
                <w:lang w:val="sl-SI"/>
              </w:rPr>
              <w:t>(samoocena)</w:t>
            </w:r>
          </w:p>
        </w:tc>
        <w:tc>
          <w:tcPr>
            <w:tcW w:w="2551" w:type="dxa"/>
            <w:shd w:val="clear" w:color="auto" w:fill="F2F2F2" w:themeFill="background1" w:themeFillShade="F2"/>
            <w:vAlign w:val="center"/>
          </w:tcPr>
          <w:p w14:paraId="1421ED34" w14:textId="05701551" w:rsidR="007C1202" w:rsidRPr="00D27DA9" w:rsidRDefault="002E61DA" w:rsidP="00D362DB">
            <w:pPr>
              <w:jc w:val="center"/>
              <w:rPr>
                <w:rFonts w:eastAsia="Calibri" w:cstheme="minorHAnsi"/>
                <w:b/>
                <w:bCs/>
                <w:lang w:val="sl-SI"/>
              </w:rPr>
            </w:pPr>
            <w:r w:rsidRPr="00D27DA9">
              <w:rPr>
                <w:rFonts w:eastAsia="Calibri" w:cstheme="minorHAnsi"/>
                <w:b/>
                <w:bCs/>
                <w:lang w:val="sl-SI"/>
              </w:rPr>
              <w:t>2021</w:t>
            </w:r>
          </w:p>
          <w:p w14:paraId="7495A11B" w14:textId="77777777" w:rsidR="004A6B22" w:rsidRPr="00D27DA9" w:rsidRDefault="004A6B22" w:rsidP="00D362DB">
            <w:pPr>
              <w:jc w:val="center"/>
              <w:rPr>
                <w:rFonts w:eastAsia="Calibri" w:cstheme="minorHAnsi"/>
                <w:b/>
                <w:lang w:val="sl-SI"/>
              </w:rPr>
            </w:pPr>
            <w:r w:rsidRPr="00D27DA9">
              <w:rPr>
                <w:rFonts w:eastAsia="Calibri" w:cstheme="minorHAnsi"/>
                <w:b/>
                <w:bCs/>
                <w:lang w:val="sl-SI"/>
              </w:rPr>
              <w:t>(predvideno)</w:t>
            </w:r>
          </w:p>
        </w:tc>
        <w:tc>
          <w:tcPr>
            <w:tcW w:w="4130" w:type="dxa"/>
            <w:shd w:val="clear" w:color="auto" w:fill="F2F2F2" w:themeFill="background1" w:themeFillShade="F2"/>
            <w:vAlign w:val="center"/>
          </w:tcPr>
          <w:p w14:paraId="2B527202" w14:textId="18ADD7DC" w:rsidR="007C1202" w:rsidRPr="00D27DA9" w:rsidRDefault="002E61DA" w:rsidP="00D362DB">
            <w:pPr>
              <w:jc w:val="center"/>
              <w:rPr>
                <w:rFonts w:eastAsia="Calibri" w:cstheme="minorHAnsi"/>
                <w:b/>
                <w:bCs/>
                <w:lang w:val="sl-SI"/>
              </w:rPr>
            </w:pPr>
            <w:r w:rsidRPr="00D27DA9">
              <w:rPr>
                <w:rFonts w:eastAsia="Calibri" w:cstheme="minorHAnsi"/>
                <w:b/>
                <w:bCs/>
                <w:lang w:val="sl-SI"/>
              </w:rPr>
              <w:t>2022</w:t>
            </w:r>
            <w:r w:rsidR="004A6B22" w:rsidRPr="00D27DA9">
              <w:rPr>
                <w:rFonts w:eastAsia="Calibri" w:cstheme="minorHAnsi"/>
                <w:b/>
                <w:bCs/>
                <w:lang w:val="sl-SI"/>
              </w:rPr>
              <w:t xml:space="preserve">-2025 </w:t>
            </w:r>
          </w:p>
          <w:p w14:paraId="14EC9178" w14:textId="77777777" w:rsidR="004A6B22" w:rsidRPr="00D27DA9" w:rsidRDefault="004A6B22" w:rsidP="00D362DB">
            <w:pPr>
              <w:jc w:val="center"/>
              <w:rPr>
                <w:rFonts w:eastAsia="Calibri" w:cstheme="minorHAnsi"/>
                <w:b/>
                <w:lang w:val="sl-SI"/>
              </w:rPr>
            </w:pPr>
            <w:r w:rsidRPr="00D27DA9">
              <w:rPr>
                <w:rFonts w:eastAsia="Calibri" w:cstheme="minorHAnsi"/>
                <w:b/>
                <w:bCs/>
                <w:lang w:val="sl-SI"/>
              </w:rPr>
              <w:t>(predvideno)</w:t>
            </w:r>
          </w:p>
        </w:tc>
      </w:tr>
      <w:tr w:rsidR="007F0B36" w:rsidRPr="00D27DA9" w14:paraId="58B0F842" w14:textId="77777777" w:rsidTr="007405CC">
        <w:trPr>
          <w:trHeight w:val="840"/>
        </w:trPr>
        <w:tc>
          <w:tcPr>
            <w:tcW w:w="2268" w:type="dxa"/>
            <w:vAlign w:val="center"/>
          </w:tcPr>
          <w:p w14:paraId="46C91269" w14:textId="18079398" w:rsidR="007F0B36" w:rsidRPr="00D27DA9" w:rsidRDefault="00A72E68" w:rsidP="007F0B36">
            <w:pPr>
              <w:rPr>
                <w:rFonts w:eastAsia="Calibri" w:cstheme="minorHAnsi"/>
                <w:b/>
                <w:lang w:val="sl-SI"/>
              </w:rPr>
            </w:pPr>
            <w:r w:rsidRPr="00D27DA9">
              <w:rPr>
                <w:rFonts w:eastAsia="Calibri" w:cstheme="minorHAnsi"/>
                <w:b/>
                <w:lang w:val="sl-SI"/>
              </w:rPr>
              <w:t>Investicijski odhodki</w:t>
            </w:r>
          </w:p>
        </w:tc>
        <w:tc>
          <w:tcPr>
            <w:tcW w:w="2533" w:type="dxa"/>
            <w:vAlign w:val="center"/>
          </w:tcPr>
          <w:p w14:paraId="2AD418DE" w14:textId="767B94AF" w:rsidR="007F0B36" w:rsidRPr="00D27DA9" w:rsidRDefault="00ED37DB" w:rsidP="007F0B36">
            <w:pPr>
              <w:rPr>
                <w:rFonts w:eastAsia="Calibri" w:cstheme="minorHAnsi"/>
                <w:lang w:val="sl-SI"/>
              </w:rPr>
            </w:pPr>
            <w:r w:rsidRPr="00D27DA9">
              <w:rPr>
                <w:rFonts w:cstheme="minorHAnsi"/>
                <w:lang w:val="sl-SI"/>
              </w:rPr>
              <w:t>27.215.706</w:t>
            </w:r>
          </w:p>
        </w:tc>
        <w:tc>
          <w:tcPr>
            <w:tcW w:w="2551" w:type="dxa"/>
            <w:vAlign w:val="center"/>
          </w:tcPr>
          <w:p w14:paraId="25CAC482" w14:textId="31639114" w:rsidR="007F0B36" w:rsidRPr="00D27DA9" w:rsidRDefault="00ED37DB" w:rsidP="007F0B36">
            <w:pPr>
              <w:rPr>
                <w:rFonts w:cstheme="minorHAnsi"/>
                <w:lang w:val="sl-SI"/>
              </w:rPr>
            </w:pPr>
            <w:r w:rsidRPr="00D27DA9">
              <w:rPr>
                <w:rFonts w:cstheme="minorHAnsi"/>
                <w:lang w:val="sl-SI"/>
              </w:rPr>
              <w:t>95.526.196</w:t>
            </w:r>
          </w:p>
        </w:tc>
        <w:tc>
          <w:tcPr>
            <w:tcW w:w="4130" w:type="dxa"/>
            <w:shd w:val="clear" w:color="auto" w:fill="auto"/>
            <w:vAlign w:val="center"/>
          </w:tcPr>
          <w:p w14:paraId="65B7F4F5" w14:textId="49572131" w:rsidR="00ED37DB" w:rsidRPr="00D27DA9" w:rsidRDefault="00ED37DB" w:rsidP="00ED37DB">
            <w:pPr>
              <w:autoSpaceDE w:val="0"/>
              <w:autoSpaceDN w:val="0"/>
              <w:adjustRightInd w:val="0"/>
              <w:rPr>
                <w:rFonts w:cstheme="minorHAnsi"/>
                <w:iCs/>
                <w:lang w:val="sl-SI"/>
              </w:rPr>
            </w:pPr>
            <w:r w:rsidRPr="00D27DA9">
              <w:rPr>
                <w:rFonts w:cstheme="minorHAnsi"/>
                <w:iCs/>
                <w:lang w:val="sl-SI"/>
              </w:rPr>
              <w:t>2022: 110.558.096</w:t>
            </w:r>
          </w:p>
          <w:p w14:paraId="6EE16A1E" w14:textId="1C322E10" w:rsidR="007F0B36" w:rsidRPr="00D27DA9" w:rsidRDefault="00ED37DB" w:rsidP="007405CC">
            <w:pPr>
              <w:autoSpaceDE w:val="0"/>
              <w:autoSpaceDN w:val="0"/>
              <w:adjustRightInd w:val="0"/>
              <w:rPr>
                <w:rFonts w:cstheme="minorHAnsi"/>
                <w:lang w:val="sl-SI"/>
              </w:rPr>
            </w:pPr>
            <w:r w:rsidRPr="00D27DA9">
              <w:rPr>
                <w:rFonts w:cstheme="minorHAnsi"/>
                <w:iCs/>
                <w:lang w:val="sl-SI"/>
              </w:rPr>
              <w:t>V skladu z DIP (Defence</w:t>
            </w:r>
            <w:r w:rsidR="007405CC" w:rsidRPr="00D27DA9">
              <w:rPr>
                <w:rFonts w:cstheme="minorHAnsi"/>
                <w:iCs/>
                <w:lang w:val="sl-SI"/>
              </w:rPr>
              <w:t xml:space="preserve"> </w:t>
            </w:r>
            <w:r w:rsidRPr="00D27DA9">
              <w:rPr>
                <w:rFonts w:cstheme="minorHAnsi"/>
                <w:iCs/>
                <w:lang w:val="sl-SI"/>
              </w:rPr>
              <w:t>Investment Pledge) poročilom,</w:t>
            </w:r>
            <w:r w:rsidR="007405CC" w:rsidRPr="00D27DA9">
              <w:rPr>
                <w:rFonts w:cstheme="minorHAnsi"/>
                <w:iCs/>
                <w:lang w:val="sl-SI"/>
              </w:rPr>
              <w:t xml:space="preserve"> </w:t>
            </w:r>
            <w:r w:rsidRPr="00D27DA9">
              <w:rPr>
                <w:rFonts w:cstheme="minorHAnsi"/>
                <w:iCs/>
                <w:lang w:val="sl-SI"/>
              </w:rPr>
              <w:t>poslanim na NATO v prvi</w:t>
            </w:r>
            <w:r w:rsidR="007405CC" w:rsidRPr="00D27DA9">
              <w:rPr>
                <w:rFonts w:cstheme="minorHAnsi"/>
                <w:iCs/>
                <w:lang w:val="sl-SI"/>
              </w:rPr>
              <w:t xml:space="preserve"> </w:t>
            </w:r>
            <w:r w:rsidRPr="00D27DA9">
              <w:rPr>
                <w:rFonts w:cstheme="minorHAnsi"/>
                <w:iCs/>
                <w:lang w:val="sl-SI"/>
              </w:rPr>
              <w:t>polovici januarja 2021, bomo za</w:t>
            </w:r>
            <w:r w:rsidR="007405CC" w:rsidRPr="00D27DA9">
              <w:rPr>
                <w:rFonts w:cstheme="minorHAnsi"/>
                <w:iCs/>
                <w:lang w:val="sl-SI"/>
              </w:rPr>
              <w:t xml:space="preserve"> </w:t>
            </w:r>
            <w:r w:rsidRPr="00D27DA9">
              <w:rPr>
                <w:rFonts w:cstheme="minorHAnsi"/>
                <w:iCs/>
                <w:lang w:val="sl-SI"/>
              </w:rPr>
              <w:t>investicije v glavno opremo leta</w:t>
            </w:r>
            <w:r w:rsidR="007405CC" w:rsidRPr="00D27DA9">
              <w:rPr>
                <w:rFonts w:cstheme="minorHAnsi"/>
                <w:iCs/>
                <w:lang w:val="sl-SI"/>
              </w:rPr>
              <w:t xml:space="preserve"> </w:t>
            </w:r>
            <w:r w:rsidRPr="00D27DA9">
              <w:rPr>
                <w:rFonts w:cstheme="minorHAnsi"/>
                <w:iCs/>
                <w:lang w:val="sl-SI"/>
              </w:rPr>
              <w:t>2025 namenili 203 milijonov</w:t>
            </w:r>
            <w:r w:rsidR="007405CC" w:rsidRPr="00D27DA9">
              <w:rPr>
                <w:rFonts w:cstheme="minorHAnsi"/>
                <w:iCs/>
                <w:lang w:val="sl-SI"/>
              </w:rPr>
              <w:t xml:space="preserve"> </w:t>
            </w:r>
            <w:r w:rsidRPr="00D27DA9">
              <w:rPr>
                <w:rFonts w:cstheme="minorHAnsi"/>
                <w:iCs/>
                <w:lang w:val="sl-SI"/>
              </w:rPr>
              <w:t>evrov.</w:t>
            </w:r>
          </w:p>
        </w:tc>
      </w:tr>
      <w:tr w:rsidR="007F0B36" w:rsidRPr="00D27DA9" w14:paraId="7D58F476" w14:textId="77777777" w:rsidTr="007405CC">
        <w:trPr>
          <w:trHeight w:val="840"/>
        </w:trPr>
        <w:tc>
          <w:tcPr>
            <w:tcW w:w="2268" w:type="dxa"/>
            <w:vAlign w:val="center"/>
          </w:tcPr>
          <w:p w14:paraId="1830E375" w14:textId="6F983D66" w:rsidR="007F0B36" w:rsidRPr="00D27DA9" w:rsidRDefault="00A36227" w:rsidP="00CA3999">
            <w:pPr>
              <w:rPr>
                <w:rFonts w:eastAsia="Calibri" w:cstheme="minorHAnsi"/>
                <w:b/>
                <w:lang w:val="sl-SI"/>
              </w:rPr>
            </w:pPr>
            <w:r w:rsidRPr="00D27DA9">
              <w:rPr>
                <w:rFonts w:eastAsia="Calibri" w:cstheme="minorHAnsi"/>
                <w:b/>
                <w:bCs/>
                <w:lang w:val="sl-SI"/>
              </w:rPr>
              <w:t xml:space="preserve">Investicijski odhodki kot % obrambnih izdatkov                         </w:t>
            </w:r>
            <w:r w:rsidR="007F0B36" w:rsidRPr="00D27DA9">
              <w:rPr>
                <w:rFonts w:eastAsia="Calibri" w:cstheme="minorHAnsi"/>
                <w:b/>
                <w:bCs/>
                <w:lang w:val="sl-SI"/>
              </w:rPr>
              <w:t xml:space="preserve">                                                                                                       </w:t>
            </w:r>
            <w:r w:rsidRPr="00D27DA9">
              <w:rPr>
                <w:rFonts w:eastAsia="Calibri" w:cstheme="minorHAnsi"/>
                <w:b/>
                <w:bCs/>
                <w:lang w:val="sl-SI"/>
              </w:rPr>
              <w:t xml:space="preserve">                           </w:t>
            </w:r>
          </w:p>
        </w:tc>
        <w:tc>
          <w:tcPr>
            <w:tcW w:w="2533" w:type="dxa"/>
            <w:vAlign w:val="center"/>
          </w:tcPr>
          <w:p w14:paraId="2692AD10" w14:textId="5E185F93" w:rsidR="007F0B36" w:rsidRPr="00D27DA9" w:rsidRDefault="00E229DD" w:rsidP="007F0B36">
            <w:pPr>
              <w:rPr>
                <w:rFonts w:eastAsia="Calibri" w:cstheme="minorHAnsi"/>
                <w:lang w:val="sl-SI"/>
              </w:rPr>
            </w:pPr>
            <w:r w:rsidRPr="00D27DA9">
              <w:rPr>
                <w:rFonts w:eastAsia="Calibri" w:cstheme="minorHAnsi"/>
                <w:lang w:val="sl-SI"/>
              </w:rPr>
              <w:t>5</w:t>
            </w:r>
          </w:p>
        </w:tc>
        <w:tc>
          <w:tcPr>
            <w:tcW w:w="2551" w:type="dxa"/>
            <w:vAlign w:val="center"/>
          </w:tcPr>
          <w:p w14:paraId="64060312" w14:textId="2370C0CE" w:rsidR="007F0B36" w:rsidRPr="00D27DA9" w:rsidRDefault="00E229DD" w:rsidP="007F0B36">
            <w:pPr>
              <w:rPr>
                <w:rFonts w:eastAsia="Calibri" w:cstheme="minorHAnsi"/>
                <w:lang w:val="sl-SI"/>
              </w:rPr>
            </w:pPr>
            <w:r w:rsidRPr="00D27DA9">
              <w:rPr>
                <w:rFonts w:eastAsia="Calibri" w:cstheme="minorHAnsi"/>
                <w:lang w:val="sl-SI"/>
              </w:rPr>
              <w:t>15</w:t>
            </w:r>
          </w:p>
        </w:tc>
        <w:tc>
          <w:tcPr>
            <w:tcW w:w="4130" w:type="dxa"/>
            <w:vAlign w:val="center"/>
          </w:tcPr>
          <w:p w14:paraId="2AB499D0" w14:textId="77777777" w:rsidR="00ED37DB" w:rsidRPr="00D27DA9" w:rsidRDefault="00ED37DB" w:rsidP="00ED37DB">
            <w:pPr>
              <w:autoSpaceDE w:val="0"/>
              <w:autoSpaceDN w:val="0"/>
              <w:adjustRightInd w:val="0"/>
              <w:rPr>
                <w:rFonts w:cstheme="minorHAnsi"/>
                <w:iCs/>
                <w:lang w:val="sl-SI"/>
              </w:rPr>
            </w:pPr>
            <w:r w:rsidRPr="00D27DA9">
              <w:rPr>
                <w:rFonts w:cstheme="minorHAnsi"/>
                <w:iCs/>
                <w:lang w:val="sl-SI"/>
              </w:rPr>
              <w:t>2022: 16</w:t>
            </w:r>
          </w:p>
          <w:p w14:paraId="7733127B" w14:textId="3A43A4A3" w:rsidR="007F0B36" w:rsidRPr="00D27DA9" w:rsidRDefault="00ED37DB" w:rsidP="007405CC">
            <w:pPr>
              <w:autoSpaceDE w:val="0"/>
              <w:autoSpaceDN w:val="0"/>
              <w:adjustRightInd w:val="0"/>
              <w:rPr>
                <w:rFonts w:cstheme="minorHAnsi"/>
                <w:lang w:val="sl-SI"/>
              </w:rPr>
            </w:pPr>
            <w:r w:rsidRPr="00D27DA9">
              <w:rPr>
                <w:rFonts w:cstheme="minorHAnsi"/>
                <w:iCs/>
                <w:lang w:val="sl-SI"/>
              </w:rPr>
              <w:t>Leta 2025 bodo investicije v</w:t>
            </w:r>
            <w:r w:rsidR="007405CC" w:rsidRPr="00D27DA9">
              <w:rPr>
                <w:rFonts w:cstheme="minorHAnsi"/>
                <w:iCs/>
                <w:lang w:val="sl-SI"/>
              </w:rPr>
              <w:t xml:space="preserve"> </w:t>
            </w:r>
            <w:r w:rsidRPr="00D27DA9">
              <w:rPr>
                <w:rFonts w:cstheme="minorHAnsi"/>
                <w:iCs/>
                <w:lang w:val="sl-SI"/>
              </w:rPr>
              <w:t>glavno opremo predstavljale 23</w:t>
            </w:r>
            <w:r w:rsidR="007405CC" w:rsidRPr="00D27DA9">
              <w:rPr>
                <w:rFonts w:cstheme="minorHAnsi"/>
                <w:iCs/>
                <w:lang w:val="sl-SI"/>
              </w:rPr>
              <w:t xml:space="preserve"> </w:t>
            </w:r>
            <w:r w:rsidRPr="00D27DA9">
              <w:rPr>
                <w:rFonts w:cstheme="minorHAnsi"/>
                <w:iCs/>
                <w:lang w:val="sl-SI"/>
              </w:rPr>
              <w:t>% obrambnih izdatkov.</w:t>
            </w:r>
          </w:p>
        </w:tc>
      </w:tr>
    </w:tbl>
    <w:p w14:paraId="33757172" w14:textId="37BFFAA5" w:rsidR="0098423D" w:rsidRPr="00D27DA9" w:rsidRDefault="0098423D" w:rsidP="00D54094">
      <w:pPr>
        <w:spacing w:after="0"/>
        <w:rPr>
          <w:rFonts w:cstheme="minorHAnsi"/>
          <w:b/>
        </w:rPr>
      </w:pPr>
    </w:p>
    <w:p w14:paraId="454F9304" w14:textId="7CD137C4" w:rsidR="007405CC" w:rsidRPr="00D27DA9" w:rsidRDefault="007405CC">
      <w:pPr>
        <w:rPr>
          <w:rFonts w:cstheme="minorHAnsi"/>
          <w:b/>
        </w:rPr>
      </w:pPr>
      <w:r w:rsidRPr="00D27DA9">
        <w:rPr>
          <w:rFonts w:cstheme="minorHAnsi"/>
          <w:b/>
        </w:rPr>
        <w:br w:type="page"/>
      </w:r>
    </w:p>
    <w:p w14:paraId="55B03B60" w14:textId="746497B9" w:rsidR="004A6B22" w:rsidRPr="00D27DA9" w:rsidRDefault="00543ED3" w:rsidP="00543ED3">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cstheme="minorHAnsi"/>
          <w:b/>
        </w:rPr>
      </w:pPr>
      <w:r w:rsidRPr="00D27DA9">
        <w:rPr>
          <w:rFonts w:cstheme="minorHAnsi"/>
          <w:b/>
        </w:rPr>
        <w:lastRenderedPageBreak/>
        <w:t>Zaveza</w:t>
      </w:r>
      <w:r w:rsidR="00DB14C9" w:rsidRPr="00D27DA9">
        <w:rPr>
          <w:rFonts w:cstheme="minorHAnsi"/>
          <w:b/>
        </w:rPr>
        <w:t xml:space="preserve"> </w:t>
      </w:r>
      <w:r w:rsidR="00180BFB" w:rsidRPr="00D27DA9">
        <w:rPr>
          <w:rFonts w:cstheme="minorHAnsi"/>
          <w:b/>
        </w:rPr>
        <w:t xml:space="preserve">3: </w:t>
      </w:r>
      <w:r w:rsidR="00CA3999" w:rsidRPr="00D27DA9">
        <w:rPr>
          <w:rFonts w:cstheme="minorHAnsi"/>
        </w:rPr>
        <w:t>O</w:t>
      </w:r>
      <w:r w:rsidR="007D60B2" w:rsidRPr="00D27DA9">
        <w:rPr>
          <w:rFonts w:cstheme="minorHAnsi"/>
        </w:rPr>
        <w:t>krepile strateške skupne projekte in projekte sodelovanja za razvoj obrambnih zmogljivosti. Takšni skupni projekti in projekti sodelovanja bi morali biti sofinancirani iz evropskega obrambnega sklada</w:t>
      </w:r>
      <w:r w:rsidR="005D1FCF" w:rsidRPr="00D27DA9">
        <w:rPr>
          <w:rFonts w:cstheme="minorHAnsi"/>
        </w:rPr>
        <w:t xml:space="preserve"> (EDF)</w:t>
      </w:r>
      <w:r w:rsidR="007D60B2" w:rsidRPr="00D27DA9">
        <w:rPr>
          <w:rFonts w:cstheme="minorHAnsi"/>
        </w:rPr>
        <w:t>, če je to potrebno in primerno</w:t>
      </w:r>
      <w:r w:rsidR="005D1FCF" w:rsidRPr="00D27DA9">
        <w:rPr>
          <w:rFonts w:cstheme="minorHAnsi"/>
        </w:rPr>
        <w:t>.</w:t>
      </w:r>
    </w:p>
    <w:p w14:paraId="000508F5" w14:textId="77777777" w:rsidR="003B4A58" w:rsidRDefault="003B4A58" w:rsidP="00BB6452">
      <w:pPr>
        <w:spacing w:after="0"/>
        <w:rPr>
          <w:rFonts w:cstheme="minorHAnsi"/>
          <w:highlight w:val="yellow"/>
        </w:rPr>
      </w:pPr>
    </w:p>
    <w:p w14:paraId="0C09F6DA" w14:textId="77777777" w:rsidR="003B4A58" w:rsidRDefault="003B4A58" w:rsidP="00BB6452">
      <w:pPr>
        <w:spacing w:after="0"/>
        <w:rPr>
          <w:rFonts w:cstheme="minorHAnsi"/>
          <w:highlight w:val="yellow"/>
        </w:rPr>
      </w:pPr>
    </w:p>
    <w:tbl>
      <w:tblPr>
        <w:tblStyle w:val="Tabelamrea"/>
        <w:tblW w:w="12332" w:type="dxa"/>
        <w:tblInd w:w="8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1115"/>
        <w:gridCol w:w="3686"/>
        <w:gridCol w:w="4110"/>
        <w:gridCol w:w="3421"/>
      </w:tblGrid>
      <w:tr w:rsidR="00AD3C06" w:rsidRPr="00D27DA9" w14:paraId="22117A9F" w14:textId="77777777" w:rsidTr="00E02C59">
        <w:trPr>
          <w:trHeight w:val="359"/>
        </w:trPr>
        <w:tc>
          <w:tcPr>
            <w:tcW w:w="1115" w:type="dxa"/>
            <w:shd w:val="clear" w:color="auto" w:fill="F2F2F2" w:themeFill="background1" w:themeFillShade="F2"/>
            <w:vAlign w:val="center"/>
          </w:tcPr>
          <w:p w14:paraId="29DFBFAB" w14:textId="77777777" w:rsidR="00AD3C06" w:rsidRPr="00D27DA9" w:rsidRDefault="00AD3C06" w:rsidP="00D362DB">
            <w:pPr>
              <w:jc w:val="center"/>
              <w:rPr>
                <w:rFonts w:eastAsia="Calibri" w:cstheme="minorHAnsi"/>
                <w:b/>
                <w:bCs/>
                <w:lang w:val="sl-SI"/>
              </w:rPr>
            </w:pPr>
          </w:p>
        </w:tc>
        <w:tc>
          <w:tcPr>
            <w:tcW w:w="3686" w:type="dxa"/>
            <w:shd w:val="clear" w:color="auto" w:fill="F2F2F2" w:themeFill="background1" w:themeFillShade="F2"/>
            <w:vAlign w:val="center"/>
          </w:tcPr>
          <w:p w14:paraId="07C8DC4A" w14:textId="09B7C680" w:rsidR="00AD3C06" w:rsidRPr="00D27DA9" w:rsidRDefault="003E1D97" w:rsidP="00D362DB">
            <w:pPr>
              <w:jc w:val="center"/>
              <w:rPr>
                <w:rFonts w:eastAsia="Calibri" w:cstheme="minorHAnsi"/>
                <w:b/>
                <w:bCs/>
                <w:lang w:val="sl-SI"/>
              </w:rPr>
            </w:pPr>
            <w:r w:rsidRPr="00D27DA9">
              <w:rPr>
                <w:rFonts w:eastAsia="Calibri" w:cstheme="minorHAnsi"/>
                <w:b/>
                <w:bCs/>
                <w:lang w:val="sl-SI"/>
              </w:rPr>
              <w:t>2020</w:t>
            </w:r>
          </w:p>
          <w:p w14:paraId="3FB7BC34" w14:textId="77777777" w:rsidR="00AD3C06" w:rsidRPr="00D27DA9" w:rsidRDefault="00AD3C06" w:rsidP="00D362DB">
            <w:pPr>
              <w:jc w:val="center"/>
              <w:rPr>
                <w:rFonts w:eastAsia="Calibri" w:cstheme="minorHAnsi"/>
                <w:b/>
                <w:lang w:val="sl-SI"/>
              </w:rPr>
            </w:pPr>
            <w:r w:rsidRPr="00D27DA9">
              <w:rPr>
                <w:rFonts w:eastAsia="Calibri" w:cstheme="minorHAnsi"/>
                <w:b/>
                <w:bCs/>
                <w:lang w:val="sl-SI"/>
              </w:rPr>
              <w:t>(samoocena)</w:t>
            </w:r>
          </w:p>
        </w:tc>
        <w:tc>
          <w:tcPr>
            <w:tcW w:w="4110" w:type="dxa"/>
            <w:shd w:val="clear" w:color="auto" w:fill="F2F2F2" w:themeFill="background1" w:themeFillShade="F2"/>
            <w:vAlign w:val="center"/>
          </w:tcPr>
          <w:p w14:paraId="06BBEF03" w14:textId="2AFFE9D6" w:rsidR="00AD3C06" w:rsidRPr="00D27DA9" w:rsidRDefault="003E1D97" w:rsidP="00D362DB">
            <w:pPr>
              <w:jc w:val="center"/>
              <w:rPr>
                <w:rFonts w:eastAsia="Calibri" w:cstheme="minorHAnsi"/>
                <w:b/>
                <w:bCs/>
                <w:lang w:val="sl-SI"/>
              </w:rPr>
            </w:pPr>
            <w:r w:rsidRPr="00D27DA9">
              <w:rPr>
                <w:rFonts w:eastAsia="Calibri" w:cstheme="minorHAnsi"/>
                <w:b/>
                <w:bCs/>
                <w:lang w:val="sl-SI"/>
              </w:rPr>
              <w:t>2021</w:t>
            </w:r>
          </w:p>
          <w:p w14:paraId="72CCEA94" w14:textId="77777777" w:rsidR="00AD3C06" w:rsidRPr="00D27DA9" w:rsidRDefault="00AD3C06" w:rsidP="00D362DB">
            <w:pPr>
              <w:jc w:val="center"/>
              <w:rPr>
                <w:rFonts w:eastAsia="Calibri" w:cstheme="minorHAnsi"/>
                <w:b/>
                <w:lang w:val="sl-SI"/>
              </w:rPr>
            </w:pPr>
            <w:r w:rsidRPr="00D27DA9">
              <w:rPr>
                <w:rFonts w:eastAsia="Calibri" w:cstheme="minorHAnsi"/>
                <w:b/>
                <w:bCs/>
                <w:lang w:val="sl-SI"/>
              </w:rPr>
              <w:t>(predvideno)</w:t>
            </w:r>
          </w:p>
        </w:tc>
        <w:tc>
          <w:tcPr>
            <w:tcW w:w="3421" w:type="dxa"/>
            <w:shd w:val="clear" w:color="auto" w:fill="F2F2F2" w:themeFill="background1" w:themeFillShade="F2"/>
            <w:vAlign w:val="center"/>
          </w:tcPr>
          <w:p w14:paraId="3A501B37" w14:textId="7191C9AA" w:rsidR="00AD3C06" w:rsidRPr="00D27DA9" w:rsidRDefault="003E1D97" w:rsidP="00D362DB">
            <w:pPr>
              <w:jc w:val="center"/>
              <w:rPr>
                <w:rFonts w:eastAsia="Calibri" w:cstheme="minorHAnsi"/>
                <w:b/>
                <w:bCs/>
                <w:lang w:val="sl-SI"/>
              </w:rPr>
            </w:pPr>
            <w:r w:rsidRPr="00D27DA9">
              <w:rPr>
                <w:rFonts w:eastAsia="Calibri" w:cstheme="minorHAnsi"/>
                <w:b/>
                <w:bCs/>
                <w:lang w:val="sl-SI"/>
              </w:rPr>
              <w:t>2022</w:t>
            </w:r>
            <w:r w:rsidR="00AD3C06" w:rsidRPr="00D27DA9">
              <w:rPr>
                <w:rFonts w:eastAsia="Calibri" w:cstheme="minorHAnsi"/>
                <w:b/>
                <w:bCs/>
                <w:lang w:val="sl-SI"/>
              </w:rPr>
              <w:t xml:space="preserve">-2025 </w:t>
            </w:r>
          </w:p>
          <w:p w14:paraId="2E30D2BD" w14:textId="77777777" w:rsidR="00AD3C06" w:rsidRPr="00D27DA9" w:rsidRDefault="00AD3C06" w:rsidP="00D362DB">
            <w:pPr>
              <w:jc w:val="center"/>
              <w:rPr>
                <w:rFonts w:eastAsia="Calibri" w:cstheme="minorHAnsi"/>
                <w:b/>
                <w:lang w:val="sl-SI"/>
              </w:rPr>
            </w:pPr>
            <w:r w:rsidRPr="00D27DA9">
              <w:rPr>
                <w:rFonts w:eastAsia="Calibri" w:cstheme="minorHAnsi"/>
                <w:b/>
                <w:bCs/>
                <w:lang w:val="sl-SI"/>
              </w:rPr>
              <w:t>(predvideno)</w:t>
            </w:r>
          </w:p>
        </w:tc>
      </w:tr>
      <w:tr w:rsidR="00AD3C06" w:rsidRPr="00D27DA9" w14:paraId="73BE13B1" w14:textId="77777777" w:rsidTr="00E02C59">
        <w:trPr>
          <w:trHeight w:val="3883"/>
        </w:trPr>
        <w:tc>
          <w:tcPr>
            <w:tcW w:w="1115" w:type="dxa"/>
            <w:vAlign w:val="center"/>
          </w:tcPr>
          <w:p w14:paraId="1399F710" w14:textId="77777777" w:rsidR="00AD3C06" w:rsidRPr="00D27DA9" w:rsidRDefault="00AD3C06" w:rsidP="00D362DB">
            <w:pPr>
              <w:rPr>
                <w:rFonts w:eastAsia="Calibri" w:cstheme="minorHAnsi"/>
                <w:b/>
                <w:lang w:val="sl-SI"/>
              </w:rPr>
            </w:pPr>
            <w:r w:rsidRPr="00D27DA9">
              <w:rPr>
                <w:rFonts w:eastAsia="Calibri" w:cstheme="minorHAnsi"/>
                <w:b/>
                <w:lang w:val="sl-SI"/>
              </w:rPr>
              <w:t>Zaveza 3</w:t>
            </w:r>
          </w:p>
        </w:tc>
        <w:tc>
          <w:tcPr>
            <w:tcW w:w="3686" w:type="dxa"/>
            <w:vAlign w:val="center"/>
          </w:tcPr>
          <w:p w14:paraId="0CB28151" w14:textId="16AFBC58" w:rsidR="00363488" w:rsidRPr="00D27DA9" w:rsidRDefault="00363488" w:rsidP="00D27DA9">
            <w:pPr>
              <w:jc w:val="both"/>
              <w:rPr>
                <w:rFonts w:eastAsia="Calibri" w:cstheme="minorHAnsi"/>
                <w:lang w:val="sl-SI"/>
              </w:rPr>
            </w:pPr>
            <w:r w:rsidRPr="00D27DA9">
              <w:rPr>
                <w:rFonts w:eastAsia="Calibri" w:cstheme="minorHAnsi"/>
                <w:lang w:val="sl-SI"/>
              </w:rPr>
              <w:t>Slovenija sodeluje v PESCO projektu Nadzor JRKB kot storitev (CBRN SaaS), kjer je možnost kandidature za sredstva iz Evropskega programa za razvoj obrambne industrije (European Defence Industrial Development Programme - EDIDP). V zvezi s tem je bila oddana ponudba na razpis EDIDP2020.  Obstoječi projekti Evropske obrambne agencije (EDA) CAT B</w:t>
            </w:r>
            <w:r w:rsidR="005141D2" w:rsidRPr="00D27DA9">
              <w:rPr>
                <w:rFonts w:cstheme="minorHAnsi"/>
                <w:lang w:val="sl-SI"/>
              </w:rPr>
              <w:t xml:space="preserve"> na področju </w:t>
            </w:r>
            <w:r w:rsidR="005141D2" w:rsidRPr="00D27DA9">
              <w:rPr>
                <w:rFonts w:eastAsia="Calibri" w:cstheme="minorHAnsi"/>
                <w:lang w:val="sl-SI"/>
              </w:rPr>
              <w:t>razvoja obrambnih zmogljivosti</w:t>
            </w:r>
            <w:r w:rsidRPr="00D27DA9">
              <w:rPr>
                <w:rFonts w:eastAsia="Calibri" w:cstheme="minorHAnsi"/>
                <w:lang w:val="sl-SI"/>
              </w:rPr>
              <w:t xml:space="preserve">, kjer sodelujemo so: zagotavljanje energije s področja uporabe gorivnih celic (IAPUNIT) – projekt je v zaključni fazi, Hibridna vozila (HybriDT) – projekt je v zaključni fazi, Zagotavljanje informacij o improviziranih eksplozivnih sredstvih (Smart Future Countering IED Laboratory - SF C IED FL), razvoj </w:t>
            </w:r>
            <w:r w:rsidR="003B0A50" w:rsidRPr="00D27DA9">
              <w:rPr>
                <w:rFonts w:eastAsia="Calibri" w:cstheme="minorHAnsi"/>
                <w:lang w:val="sl-SI"/>
              </w:rPr>
              <w:t>kovinskih</w:t>
            </w:r>
            <w:r w:rsidRPr="00D27DA9">
              <w:rPr>
                <w:rFonts w:eastAsia="Calibri" w:cstheme="minorHAnsi"/>
                <w:lang w:val="sl-SI"/>
              </w:rPr>
              <w:t xml:space="preserve"> </w:t>
            </w:r>
            <w:r w:rsidRPr="007C4FA2">
              <w:rPr>
                <w:rFonts w:eastAsia="Calibri" w:cstheme="minorHAnsi"/>
                <w:lang w:val="sl-SI"/>
              </w:rPr>
              <w:t>avkse</w:t>
            </w:r>
            <w:r w:rsidR="00C411D9" w:rsidRPr="007C4FA2">
              <w:rPr>
                <w:rFonts w:eastAsia="Calibri" w:cstheme="minorHAnsi"/>
                <w:lang w:val="sl-SI"/>
              </w:rPr>
              <w:t>t</w:t>
            </w:r>
            <w:r w:rsidRPr="007C4FA2">
              <w:rPr>
                <w:rFonts w:eastAsia="Calibri" w:cstheme="minorHAnsi"/>
                <w:lang w:val="sl-SI"/>
              </w:rPr>
              <w:t>ični</w:t>
            </w:r>
            <w:r w:rsidR="007C4FA2">
              <w:rPr>
                <w:rFonts w:eastAsia="Calibri" w:cstheme="minorHAnsi"/>
                <w:lang w:val="sl-SI"/>
              </w:rPr>
              <w:t>h</w:t>
            </w:r>
            <w:r w:rsidRPr="00D27DA9">
              <w:rPr>
                <w:rFonts w:eastAsia="Calibri" w:cstheme="minorHAnsi"/>
                <w:lang w:val="sl-SI"/>
              </w:rPr>
              <w:t xml:space="preserve"> 3D tiskanih materialov za povečanje balistične zaščite (AMALIA),  v postopku je priključitev h projektu ELUVAT - Električno vozilo za različne terene . Projekti bi lahko v nadaljevanju (morebitna druga faza) kandidirali za </w:t>
            </w:r>
            <w:r w:rsidRPr="00D27DA9">
              <w:rPr>
                <w:rFonts w:eastAsia="Calibri" w:cstheme="minorHAnsi"/>
                <w:lang w:val="sl-SI"/>
              </w:rPr>
              <w:lastRenderedPageBreak/>
              <w:t xml:space="preserve">sredstva iz Evropskega obrambnega sklada (EDF).  V okviru razpisov EDIDP  za leto 2020 smo podprli enajst projektov , v katerih so kandidirala slovenska podjetja v konzorcijih. Pri vseh se je MORS aktivno vključeval s podporo z informacijami, pismi podpore ali strokovnimi usmeritvami. Še naprej sodelujemo z, na razpisu EDIDP 2019 izbranim podjetjem C-Astral za projekt DRONEDGE. </w:t>
            </w:r>
          </w:p>
          <w:p w14:paraId="05FDC742" w14:textId="3717C7AF" w:rsidR="00AD3C06" w:rsidRPr="00D27DA9" w:rsidRDefault="00363488" w:rsidP="00D27DA9">
            <w:pPr>
              <w:jc w:val="both"/>
              <w:rPr>
                <w:rFonts w:eastAsia="Calibri" w:cstheme="minorHAnsi"/>
                <w:lang w:val="sl-SI"/>
              </w:rPr>
            </w:pPr>
            <w:r w:rsidRPr="00D27DA9">
              <w:rPr>
                <w:rFonts w:eastAsia="Calibri" w:cstheme="minorHAnsi"/>
                <w:lang w:val="sl-SI"/>
              </w:rPr>
              <w:t>Kot vodilna država pri projektu Omrežje z energetskimi vozlišči za večjo obrambno odpornost (Defence Resilience Hub Network in Europe  - RESHUB Network) smo kandidirali za sredstva v okviru EU Programa za podporo strukturnim reformam (SRSP).</w:t>
            </w:r>
          </w:p>
        </w:tc>
        <w:tc>
          <w:tcPr>
            <w:tcW w:w="4110" w:type="dxa"/>
          </w:tcPr>
          <w:p w14:paraId="3875CCB2" w14:textId="52ED77D5" w:rsidR="00363488" w:rsidRDefault="00363488" w:rsidP="00D27DA9">
            <w:pPr>
              <w:jc w:val="both"/>
              <w:rPr>
                <w:rFonts w:cstheme="minorHAnsi"/>
                <w:lang w:val="sl-SI"/>
              </w:rPr>
            </w:pPr>
            <w:r w:rsidRPr="00D27DA9">
              <w:rPr>
                <w:rFonts w:cstheme="minorHAnsi"/>
                <w:lang w:val="sl-SI"/>
              </w:rPr>
              <w:lastRenderedPageBreak/>
              <w:t>V okviru Evropskega programa za razvoj obrambne industrije (EDF) smo pripravljeni podpreti smis</w:t>
            </w:r>
            <w:r w:rsidR="003B4A58">
              <w:rPr>
                <w:rFonts w:cstheme="minorHAnsi"/>
                <w:lang w:val="sl-SI"/>
              </w:rPr>
              <w:t>elne projekte, ki bodo podpirali</w:t>
            </w:r>
            <w:r w:rsidRPr="00D27DA9">
              <w:rPr>
                <w:rFonts w:cstheme="minorHAnsi"/>
                <w:lang w:val="sl-SI"/>
              </w:rPr>
              <w:t xml:space="preserve"> nacionalno in evropsko izgradnjo zmogljivosti.  </w:t>
            </w:r>
          </w:p>
          <w:p w14:paraId="7B1B060F" w14:textId="77777777" w:rsidR="003B4A58" w:rsidRPr="00D27DA9" w:rsidRDefault="003B4A58" w:rsidP="00D27DA9">
            <w:pPr>
              <w:jc w:val="both"/>
              <w:rPr>
                <w:rFonts w:cstheme="minorHAnsi"/>
                <w:lang w:val="sl-SI"/>
              </w:rPr>
            </w:pPr>
          </w:p>
          <w:p w14:paraId="1A3A9326" w14:textId="1088A076" w:rsidR="00363488" w:rsidRDefault="00363488" w:rsidP="00D27DA9">
            <w:pPr>
              <w:jc w:val="both"/>
              <w:rPr>
                <w:rFonts w:cstheme="minorHAnsi"/>
                <w:lang w:val="sl-SI"/>
              </w:rPr>
            </w:pPr>
            <w:r w:rsidRPr="00D27DA9">
              <w:rPr>
                <w:rFonts w:cstheme="minorHAnsi"/>
                <w:lang w:val="sl-SI"/>
              </w:rPr>
              <w:t xml:space="preserve">V primeru uspešnih kandidatur za finančna sredstva v EDIDP v letu 2020 nameravamo sofinancirati projekte v naslednjem obdobju v skladu s predvidenimi finančnimi obvezami, sprejetimi skladno s podprtimi projekti.  </w:t>
            </w:r>
          </w:p>
          <w:p w14:paraId="64807D2C" w14:textId="77777777" w:rsidR="003B4A58" w:rsidRPr="00D27DA9" w:rsidRDefault="003B4A58" w:rsidP="00D27DA9">
            <w:pPr>
              <w:jc w:val="both"/>
              <w:rPr>
                <w:rFonts w:cstheme="minorHAnsi"/>
                <w:lang w:val="sl-SI"/>
              </w:rPr>
            </w:pPr>
          </w:p>
          <w:p w14:paraId="542BD20D" w14:textId="77777777" w:rsidR="00363488" w:rsidRPr="00D27DA9" w:rsidRDefault="00363488" w:rsidP="00D27DA9">
            <w:pPr>
              <w:jc w:val="both"/>
              <w:rPr>
                <w:rFonts w:cstheme="minorHAnsi"/>
                <w:lang w:val="sl-SI"/>
              </w:rPr>
            </w:pPr>
            <w:r w:rsidRPr="00D27DA9">
              <w:rPr>
                <w:rFonts w:cstheme="minorHAnsi"/>
                <w:lang w:val="sl-SI"/>
              </w:rPr>
              <w:t>EDA Cat B projekti: Pričakujemo priključitev projektu ELUVAT in PASEI II.</w:t>
            </w:r>
          </w:p>
          <w:p w14:paraId="199498AF" w14:textId="77777777" w:rsidR="003B4A58" w:rsidRDefault="00363488" w:rsidP="007B5E4D">
            <w:pPr>
              <w:jc w:val="both"/>
              <w:rPr>
                <w:rFonts w:cstheme="minorHAnsi"/>
                <w:lang w:val="sl-SI"/>
              </w:rPr>
            </w:pPr>
            <w:r w:rsidRPr="00D27DA9">
              <w:rPr>
                <w:rFonts w:cstheme="minorHAnsi"/>
                <w:lang w:val="sl-SI"/>
              </w:rPr>
              <w:t xml:space="preserve">Nadaljevali bomo s sodelovanjem </w:t>
            </w:r>
            <w:r w:rsidR="007B5E4D">
              <w:rPr>
                <w:rFonts w:cstheme="minorHAnsi"/>
                <w:lang w:val="sl-SI"/>
              </w:rPr>
              <w:t>na pričetih projektih</w:t>
            </w:r>
            <w:r w:rsidRPr="00D27DA9">
              <w:rPr>
                <w:rFonts w:cstheme="minorHAnsi"/>
                <w:lang w:val="sl-SI"/>
              </w:rPr>
              <w:t xml:space="preserve">. </w:t>
            </w:r>
          </w:p>
          <w:p w14:paraId="658E08B7" w14:textId="77777777" w:rsidR="003B4A58" w:rsidRDefault="003B4A58" w:rsidP="007B5E4D">
            <w:pPr>
              <w:jc w:val="both"/>
              <w:rPr>
                <w:rFonts w:cstheme="minorHAnsi"/>
                <w:lang w:val="sl-SI"/>
              </w:rPr>
            </w:pPr>
          </w:p>
          <w:p w14:paraId="31C4E351" w14:textId="4AC7C7A1" w:rsidR="00BF711B" w:rsidRPr="00D27DA9" w:rsidRDefault="003B4A58" w:rsidP="003B4A58">
            <w:pPr>
              <w:jc w:val="both"/>
              <w:rPr>
                <w:rFonts w:cstheme="minorHAnsi"/>
                <w:lang w:val="sl-SI"/>
              </w:rPr>
            </w:pPr>
            <w:r>
              <w:rPr>
                <w:rFonts w:cstheme="minorHAnsi"/>
                <w:lang w:val="sl-SI"/>
              </w:rPr>
              <w:t xml:space="preserve">Nadaljevali bomo v projektu </w:t>
            </w:r>
            <w:r w:rsidR="00363488" w:rsidRPr="00D27DA9">
              <w:rPr>
                <w:rFonts w:cstheme="minorHAnsi"/>
                <w:lang w:val="sl-SI"/>
              </w:rPr>
              <w:t>EUROSIM za kar zagotavljamo tudi sredstva.</w:t>
            </w:r>
          </w:p>
        </w:tc>
        <w:tc>
          <w:tcPr>
            <w:tcW w:w="3421" w:type="dxa"/>
            <w:shd w:val="clear" w:color="auto" w:fill="FFFFFF" w:themeFill="background1"/>
          </w:tcPr>
          <w:p w14:paraId="69516C8C" w14:textId="7FE3F0F0" w:rsidR="00AD3C06" w:rsidRPr="00D27DA9" w:rsidRDefault="00363488" w:rsidP="00D27DA9">
            <w:pPr>
              <w:jc w:val="both"/>
              <w:rPr>
                <w:rFonts w:cstheme="minorHAnsi"/>
                <w:lang w:val="sl-SI"/>
              </w:rPr>
            </w:pPr>
            <w:r w:rsidRPr="00D27DA9">
              <w:rPr>
                <w:rFonts w:cstheme="minorHAnsi"/>
                <w:lang w:val="sl-SI"/>
              </w:rPr>
              <w:t>Slovenija je pripravljena sodelovati v do dveh skupnih strateških projektih EU, ki bodo podprti preko EDF. Slovenija bo izvajala raziskovalne projekte v nacionalnem okviru in  v okviru mehanizmov EU v primernem razmerju. Slovenija bo sodelovala v približno šestih projektih EU, mehanizmih kategorije B, ter do šestih projektih v okviru EDIDP/EDF projektih.</w:t>
            </w:r>
          </w:p>
        </w:tc>
      </w:tr>
    </w:tbl>
    <w:p w14:paraId="6E8BAF9D" w14:textId="0326980B" w:rsidR="00BB353A" w:rsidRPr="00D27DA9" w:rsidRDefault="00BB353A">
      <w:pPr>
        <w:rPr>
          <w:rFonts w:cstheme="minorHAnsi"/>
          <w:b/>
        </w:rPr>
      </w:pPr>
    </w:p>
    <w:p w14:paraId="7AA39896" w14:textId="1F149342" w:rsidR="006D45AE" w:rsidRPr="00D27DA9" w:rsidRDefault="006D45AE">
      <w:pPr>
        <w:rPr>
          <w:rFonts w:cstheme="minorHAnsi"/>
          <w:b/>
        </w:rPr>
      </w:pPr>
    </w:p>
    <w:p w14:paraId="7D2821B3" w14:textId="12D3BD90" w:rsidR="007405CC" w:rsidRPr="00D27DA9" w:rsidRDefault="007405CC">
      <w:pPr>
        <w:rPr>
          <w:rFonts w:cstheme="minorHAnsi"/>
          <w:b/>
        </w:rPr>
      </w:pPr>
      <w:r w:rsidRPr="00D27DA9">
        <w:rPr>
          <w:rFonts w:cstheme="minorHAnsi"/>
          <w:b/>
        </w:rPr>
        <w:br w:type="page"/>
      </w:r>
    </w:p>
    <w:p w14:paraId="416AAEF3" w14:textId="5649B67E" w:rsidR="00DB14C9" w:rsidRPr="00D27DA9" w:rsidRDefault="00DB14C9" w:rsidP="00DB14C9">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cstheme="minorHAnsi"/>
        </w:rPr>
      </w:pPr>
      <w:r w:rsidRPr="00D27DA9">
        <w:rPr>
          <w:rFonts w:cstheme="minorHAnsi"/>
          <w:b/>
        </w:rPr>
        <w:lastRenderedPageBreak/>
        <w:t>Zaveza 4:</w:t>
      </w:r>
      <w:r w:rsidR="006D45AE" w:rsidRPr="00D27DA9">
        <w:rPr>
          <w:rFonts w:cstheme="minorHAnsi"/>
        </w:rPr>
        <w:t xml:space="preserve"> </w:t>
      </w:r>
      <w:r w:rsidR="00D35614" w:rsidRPr="00D27DA9">
        <w:rPr>
          <w:rFonts w:cstheme="minorHAnsi"/>
        </w:rPr>
        <w:t>P</w:t>
      </w:r>
      <w:r w:rsidR="005716EE" w:rsidRPr="00D27DA9">
        <w:rPr>
          <w:rFonts w:cstheme="minorHAnsi"/>
        </w:rPr>
        <w:t>ovečale delež odhodkov za raziskave in tehnologijo na področju obrambe, da bi se približale 2 % skupnih odhodkov za obrambo (skupno merilo)</w:t>
      </w:r>
      <w:r w:rsidR="006D45AE" w:rsidRPr="00D27DA9">
        <w:rPr>
          <w:rFonts w:cstheme="minorHAnsi"/>
        </w:rPr>
        <w:t>.</w:t>
      </w:r>
    </w:p>
    <w:p w14:paraId="675ABB79" w14:textId="77777777" w:rsidR="00BB6452" w:rsidRPr="00D27DA9" w:rsidRDefault="00BB6452" w:rsidP="00071228">
      <w:pPr>
        <w:spacing w:line="240" w:lineRule="auto"/>
        <w:jc w:val="both"/>
        <w:rPr>
          <w:rFonts w:cstheme="minorHAnsi"/>
          <w:color w:val="000000"/>
        </w:rPr>
      </w:pPr>
    </w:p>
    <w:p w14:paraId="0072CEA6" w14:textId="77777777" w:rsidR="006035A2" w:rsidRPr="00D27DA9" w:rsidRDefault="006035A2" w:rsidP="006035A2">
      <w:pPr>
        <w:spacing w:after="0"/>
        <w:rPr>
          <w:rFonts w:cstheme="minorHAnsi"/>
        </w:rPr>
      </w:pPr>
    </w:p>
    <w:tbl>
      <w:tblPr>
        <w:tblStyle w:val="Tabelamrea"/>
        <w:tblW w:w="11321" w:type="dxa"/>
        <w:tblInd w:w="836" w:type="dxa"/>
        <w:tblLayout w:type="fixed"/>
        <w:tblLook w:val="06A0" w:firstRow="1" w:lastRow="0" w:firstColumn="1" w:lastColumn="0" w:noHBand="1" w:noVBand="1"/>
      </w:tblPr>
      <w:tblGrid>
        <w:gridCol w:w="2268"/>
        <w:gridCol w:w="2533"/>
        <w:gridCol w:w="2693"/>
        <w:gridCol w:w="3827"/>
      </w:tblGrid>
      <w:tr w:rsidR="008C3586" w:rsidRPr="00D27DA9" w14:paraId="27170EEC" w14:textId="77777777" w:rsidTr="007405CC">
        <w:trPr>
          <w:trHeight w:val="359"/>
        </w:trPr>
        <w:tc>
          <w:tcPr>
            <w:tcW w:w="2268" w:type="dxa"/>
            <w:shd w:val="clear" w:color="auto" w:fill="F2F2F2" w:themeFill="background1" w:themeFillShade="F2"/>
            <w:vAlign w:val="center"/>
          </w:tcPr>
          <w:p w14:paraId="4F6E53D3" w14:textId="77777777" w:rsidR="008C3586" w:rsidRPr="00D27DA9" w:rsidRDefault="008C3586" w:rsidP="00D362DB">
            <w:pPr>
              <w:jc w:val="center"/>
              <w:rPr>
                <w:rFonts w:eastAsia="Calibri" w:cstheme="minorHAnsi"/>
                <w:b/>
                <w:bCs/>
                <w:lang w:val="sl-SI"/>
              </w:rPr>
            </w:pPr>
          </w:p>
        </w:tc>
        <w:tc>
          <w:tcPr>
            <w:tcW w:w="2533" w:type="dxa"/>
            <w:shd w:val="clear" w:color="auto" w:fill="F2F2F2" w:themeFill="background1" w:themeFillShade="F2"/>
            <w:vAlign w:val="center"/>
          </w:tcPr>
          <w:p w14:paraId="5692B538" w14:textId="398841B0" w:rsidR="008C3586" w:rsidRPr="00D27DA9" w:rsidRDefault="003E1D97" w:rsidP="00D362DB">
            <w:pPr>
              <w:jc w:val="center"/>
              <w:rPr>
                <w:rFonts w:eastAsia="Calibri" w:cstheme="minorHAnsi"/>
                <w:b/>
                <w:bCs/>
                <w:lang w:val="sl-SI"/>
              </w:rPr>
            </w:pPr>
            <w:r w:rsidRPr="00D27DA9">
              <w:rPr>
                <w:rFonts w:eastAsia="Calibri" w:cstheme="minorHAnsi"/>
                <w:b/>
                <w:bCs/>
                <w:lang w:val="sl-SI"/>
              </w:rPr>
              <w:t>2020</w:t>
            </w:r>
          </w:p>
          <w:p w14:paraId="553F1C67" w14:textId="77777777" w:rsidR="008C3586" w:rsidRPr="00D27DA9" w:rsidRDefault="008C3586" w:rsidP="00D362DB">
            <w:pPr>
              <w:jc w:val="center"/>
              <w:rPr>
                <w:rFonts w:eastAsia="Calibri" w:cstheme="minorHAnsi"/>
                <w:b/>
                <w:lang w:val="sl-SI"/>
              </w:rPr>
            </w:pPr>
            <w:r w:rsidRPr="00D27DA9">
              <w:rPr>
                <w:rFonts w:eastAsia="Calibri" w:cstheme="minorHAnsi"/>
                <w:b/>
                <w:bCs/>
                <w:lang w:val="sl-SI"/>
              </w:rPr>
              <w:t>(samoocena)</w:t>
            </w:r>
          </w:p>
        </w:tc>
        <w:tc>
          <w:tcPr>
            <w:tcW w:w="2693" w:type="dxa"/>
            <w:shd w:val="clear" w:color="auto" w:fill="F2F2F2" w:themeFill="background1" w:themeFillShade="F2"/>
            <w:vAlign w:val="center"/>
          </w:tcPr>
          <w:p w14:paraId="71318D4E" w14:textId="5EE794A0" w:rsidR="007C1202" w:rsidRPr="00D27DA9" w:rsidRDefault="003E1D97" w:rsidP="00D362DB">
            <w:pPr>
              <w:jc w:val="center"/>
              <w:rPr>
                <w:rFonts w:eastAsia="Calibri" w:cstheme="minorHAnsi"/>
                <w:b/>
                <w:bCs/>
                <w:lang w:val="sl-SI"/>
              </w:rPr>
            </w:pPr>
            <w:r w:rsidRPr="00D27DA9">
              <w:rPr>
                <w:rFonts w:eastAsia="Calibri" w:cstheme="minorHAnsi"/>
                <w:b/>
                <w:bCs/>
                <w:lang w:val="sl-SI"/>
              </w:rPr>
              <w:t>2021</w:t>
            </w:r>
          </w:p>
          <w:p w14:paraId="1506ED23" w14:textId="77777777" w:rsidR="008C3586" w:rsidRPr="00D27DA9" w:rsidRDefault="008C3586" w:rsidP="00D362DB">
            <w:pPr>
              <w:jc w:val="center"/>
              <w:rPr>
                <w:rFonts w:eastAsia="Calibri" w:cstheme="minorHAnsi"/>
                <w:b/>
                <w:lang w:val="sl-SI"/>
              </w:rPr>
            </w:pPr>
            <w:r w:rsidRPr="00D27DA9">
              <w:rPr>
                <w:rFonts w:eastAsia="Calibri" w:cstheme="minorHAnsi"/>
                <w:b/>
                <w:bCs/>
                <w:lang w:val="sl-SI"/>
              </w:rPr>
              <w:t>(predvideno)</w:t>
            </w:r>
          </w:p>
        </w:tc>
        <w:tc>
          <w:tcPr>
            <w:tcW w:w="3827" w:type="dxa"/>
            <w:shd w:val="clear" w:color="auto" w:fill="F2F2F2" w:themeFill="background1" w:themeFillShade="F2"/>
            <w:vAlign w:val="center"/>
          </w:tcPr>
          <w:p w14:paraId="45C41EAC" w14:textId="61485445" w:rsidR="007C1202" w:rsidRPr="00D27DA9" w:rsidRDefault="003E1D97" w:rsidP="00D362DB">
            <w:pPr>
              <w:jc w:val="center"/>
              <w:rPr>
                <w:rFonts w:eastAsia="Calibri" w:cstheme="minorHAnsi"/>
                <w:b/>
                <w:bCs/>
                <w:lang w:val="sl-SI"/>
              </w:rPr>
            </w:pPr>
            <w:r w:rsidRPr="00D27DA9">
              <w:rPr>
                <w:rFonts w:eastAsia="Calibri" w:cstheme="minorHAnsi"/>
                <w:b/>
                <w:bCs/>
                <w:lang w:val="sl-SI"/>
              </w:rPr>
              <w:t>2022</w:t>
            </w:r>
            <w:r w:rsidR="008C3586" w:rsidRPr="00D27DA9">
              <w:rPr>
                <w:rFonts w:eastAsia="Calibri" w:cstheme="minorHAnsi"/>
                <w:b/>
                <w:bCs/>
                <w:lang w:val="sl-SI"/>
              </w:rPr>
              <w:t xml:space="preserve">-2025 </w:t>
            </w:r>
          </w:p>
          <w:p w14:paraId="0FD986DA" w14:textId="77777777" w:rsidR="008C3586" w:rsidRPr="00D27DA9" w:rsidRDefault="008C3586" w:rsidP="00D362DB">
            <w:pPr>
              <w:jc w:val="center"/>
              <w:rPr>
                <w:rFonts w:eastAsia="Calibri" w:cstheme="minorHAnsi"/>
                <w:b/>
                <w:lang w:val="sl-SI"/>
              </w:rPr>
            </w:pPr>
            <w:r w:rsidRPr="00D27DA9">
              <w:rPr>
                <w:rFonts w:eastAsia="Calibri" w:cstheme="minorHAnsi"/>
                <w:b/>
                <w:bCs/>
                <w:lang w:val="sl-SI"/>
              </w:rPr>
              <w:t>(predvideno)</w:t>
            </w:r>
          </w:p>
        </w:tc>
      </w:tr>
      <w:tr w:rsidR="007F0B36" w:rsidRPr="00D27DA9" w14:paraId="3FE4D76F" w14:textId="77777777" w:rsidTr="007405CC">
        <w:trPr>
          <w:trHeight w:val="840"/>
        </w:trPr>
        <w:tc>
          <w:tcPr>
            <w:tcW w:w="2268" w:type="dxa"/>
            <w:vAlign w:val="center"/>
          </w:tcPr>
          <w:p w14:paraId="3AA43047" w14:textId="49ADED95" w:rsidR="007F0B36" w:rsidRPr="00D27DA9" w:rsidRDefault="00F64084" w:rsidP="00D35614">
            <w:pPr>
              <w:rPr>
                <w:rFonts w:eastAsia="Calibri" w:cstheme="minorHAnsi"/>
                <w:b/>
                <w:bCs/>
                <w:lang w:val="sl-SI"/>
              </w:rPr>
            </w:pPr>
            <w:r w:rsidRPr="00D27DA9">
              <w:rPr>
                <w:rFonts w:eastAsia="Calibri" w:cstheme="minorHAnsi"/>
                <w:b/>
                <w:bCs/>
                <w:lang w:val="sl-SI"/>
              </w:rPr>
              <w:t xml:space="preserve">Obseg sredstev </w:t>
            </w:r>
            <w:r w:rsidR="00436815" w:rsidRPr="00D27DA9">
              <w:rPr>
                <w:rFonts w:eastAsia="Calibri" w:cstheme="minorHAnsi"/>
                <w:b/>
                <w:bCs/>
                <w:lang w:val="sl-SI"/>
              </w:rPr>
              <w:t xml:space="preserve">za raziskave in tehnologijo </w:t>
            </w:r>
          </w:p>
        </w:tc>
        <w:tc>
          <w:tcPr>
            <w:tcW w:w="2533" w:type="dxa"/>
            <w:vAlign w:val="center"/>
          </w:tcPr>
          <w:p w14:paraId="47DCE4A4" w14:textId="10A07DA7" w:rsidR="007F0B36" w:rsidRPr="00D27DA9" w:rsidRDefault="00ED37DB" w:rsidP="007405CC">
            <w:pPr>
              <w:jc w:val="center"/>
              <w:rPr>
                <w:rFonts w:eastAsia="Calibri" w:cstheme="minorHAnsi"/>
                <w:bCs/>
                <w:lang w:val="sl-SI"/>
              </w:rPr>
            </w:pPr>
            <w:r w:rsidRPr="00D27DA9">
              <w:rPr>
                <w:rFonts w:cstheme="minorHAnsi"/>
                <w:lang w:val="sl-SI"/>
              </w:rPr>
              <w:t>1.120.000</w:t>
            </w:r>
          </w:p>
        </w:tc>
        <w:tc>
          <w:tcPr>
            <w:tcW w:w="2693" w:type="dxa"/>
            <w:vAlign w:val="center"/>
          </w:tcPr>
          <w:p w14:paraId="003C410C" w14:textId="675044C5" w:rsidR="007F0B36" w:rsidRPr="00D27DA9" w:rsidRDefault="00ED37DB" w:rsidP="007405CC">
            <w:pPr>
              <w:jc w:val="center"/>
              <w:rPr>
                <w:rFonts w:eastAsia="Calibri" w:cstheme="minorHAnsi"/>
                <w:bCs/>
                <w:lang w:val="sl-SI"/>
              </w:rPr>
            </w:pPr>
            <w:r w:rsidRPr="00D27DA9">
              <w:rPr>
                <w:rFonts w:cstheme="minorHAnsi"/>
                <w:lang w:val="sl-SI"/>
              </w:rPr>
              <w:t>2.500.000</w:t>
            </w:r>
          </w:p>
        </w:tc>
        <w:tc>
          <w:tcPr>
            <w:tcW w:w="3827" w:type="dxa"/>
            <w:shd w:val="clear" w:color="auto" w:fill="FFFFFF" w:themeFill="background1"/>
            <w:vAlign w:val="center"/>
          </w:tcPr>
          <w:p w14:paraId="22981831" w14:textId="6E9BBF18" w:rsidR="007F0B36" w:rsidRPr="00D27DA9" w:rsidRDefault="00ED37DB" w:rsidP="007405CC">
            <w:pPr>
              <w:jc w:val="center"/>
              <w:rPr>
                <w:rFonts w:eastAsia="Calibri" w:cstheme="minorHAnsi"/>
                <w:bCs/>
                <w:lang w:val="sl-SI"/>
              </w:rPr>
            </w:pPr>
            <w:r w:rsidRPr="00D27DA9">
              <w:rPr>
                <w:rFonts w:cstheme="minorHAnsi"/>
                <w:lang w:val="sl-SI"/>
              </w:rPr>
              <w:t>2022: 2.500.000</w:t>
            </w:r>
          </w:p>
        </w:tc>
      </w:tr>
      <w:tr w:rsidR="007F0B36" w:rsidRPr="00D27DA9" w14:paraId="6182CD12" w14:textId="77777777" w:rsidTr="007405CC">
        <w:trPr>
          <w:trHeight w:val="840"/>
        </w:trPr>
        <w:tc>
          <w:tcPr>
            <w:tcW w:w="2268" w:type="dxa"/>
            <w:vAlign w:val="center"/>
          </w:tcPr>
          <w:p w14:paraId="49299810" w14:textId="6ECE6C6D" w:rsidR="007F0B36" w:rsidRPr="00D27DA9" w:rsidRDefault="007F0B36" w:rsidP="007F0B36">
            <w:pPr>
              <w:rPr>
                <w:rFonts w:eastAsia="Calibri" w:cstheme="minorHAnsi"/>
                <w:b/>
                <w:lang w:val="sl-SI"/>
              </w:rPr>
            </w:pPr>
            <w:r w:rsidRPr="00D27DA9">
              <w:rPr>
                <w:rFonts w:eastAsia="Calibri" w:cstheme="minorHAnsi"/>
                <w:b/>
                <w:bCs/>
                <w:lang w:val="sl-SI"/>
              </w:rPr>
              <w:t>Obseg sredstev za r</w:t>
            </w:r>
            <w:r w:rsidR="006F3531" w:rsidRPr="00D27DA9">
              <w:rPr>
                <w:rFonts w:eastAsia="Calibri" w:cstheme="minorHAnsi"/>
                <w:b/>
                <w:bCs/>
                <w:lang w:val="sl-SI"/>
              </w:rPr>
              <w:t>aziskave in tehnologijo kot % obrambnih izdatkov</w:t>
            </w:r>
          </w:p>
        </w:tc>
        <w:tc>
          <w:tcPr>
            <w:tcW w:w="2533" w:type="dxa"/>
            <w:vAlign w:val="center"/>
          </w:tcPr>
          <w:p w14:paraId="5BBB7660" w14:textId="6F946FFC" w:rsidR="007F0B36" w:rsidRPr="00D27DA9" w:rsidRDefault="00ED37DB" w:rsidP="007405CC">
            <w:pPr>
              <w:jc w:val="center"/>
              <w:rPr>
                <w:rFonts w:eastAsia="Calibri" w:cstheme="minorHAnsi"/>
                <w:lang w:val="sl-SI"/>
              </w:rPr>
            </w:pPr>
            <w:r w:rsidRPr="00D27DA9">
              <w:rPr>
                <w:rFonts w:eastAsia="Calibri" w:cstheme="minorHAnsi"/>
                <w:lang w:val="sl-SI"/>
              </w:rPr>
              <w:t>0,22</w:t>
            </w:r>
          </w:p>
        </w:tc>
        <w:tc>
          <w:tcPr>
            <w:tcW w:w="2693" w:type="dxa"/>
            <w:vAlign w:val="center"/>
          </w:tcPr>
          <w:p w14:paraId="41B9358A" w14:textId="3E8402FA" w:rsidR="007F0B36" w:rsidRPr="00D27DA9" w:rsidRDefault="00ED37DB" w:rsidP="007405CC">
            <w:pPr>
              <w:jc w:val="center"/>
              <w:rPr>
                <w:rFonts w:eastAsia="Calibri" w:cstheme="minorHAnsi"/>
                <w:lang w:val="sl-SI"/>
              </w:rPr>
            </w:pPr>
            <w:r w:rsidRPr="00D27DA9">
              <w:rPr>
                <w:rFonts w:eastAsia="Calibri" w:cstheme="minorHAnsi"/>
                <w:lang w:val="sl-SI"/>
              </w:rPr>
              <w:t>0,40</w:t>
            </w:r>
          </w:p>
        </w:tc>
        <w:tc>
          <w:tcPr>
            <w:tcW w:w="3827" w:type="dxa"/>
            <w:vAlign w:val="center"/>
          </w:tcPr>
          <w:p w14:paraId="7136E1D6" w14:textId="5D8A4DD7" w:rsidR="007F0B36" w:rsidRPr="00D27DA9" w:rsidRDefault="00ED37DB" w:rsidP="007405CC">
            <w:pPr>
              <w:jc w:val="center"/>
              <w:rPr>
                <w:rFonts w:cstheme="minorHAnsi"/>
                <w:lang w:val="sl-SI"/>
              </w:rPr>
            </w:pPr>
            <w:r w:rsidRPr="00D27DA9">
              <w:rPr>
                <w:rFonts w:cstheme="minorHAnsi"/>
                <w:lang w:val="sl-SI"/>
              </w:rPr>
              <w:t>2022: 0,37</w:t>
            </w:r>
          </w:p>
        </w:tc>
      </w:tr>
    </w:tbl>
    <w:p w14:paraId="682D6F5A" w14:textId="146B6491" w:rsidR="006D45AE" w:rsidRPr="00D27DA9" w:rsidRDefault="006D45AE">
      <w:pPr>
        <w:rPr>
          <w:rFonts w:cstheme="minorHAnsi"/>
          <w:b/>
        </w:rPr>
      </w:pPr>
    </w:p>
    <w:p w14:paraId="712EA130" w14:textId="7CBB083C" w:rsidR="006D45AE" w:rsidRPr="00D27DA9" w:rsidRDefault="006D45AE">
      <w:pPr>
        <w:rPr>
          <w:rFonts w:cstheme="minorHAnsi"/>
          <w:b/>
        </w:rPr>
      </w:pPr>
    </w:p>
    <w:p w14:paraId="457C9D5E" w14:textId="77777777" w:rsidR="0080648A" w:rsidRPr="00D27DA9" w:rsidRDefault="0080648A">
      <w:pPr>
        <w:rPr>
          <w:rFonts w:cstheme="minorHAnsi"/>
          <w:b/>
        </w:rPr>
      </w:pPr>
      <w:r w:rsidRPr="00D27DA9">
        <w:rPr>
          <w:rFonts w:cstheme="minorHAnsi"/>
          <w:b/>
        </w:rPr>
        <w:br w:type="page"/>
      </w:r>
    </w:p>
    <w:p w14:paraId="5D90DF01" w14:textId="43CA5DC8" w:rsidR="00D44E05" w:rsidRPr="00D27DA9" w:rsidRDefault="00BB353A" w:rsidP="00D44E05">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cstheme="minorHAnsi"/>
          <w:b/>
        </w:rPr>
      </w:pPr>
      <w:r w:rsidRPr="00D27DA9">
        <w:rPr>
          <w:rFonts w:cstheme="minorHAnsi"/>
          <w:b/>
        </w:rPr>
        <w:lastRenderedPageBreak/>
        <w:t>Zaveza 5</w:t>
      </w:r>
      <w:r w:rsidRPr="00D27DA9">
        <w:rPr>
          <w:rFonts w:cstheme="minorHAnsi"/>
        </w:rPr>
        <w:t xml:space="preserve">: </w:t>
      </w:r>
      <w:r w:rsidR="00D35614" w:rsidRPr="00D27DA9">
        <w:rPr>
          <w:rFonts w:cstheme="minorHAnsi"/>
        </w:rPr>
        <w:t>U</w:t>
      </w:r>
      <w:r w:rsidR="008E6436" w:rsidRPr="00D27DA9">
        <w:rPr>
          <w:rFonts w:cstheme="minorHAnsi"/>
        </w:rPr>
        <w:t xml:space="preserve">vedle redno pregledovanje teh zavez (s ciljem, da jih potrdi Svet) </w:t>
      </w:r>
    </w:p>
    <w:p w14:paraId="6BE16B17" w14:textId="77777777" w:rsidR="003B4A58" w:rsidRDefault="003B4A58" w:rsidP="00BB6452">
      <w:pPr>
        <w:spacing w:after="0"/>
        <w:rPr>
          <w:rFonts w:cstheme="minorHAnsi"/>
          <w:highlight w:val="yellow"/>
        </w:rPr>
      </w:pPr>
    </w:p>
    <w:tbl>
      <w:tblPr>
        <w:tblStyle w:val="Tabelamrea"/>
        <w:tblW w:w="12190" w:type="dxa"/>
        <w:tblInd w:w="8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1112"/>
        <w:gridCol w:w="3717"/>
        <w:gridCol w:w="4144"/>
        <w:gridCol w:w="3217"/>
      </w:tblGrid>
      <w:tr w:rsidR="00AE4BDD" w:rsidRPr="00D27DA9" w14:paraId="2E34BC20" w14:textId="77777777" w:rsidTr="00E02C59">
        <w:trPr>
          <w:trHeight w:val="359"/>
        </w:trPr>
        <w:tc>
          <w:tcPr>
            <w:tcW w:w="1112" w:type="dxa"/>
            <w:shd w:val="clear" w:color="auto" w:fill="F2F2F2" w:themeFill="background1" w:themeFillShade="F2"/>
            <w:vAlign w:val="center"/>
          </w:tcPr>
          <w:p w14:paraId="1339BB7E" w14:textId="77777777" w:rsidR="00AE4BDD" w:rsidRPr="00D27DA9" w:rsidRDefault="00AE4BDD" w:rsidP="00D362DB">
            <w:pPr>
              <w:jc w:val="center"/>
              <w:rPr>
                <w:rFonts w:eastAsia="Calibri" w:cstheme="minorHAnsi"/>
                <w:b/>
                <w:bCs/>
                <w:lang w:val="sl-SI"/>
              </w:rPr>
            </w:pPr>
          </w:p>
        </w:tc>
        <w:tc>
          <w:tcPr>
            <w:tcW w:w="3717" w:type="dxa"/>
            <w:shd w:val="clear" w:color="auto" w:fill="F2F2F2" w:themeFill="background1" w:themeFillShade="F2"/>
            <w:vAlign w:val="center"/>
          </w:tcPr>
          <w:p w14:paraId="28DA7976" w14:textId="1D0BE4CB" w:rsidR="00AE4BDD" w:rsidRPr="00D27DA9" w:rsidRDefault="000145B2" w:rsidP="00D362DB">
            <w:pPr>
              <w:jc w:val="center"/>
              <w:rPr>
                <w:rFonts w:eastAsia="Calibri" w:cstheme="minorHAnsi"/>
                <w:b/>
                <w:bCs/>
                <w:lang w:val="sl-SI"/>
              </w:rPr>
            </w:pPr>
            <w:r w:rsidRPr="00D27DA9">
              <w:rPr>
                <w:rFonts w:eastAsia="Calibri" w:cstheme="minorHAnsi"/>
                <w:b/>
                <w:bCs/>
                <w:lang w:val="sl-SI"/>
              </w:rPr>
              <w:t>2020</w:t>
            </w:r>
          </w:p>
          <w:p w14:paraId="60726F8B" w14:textId="77777777" w:rsidR="00AE4BDD" w:rsidRPr="00D27DA9" w:rsidRDefault="00AE4BDD" w:rsidP="00D362DB">
            <w:pPr>
              <w:jc w:val="center"/>
              <w:rPr>
                <w:rFonts w:eastAsia="Calibri" w:cstheme="minorHAnsi"/>
                <w:b/>
                <w:lang w:val="sl-SI"/>
              </w:rPr>
            </w:pPr>
            <w:r w:rsidRPr="00D27DA9">
              <w:rPr>
                <w:rFonts w:eastAsia="Calibri" w:cstheme="minorHAnsi"/>
                <w:b/>
                <w:bCs/>
                <w:lang w:val="sl-SI"/>
              </w:rPr>
              <w:t>(samoocena)</w:t>
            </w:r>
          </w:p>
        </w:tc>
        <w:tc>
          <w:tcPr>
            <w:tcW w:w="4144" w:type="dxa"/>
            <w:shd w:val="clear" w:color="auto" w:fill="F2F2F2" w:themeFill="background1" w:themeFillShade="F2"/>
            <w:vAlign w:val="center"/>
          </w:tcPr>
          <w:p w14:paraId="212E12DF" w14:textId="716DC50D" w:rsidR="00AE4BDD" w:rsidRPr="00D27DA9" w:rsidRDefault="000145B2" w:rsidP="00D362DB">
            <w:pPr>
              <w:jc w:val="center"/>
              <w:rPr>
                <w:rFonts w:eastAsia="Calibri" w:cstheme="minorHAnsi"/>
                <w:b/>
                <w:bCs/>
                <w:lang w:val="sl-SI"/>
              </w:rPr>
            </w:pPr>
            <w:r w:rsidRPr="00D27DA9">
              <w:rPr>
                <w:rFonts w:eastAsia="Calibri" w:cstheme="minorHAnsi"/>
                <w:b/>
                <w:bCs/>
                <w:lang w:val="sl-SI"/>
              </w:rPr>
              <w:t>2021</w:t>
            </w:r>
          </w:p>
          <w:p w14:paraId="7F96B3A6" w14:textId="77777777" w:rsidR="00AE4BDD" w:rsidRPr="00D27DA9" w:rsidRDefault="00AE4BDD" w:rsidP="00D362DB">
            <w:pPr>
              <w:jc w:val="center"/>
              <w:rPr>
                <w:rFonts w:eastAsia="Calibri" w:cstheme="minorHAnsi"/>
                <w:b/>
                <w:lang w:val="sl-SI"/>
              </w:rPr>
            </w:pPr>
            <w:r w:rsidRPr="00D27DA9">
              <w:rPr>
                <w:rFonts w:eastAsia="Calibri" w:cstheme="minorHAnsi"/>
                <w:b/>
                <w:bCs/>
                <w:lang w:val="sl-SI"/>
              </w:rPr>
              <w:t>(predvideno)</w:t>
            </w:r>
          </w:p>
        </w:tc>
        <w:tc>
          <w:tcPr>
            <w:tcW w:w="3217" w:type="dxa"/>
            <w:shd w:val="clear" w:color="auto" w:fill="F2F2F2" w:themeFill="background1" w:themeFillShade="F2"/>
            <w:vAlign w:val="center"/>
          </w:tcPr>
          <w:p w14:paraId="5376E1D0" w14:textId="0FCDCB9D" w:rsidR="00AE4BDD" w:rsidRPr="00D27DA9" w:rsidRDefault="000145B2" w:rsidP="00D362DB">
            <w:pPr>
              <w:jc w:val="center"/>
              <w:rPr>
                <w:rFonts w:eastAsia="Calibri" w:cstheme="minorHAnsi"/>
                <w:b/>
                <w:bCs/>
                <w:lang w:val="sl-SI"/>
              </w:rPr>
            </w:pPr>
            <w:r w:rsidRPr="00D27DA9">
              <w:rPr>
                <w:rFonts w:eastAsia="Calibri" w:cstheme="minorHAnsi"/>
                <w:b/>
                <w:bCs/>
                <w:lang w:val="sl-SI"/>
              </w:rPr>
              <w:t>2022</w:t>
            </w:r>
            <w:r w:rsidR="00AE4BDD" w:rsidRPr="00D27DA9">
              <w:rPr>
                <w:rFonts w:eastAsia="Calibri" w:cstheme="minorHAnsi"/>
                <w:b/>
                <w:bCs/>
                <w:lang w:val="sl-SI"/>
              </w:rPr>
              <w:t xml:space="preserve">-2025 </w:t>
            </w:r>
          </w:p>
          <w:p w14:paraId="12C1C1CE" w14:textId="77777777" w:rsidR="00AE4BDD" w:rsidRPr="00D27DA9" w:rsidRDefault="00AE4BDD" w:rsidP="00D362DB">
            <w:pPr>
              <w:jc w:val="center"/>
              <w:rPr>
                <w:rFonts w:eastAsia="Calibri" w:cstheme="minorHAnsi"/>
                <w:b/>
                <w:lang w:val="sl-SI"/>
              </w:rPr>
            </w:pPr>
            <w:r w:rsidRPr="00D27DA9">
              <w:rPr>
                <w:rFonts w:eastAsia="Calibri" w:cstheme="minorHAnsi"/>
                <w:b/>
                <w:bCs/>
                <w:lang w:val="sl-SI"/>
              </w:rPr>
              <w:t>(predvideno)</w:t>
            </w:r>
          </w:p>
        </w:tc>
      </w:tr>
      <w:tr w:rsidR="00AE4BDD" w:rsidRPr="00D27DA9" w14:paraId="43E3D43D" w14:textId="77777777" w:rsidTr="007405CC">
        <w:trPr>
          <w:trHeight w:val="830"/>
        </w:trPr>
        <w:tc>
          <w:tcPr>
            <w:tcW w:w="1112" w:type="dxa"/>
            <w:vAlign w:val="center"/>
          </w:tcPr>
          <w:p w14:paraId="3821EB9F" w14:textId="77777777" w:rsidR="00AE4BDD" w:rsidRPr="00D27DA9" w:rsidRDefault="00AE4BDD" w:rsidP="00D362DB">
            <w:pPr>
              <w:rPr>
                <w:rFonts w:eastAsia="Calibri" w:cstheme="minorHAnsi"/>
                <w:b/>
                <w:lang w:val="sl-SI"/>
              </w:rPr>
            </w:pPr>
            <w:r w:rsidRPr="00D27DA9">
              <w:rPr>
                <w:rFonts w:eastAsia="Calibri" w:cstheme="minorHAnsi"/>
                <w:b/>
                <w:lang w:val="sl-SI"/>
              </w:rPr>
              <w:t>Zaveza 5</w:t>
            </w:r>
          </w:p>
        </w:tc>
        <w:tc>
          <w:tcPr>
            <w:tcW w:w="3717" w:type="dxa"/>
            <w:vAlign w:val="center"/>
          </w:tcPr>
          <w:p w14:paraId="6E96B04F" w14:textId="0A4D9786" w:rsidR="000A0DAF" w:rsidRPr="00D27DA9" w:rsidRDefault="000A0DAF" w:rsidP="007405CC">
            <w:pPr>
              <w:jc w:val="both"/>
              <w:rPr>
                <w:rFonts w:eastAsia="Calibri" w:cstheme="minorHAnsi"/>
                <w:lang w:val="sl-SI"/>
              </w:rPr>
            </w:pPr>
            <w:r w:rsidRPr="00D27DA9">
              <w:rPr>
                <w:rFonts w:eastAsia="Calibri" w:cstheme="minorHAnsi"/>
                <w:lang w:val="sl-SI"/>
              </w:rPr>
              <w:t xml:space="preserve">Na Ministrstvu za obrambo je organizirana delovna skupina PESCO, ki se redno srečuje in preverja stanje na področju PESCO. Slovenija je zagotovila redni letni pregled izvedbenega načrta in izpolnjevanja zavez. Prav tako redno sodeluje in zagotavlja podatke v okviru procesa CARD. Na nacionalni ravni izvaja letni pregled nacionalnih načrtov, v okviru Nato pa zagotavlja potrebne podatke v sklopu DPCS. </w:t>
            </w:r>
          </w:p>
          <w:p w14:paraId="0858FDFE" w14:textId="25F6ABDB" w:rsidR="00AE4BDD" w:rsidRPr="00D27DA9" w:rsidRDefault="000A0DAF" w:rsidP="007405CC">
            <w:pPr>
              <w:jc w:val="both"/>
              <w:rPr>
                <w:rFonts w:eastAsia="Calibri" w:cstheme="minorHAnsi"/>
                <w:lang w:val="sl-SI"/>
              </w:rPr>
            </w:pPr>
            <w:r w:rsidRPr="00D27DA9">
              <w:rPr>
                <w:rFonts w:eastAsia="Calibri" w:cstheme="minorHAnsi"/>
                <w:lang w:val="sl-SI"/>
              </w:rPr>
              <w:t>Na strateški ravni je bila leta 2019 sprejeta ReSNV (Resolucija o strategiji nacionalne varnosti), leta 2020 pa Bela knjiga o obrambi. Oba dokumenta vključujeta določbe glede spremljanja izpolnjevanja v njiju vključenih zavez. Izvajanje ReSNV spremlja Državni zbor skupaj z pristojnimi telesi, izvajanje zavez iz Bele knjige pa Ministrstvo za obrambo.</w:t>
            </w:r>
          </w:p>
        </w:tc>
        <w:tc>
          <w:tcPr>
            <w:tcW w:w="4144" w:type="dxa"/>
          </w:tcPr>
          <w:p w14:paraId="4E5DEC71" w14:textId="2F36CCF2" w:rsidR="000A0DAF" w:rsidRDefault="000A0DAF" w:rsidP="007405CC">
            <w:pPr>
              <w:jc w:val="both"/>
              <w:rPr>
                <w:rFonts w:cstheme="minorHAnsi"/>
                <w:lang w:val="sl-SI"/>
              </w:rPr>
            </w:pPr>
            <w:r w:rsidRPr="00D27DA9">
              <w:rPr>
                <w:rFonts w:cstheme="minorHAnsi"/>
                <w:lang w:val="sl-SI"/>
              </w:rPr>
              <w:t>Slovenija bo zagotavljala redne letne preglede nacionalnih planskih dokumentov in izpolnjevanja zavez PESCO ter sodelovala v procesih CARD in DPCS.</w:t>
            </w:r>
          </w:p>
          <w:p w14:paraId="6461351B" w14:textId="77777777" w:rsidR="003B4A58" w:rsidRPr="00D27DA9" w:rsidRDefault="003B4A58" w:rsidP="007405CC">
            <w:pPr>
              <w:jc w:val="both"/>
              <w:rPr>
                <w:rFonts w:cstheme="minorHAnsi"/>
                <w:lang w:val="sl-SI"/>
              </w:rPr>
            </w:pPr>
          </w:p>
          <w:p w14:paraId="044483FF" w14:textId="7AD7AE44" w:rsidR="000A0DAF" w:rsidRDefault="000A0DAF" w:rsidP="007405CC">
            <w:pPr>
              <w:jc w:val="both"/>
              <w:rPr>
                <w:rFonts w:cstheme="minorHAnsi"/>
                <w:lang w:val="sl-SI"/>
              </w:rPr>
            </w:pPr>
            <w:r w:rsidRPr="00D27DA9">
              <w:rPr>
                <w:rFonts w:cstheme="minorHAnsi"/>
                <w:lang w:val="sl-SI"/>
              </w:rPr>
              <w:t xml:space="preserve">Pri pripravi Srednjeročnega obrambnega programa (SOPR) in Resolucije o splošnem dolgoročnem programu razvoja in opremljanja Slovenske vojske (ReSDPRO SV) bo upoštevala ugotovitve CARD in pregleda PESCO. </w:t>
            </w:r>
          </w:p>
          <w:p w14:paraId="3F456A0E" w14:textId="77777777" w:rsidR="003B4A58" w:rsidRPr="00D27DA9" w:rsidRDefault="003B4A58" w:rsidP="007405CC">
            <w:pPr>
              <w:jc w:val="both"/>
              <w:rPr>
                <w:rFonts w:cstheme="minorHAnsi"/>
                <w:lang w:val="sl-SI"/>
              </w:rPr>
            </w:pPr>
          </w:p>
          <w:p w14:paraId="01D4C0D3" w14:textId="5388720D" w:rsidR="00AE4BDD" w:rsidRPr="00D27DA9" w:rsidRDefault="000A0DAF" w:rsidP="007405CC">
            <w:pPr>
              <w:jc w:val="both"/>
              <w:rPr>
                <w:rFonts w:cstheme="minorHAnsi"/>
                <w:lang w:val="sl-SI"/>
              </w:rPr>
            </w:pPr>
            <w:r w:rsidRPr="00D27DA9">
              <w:rPr>
                <w:rFonts w:cstheme="minorHAnsi"/>
                <w:lang w:val="sl-SI"/>
              </w:rPr>
              <w:t>Slovenija se zavezuje, da bo z namenom polne transparentnosti omogočila vpogled v ključna poročila (DPCS, CARD) tako EU kot Natu.</w:t>
            </w:r>
          </w:p>
        </w:tc>
        <w:tc>
          <w:tcPr>
            <w:tcW w:w="3217" w:type="dxa"/>
            <w:shd w:val="clear" w:color="auto" w:fill="FFFFFF" w:themeFill="background1"/>
          </w:tcPr>
          <w:p w14:paraId="2DCB835D" w14:textId="5E594DAA" w:rsidR="000A0DAF" w:rsidRDefault="000A0DAF" w:rsidP="007405CC">
            <w:pPr>
              <w:jc w:val="both"/>
              <w:rPr>
                <w:rFonts w:cstheme="minorHAnsi"/>
                <w:lang w:val="sl-SI"/>
              </w:rPr>
            </w:pPr>
            <w:r w:rsidRPr="00D27DA9">
              <w:rPr>
                <w:rFonts w:cstheme="minorHAnsi"/>
                <w:lang w:val="sl-SI"/>
              </w:rPr>
              <w:t>Zaveze in priporočila EU bodo ustrezno in v največji možni meri vključene v nacionalne strateške in planske dokumente.</w:t>
            </w:r>
          </w:p>
          <w:p w14:paraId="23054F4C" w14:textId="77777777" w:rsidR="003B4A58" w:rsidRPr="00D27DA9" w:rsidRDefault="003B4A58" w:rsidP="007405CC">
            <w:pPr>
              <w:jc w:val="both"/>
              <w:rPr>
                <w:rFonts w:cstheme="minorHAnsi"/>
                <w:lang w:val="sl-SI"/>
              </w:rPr>
            </w:pPr>
          </w:p>
          <w:p w14:paraId="737B64BE" w14:textId="3FD65B52" w:rsidR="000A0DAF" w:rsidRDefault="000A0DAF" w:rsidP="007405CC">
            <w:pPr>
              <w:jc w:val="both"/>
              <w:rPr>
                <w:rFonts w:cstheme="minorHAnsi"/>
                <w:lang w:val="sl-SI"/>
              </w:rPr>
            </w:pPr>
            <w:r w:rsidRPr="00D27DA9">
              <w:rPr>
                <w:rFonts w:cstheme="minorHAnsi"/>
                <w:lang w:val="sl-SI"/>
              </w:rPr>
              <w:t>Slovenija bo zagotavljala redne letne preglede nacionalnih planskih dokumentov, načrta in izpolnjevanja zavez PESCO ter sodelovala v procesih CARD in DPCS.</w:t>
            </w:r>
          </w:p>
          <w:p w14:paraId="1D7A3CF8" w14:textId="77777777" w:rsidR="003B4A58" w:rsidRPr="00D27DA9" w:rsidRDefault="003B4A58" w:rsidP="007405CC">
            <w:pPr>
              <w:jc w:val="both"/>
              <w:rPr>
                <w:rFonts w:cstheme="minorHAnsi"/>
                <w:lang w:val="sl-SI"/>
              </w:rPr>
            </w:pPr>
          </w:p>
          <w:p w14:paraId="1C38A377" w14:textId="5FD4D02F" w:rsidR="00AE4BDD" w:rsidRPr="00D27DA9" w:rsidRDefault="000A0DAF" w:rsidP="007405CC">
            <w:pPr>
              <w:jc w:val="both"/>
              <w:rPr>
                <w:rFonts w:cstheme="minorHAnsi"/>
                <w:lang w:val="sl-SI"/>
              </w:rPr>
            </w:pPr>
            <w:r w:rsidRPr="00D27DA9">
              <w:rPr>
                <w:rFonts w:cstheme="minorHAnsi"/>
                <w:lang w:val="sl-SI"/>
              </w:rPr>
              <w:t>Slovenija se zavezuje, da bo z namenom polne transparentnosti omogočila vpogled v ključna poročila (DPCS, CARD) tako EU kot Natu.</w:t>
            </w:r>
          </w:p>
        </w:tc>
      </w:tr>
    </w:tbl>
    <w:p w14:paraId="1651F0FE" w14:textId="77777777" w:rsidR="00AE4BDD" w:rsidRPr="00D27DA9" w:rsidRDefault="00AE4BDD" w:rsidP="00AE4BDD">
      <w:pPr>
        <w:spacing w:after="0"/>
        <w:rPr>
          <w:rFonts w:cstheme="minorHAnsi"/>
          <w:b/>
        </w:rPr>
      </w:pPr>
    </w:p>
    <w:p w14:paraId="60970907" w14:textId="77777777" w:rsidR="006E34D8" w:rsidRPr="00D27DA9" w:rsidRDefault="006E34D8">
      <w:pPr>
        <w:rPr>
          <w:rFonts w:cstheme="minorHAnsi"/>
          <w:b/>
        </w:rPr>
      </w:pPr>
      <w:r w:rsidRPr="00D27DA9">
        <w:rPr>
          <w:rFonts w:cstheme="minorHAnsi"/>
          <w:b/>
        </w:rPr>
        <w:br w:type="page"/>
      </w:r>
    </w:p>
    <w:p w14:paraId="1D4239B2" w14:textId="39A936F5" w:rsidR="006E34D8" w:rsidRPr="00D27DA9" w:rsidRDefault="006E34D8" w:rsidP="008E6436">
      <w:pPr>
        <w:pBdr>
          <w:top w:val="single" w:sz="4" w:space="1" w:color="auto"/>
          <w:left w:val="single" w:sz="4" w:space="4" w:color="auto"/>
          <w:bottom w:val="single" w:sz="4" w:space="1" w:color="auto"/>
          <w:right w:val="single" w:sz="4" w:space="4" w:color="auto"/>
        </w:pBdr>
        <w:shd w:val="clear" w:color="auto" w:fill="DBE5F1" w:themeFill="accent1" w:themeFillTint="33"/>
        <w:spacing w:after="0"/>
        <w:jc w:val="center"/>
        <w:rPr>
          <w:rFonts w:cstheme="minorHAnsi"/>
          <w:b/>
        </w:rPr>
      </w:pPr>
      <w:r w:rsidRPr="00D27DA9">
        <w:rPr>
          <w:rFonts w:cstheme="minorHAnsi"/>
          <w:b/>
        </w:rPr>
        <w:lastRenderedPageBreak/>
        <w:t>“(b) med seboj, kolikor je mogoče, prilagodi</w:t>
      </w:r>
      <w:r w:rsidR="008E6436" w:rsidRPr="00D27DA9">
        <w:rPr>
          <w:rFonts w:cstheme="minorHAnsi"/>
          <w:b/>
        </w:rPr>
        <w:t>le</w:t>
      </w:r>
      <w:r w:rsidRPr="00D27DA9">
        <w:rPr>
          <w:rFonts w:cstheme="minorHAnsi"/>
          <w:b/>
        </w:rPr>
        <w:t xml:space="preserve"> svoje obrambne sisteme, zlasti z usklajenim ugotavljanjem vojaških potreb, združevanjem in po potrebi s specializacijo svojih obrambnih sredstev in zmogljivosti ter spodbujanjem sodelovanja pri usposabljanju in logistiki.”</w:t>
      </w:r>
      <w:r w:rsidR="008E6436" w:rsidRPr="00D27DA9">
        <w:rPr>
          <w:rFonts w:cstheme="minorHAnsi"/>
          <w:iCs/>
        </w:rPr>
        <w:t xml:space="preserve"> </w:t>
      </w:r>
    </w:p>
    <w:p w14:paraId="10AC2793" w14:textId="77777777" w:rsidR="006E34D8" w:rsidRPr="00D27DA9" w:rsidRDefault="006E34D8" w:rsidP="006E34D8">
      <w:pPr>
        <w:rPr>
          <w:rFonts w:cstheme="minorHAnsi"/>
          <w:b/>
        </w:rPr>
      </w:pPr>
    </w:p>
    <w:p w14:paraId="6A127B3E" w14:textId="79E7C032" w:rsidR="006E34D8" w:rsidRPr="00D27DA9" w:rsidRDefault="00180BFB" w:rsidP="006E34D8">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cstheme="minorHAnsi"/>
          <w:b/>
        </w:rPr>
      </w:pPr>
      <w:r w:rsidRPr="00D27DA9">
        <w:rPr>
          <w:rFonts w:cstheme="minorHAnsi"/>
          <w:b/>
        </w:rPr>
        <w:t xml:space="preserve">Zaveza 6: </w:t>
      </w:r>
      <w:r w:rsidR="0079311D" w:rsidRPr="00D27DA9">
        <w:rPr>
          <w:rFonts w:cstheme="minorHAnsi"/>
        </w:rPr>
        <w:t>I</w:t>
      </w:r>
      <w:r w:rsidR="003F25B6" w:rsidRPr="00D27DA9">
        <w:rPr>
          <w:rFonts w:cstheme="minorHAnsi"/>
        </w:rPr>
        <w:t xml:space="preserve">mele pomembno vlogo pri razvoju zmogljivosti </w:t>
      </w:r>
      <w:r w:rsidR="006D45AE" w:rsidRPr="00D27DA9">
        <w:rPr>
          <w:rFonts w:cstheme="minorHAnsi"/>
        </w:rPr>
        <w:t>v EU, med drugim tudi v okviru U</w:t>
      </w:r>
      <w:r w:rsidR="003F25B6" w:rsidRPr="00D27DA9">
        <w:rPr>
          <w:rFonts w:cstheme="minorHAnsi"/>
        </w:rPr>
        <w:t>sklajenega letnega pregleda na področju obrambe</w:t>
      </w:r>
      <w:r w:rsidR="006D45AE" w:rsidRPr="00D27DA9">
        <w:rPr>
          <w:rFonts w:cstheme="minorHAnsi"/>
        </w:rPr>
        <w:t xml:space="preserve"> (CARD)</w:t>
      </w:r>
      <w:r w:rsidR="003F25B6" w:rsidRPr="00D27DA9">
        <w:rPr>
          <w:rFonts w:cstheme="minorHAnsi"/>
        </w:rPr>
        <w:t>, da bi zagotovili razpoložljivost potrebnih zmogljivosti za dosego ravni ambicij v Evropi</w:t>
      </w:r>
      <w:r w:rsidR="0079311D" w:rsidRPr="00D27DA9">
        <w:rPr>
          <w:rFonts w:cstheme="minorHAnsi"/>
        </w:rPr>
        <w:t>.</w:t>
      </w:r>
    </w:p>
    <w:p w14:paraId="40EE4251" w14:textId="77777777" w:rsidR="006E34D8" w:rsidRPr="00D27DA9" w:rsidRDefault="006E34D8" w:rsidP="006E34D8">
      <w:pPr>
        <w:spacing w:after="0"/>
        <w:rPr>
          <w:rFonts w:cstheme="minorHAnsi"/>
        </w:rPr>
      </w:pPr>
    </w:p>
    <w:p w14:paraId="0F72FEC3" w14:textId="77777777" w:rsidR="00DB7DC1" w:rsidRPr="00D27DA9" w:rsidRDefault="00DB7DC1" w:rsidP="00DB7DC1">
      <w:pPr>
        <w:spacing w:after="0"/>
        <w:rPr>
          <w:rFonts w:cstheme="minorHAnsi"/>
        </w:rPr>
      </w:pPr>
    </w:p>
    <w:tbl>
      <w:tblPr>
        <w:tblStyle w:val="Tabelamrea"/>
        <w:tblW w:w="13161" w:type="dxa"/>
        <w:tblInd w:w="8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1112"/>
        <w:gridCol w:w="3686"/>
        <w:gridCol w:w="4110"/>
        <w:gridCol w:w="4253"/>
      </w:tblGrid>
      <w:tr w:rsidR="00DB7DC1" w:rsidRPr="00D27DA9" w14:paraId="5EF8522D" w14:textId="77777777" w:rsidTr="006D45AE">
        <w:trPr>
          <w:trHeight w:val="359"/>
        </w:trPr>
        <w:tc>
          <w:tcPr>
            <w:tcW w:w="1112" w:type="dxa"/>
            <w:shd w:val="clear" w:color="auto" w:fill="F2F2F2" w:themeFill="background1" w:themeFillShade="F2"/>
            <w:vAlign w:val="center"/>
          </w:tcPr>
          <w:p w14:paraId="49A43071" w14:textId="77777777" w:rsidR="00DB7DC1" w:rsidRPr="00D27DA9" w:rsidRDefault="00DB7DC1" w:rsidP="00D362DB">
            <w:pPr>
              <w:jc w:val="center"/>
              <w:rPr>
                <w:rFonts w:eastAsia="Calibri" w:cstheme="minorHAnsi"/>
                <w:b/>
                <w:bCs/>
                <w:lang w:val="sl-SI"/>
              </w:rPr>
            </w:pPr>
          </w:p>
        </w:tc>
        <w:tc>
          <w:tcPr>
            <w:tcW w:w="3686" w:type="dxa"/>
            <w:shd w:val="clear" w:color="auto" w:fill="F2F2F2" w:themeFill="background1" w:themeFillShade="F2"/>
            <w:vAlign w:val="center"/>
          </w:tcPr>
          <w:p w14:paraId="3AE34255" w14:textId="2FFD0AEC" w:rsidR="00DB7DC1" w:rsidRPr="00D27DA9" w:rsidRDefault="00CE53B3" w:rsidP="00D362DB">
            <w:pPr>
              <w:jc w:val="center"/>
              <w:rPr>
                <w:rFonts w:eastAsia="Calibri" w:cstheme="minorHAnsi"/>
                <w:b/>
                <w:bCs/>
                <w:lang w:val="sl-SI"/>
              </w:rPr>
            </w:pPr>
            <w:r w:rsidRPr="00D27DA9">
              <w:rPr>
                <w:rFonts w:eastAsia="Calibri" w:cstheme="minorHAnsi"/>
                <w:b/>
                <w:bCs/>
                <w:lang w:val="sl-SI"/>
              </w:rPr>
              <w:t>2020</w:t>
            </w:r>
          </w:p>
          <w:p w14:paraId="3B748435" w14:textId="77777777" w:rsidR="00DB7DC1" w:rsidRPr="00D27DA9" w:rsidRDefault="00DB7DC1" w:rsidP="00D362DB">
            <w:pPr>
              <w:jc w:val="center"/>
              <w:rPr>
                <w:rFonts w:eastAsia="Calibri" w:cstheme="minorHAnsi"/>
                <w:b/>
                <w:bCs/>
                <w:lang w:val="sl-SI"/>
              </w:rPr>
            </w:pPr>
            <w:r w:rsidRPr="00D27DA9">
              <w:rPr>
                <w:rFonts w:eastAsia="Calibri" w:cstheme="minorHAnsi"/>
                <w:b/>
                <w:bCs/>
                <w:lang w:val="sl-SI"/>
              </w:rPr>
              <w:t>(samoocena)</w:t>
            </w:r>
          </w:p>
        </w:tc>
        <w:tc>
          <w:tcPr>
            <w:tcW w:w="4110" w:type="dxa"/>
            <w:shd w:val="clear" w:color="auto" w:fill="F2F2F2" w:themeFill="background1" w:themeFillShade="F2"/>
            <w:vAlign w:val="center"/>
          </w:tcPr>
          <w:p w14:paraId="0000AA1E" w14:textId="64DD45EE" w:rsidR="00DB7DC1" w:rsidRPr="00D27DA9" w:rsidRDefault="00CE53B3" w:rsidP="00D362DB">
            <w:pPr>
              <w:jc w:val="center"/>
              <w:rPr>
                <w:rFonts w:eastAsia="Calibri" w:cstheme="minorHAnsi"/>
                <w:b/>
                <w:bCs/>
                <w:lang w:val="sl-SI"/>
              </w:rPr>
            </w:pPr>
            <w:r w:rsidRPr="00D27DA9">
              <w:rPr>
                <w:rFonts w:eastAsia="Calibri" w:cstheme="minorHAnsi"/>
                <w:b/>
                <w:bCs/>
                <w:lang w:val="sl-SI"/>
              </w:rPr>
              <w:t>2021</w:t>
            </w:r>
          </w:p>
          <w:p w14:paraId="348AF19A" w14:textId="77777777" w:rsidR="00DB7DC1" w:rsidRPr="00D27DA9" w:rsidRDefault="00DB7DC1" w:rsidP="00D362DB">
            <w:pPr>
              <w:jc w:val="center"/>
              <w:rPr>
                <w:rFonts w:eastAsia="Calibri" w:cstheme="minorHAnsi"/>
                <w:b/>
                <w:lang w:val="sl-SI"/>
              </w:rPr>
            </w:pPr>
            <w:r w:rsidRPr="00D27DA9">
              <w:rPr>
                <w:rFonts w:eastAsia="Calibri" w:cstheme="minorHAnsi"/>
                <w:b/>
                <w:bCs/>
                <w:lang w:val="sl-SI"/>
              </w:rPr>
              <w:t>(predvideno)</w:t>
            </w:r>
          </w:p>
        </w:tc>
        <w:tc>
          <w:tcPr>
            <w:tcW w:w="4253" w:type="dxa"/>
            <w:shd w:val="clear" w:color="auto" w:fill="F2F2F2" w:themeFill="background1" w:themeFillShade="F2"/>
            <w:vAlign w:val="center"/>
          </w:tcPr>
          <w:p w14:paraId="51637D55" w14:textId="46B9E265" w:rsidR="00DB7DC1" w:rsidRPr="00D27DA9" w:rsidRDefault="00CE53B3" w:rsidP="00D362DB">
            <w:pPr>
              <w:jc w:val="center"/>
              <w:rPr>
                <w:rFonts w:eastAsia="Calibri" w:cstheme="minorHAnsi"/>
                <w:b/>
                <w:bCs/>
                <w:lang w:val="sl-SI"/>
              </w:rPr>
            </w:pPr>
            <w:r w:rsidRPr="00D27DA9">
              <w:rPr>
                <w:rFonts w:eastAsia="Calibri" w:cstheme="minorHAnsi"/>
                <w:b/>
                <w:bCs/>
                <w:lang w:val="sl-SI"/>
              </w:rPr>
              <w:t>2022</w:t>
            </w:r>
            <w:r w:rsidR="00DB7DC1" w:rsidRPr="00D27DA9">
              <w:rPr>
                <w:rFonts w:eastAsia="Calibri" w:cstheme="minorHAnsi"/>
                <w:b/>
                <w:bCs/>
                <w:lang w:val="sl-SI"/>
              </w:rPr>
              <w:t xml:space="preserve">-2025 </w:t>
            </w:r>
          </w:p>
          <w:p w14:paraId="70CC0C14" w14:textId="77777777" w:rsidR="00DB7DC1" w:rsidRPr="00D27DA9" w:rsidRDefault="00DB7DC1" w:rsidP="00D362DB">
            <w:pPr>
              <w:jc w:val="center"/>
              <w:rPr>
                <w:rFonts w:eastAsia="Calibri" w:cstheme="minorHAnsi"/>
                <w:b/>
                <w:lang w:val="sl-SI"/>
              </w:rPr>
            </w:pPr>
            <w:r w:rsidRPr="00D27DA9">
              <w:rPr>
                <w:rFonts w:eastAsia="Calibri" w:cstheme="minorHAnsi"/>
                <w:b/>
                <w:bCs/>
                <w:lang w:val="sl-SI"/>
              </w:rPr>
              <w:t>(predvideno)</w:t>
            </w:r>
          </w:p>
        </w:tc>
      </w:tr>
      <w:tr w:rsidR="00DB7DC1" w:rsidRPr="00D27DA9" w14:paraId="782EFEEE" w14:textId="77777777" w:rsidTr="006D45AE">
        <w:trPr>
          <w:trHeight w:val="3883"/>
        </w:trPr>
        <w:tc>
          <w:tcPr>
            <w:tcW w:w="1112" w:type="dxa"/>
            <w:vAlign w:val="center"/>
          </w:tcPr>
          <w:p w14:paraId="77756C60" w14:textId="77777777" w:rsidR="00DB7DC1" w:rsidRPr="00D27DA9" w:rsidRDefault="00DB7DC1" w:rsidP="00D27DA9">
            <w:pPr>
              <w:jc w:val="both"/>
              <w:rPr>
                <w:rFonts w:eastAsia="Calibri" w:cstheme="minorHAnsi"/>
                <w:b/>
                <w:lang w:val="sl-SI"/>
              </w:rPr>
            </w:pPr>
            <w:r w:rsidRPr="00D27DA9">
              <w:rPr>
                <w:rFonts w:eastAsia="Calibri" w:cstheme="minorHAnsi"/>
                <w:b/>
                <w:lang w:val="sl-SI"/>
              </w:rPr>
              <w:t>Zaveza 6</w:t>
            </w:r>
          </w:p>
        </w:tc>
        <w:tc>
          <w:tcPr>
            <w:tcW w:w="3686" w:type="dxa"/>
          </w:tcPr>
          <w:p w14:paraId="6328B064" w14:textId="2DD081D1" w:rsidR="00C70837" w:rsidRDefault="00C70837" w:rsidP="00D27DA9">
            <w:pPr>
              <w:jc w:val="both"/>
              <w:rPr>
                <w:rFonts w:eastAsia="Calibri" w:cstheme="minorHAnsi"/>
                <w:lang w:val="sl-SI"/>
              </w:rPr>
            </w:pPr>
            <w:r w:rsidRPr="00D27DA9">
              <w:rPr>
                <w:rFonts w:eastAsia="Calibri" w:cstheme="minorHAnsi"/>
                <w:lang w:val="sl-SI"/>
              </w:rPr>
              <w:t>Na strateški ravni je bila leta 2019 sprejeta Re</w:t>
            </w:r>
            <w:r w:rsidR="00AE4BAC">
              <w:rPr>
                <w:rFonts w:eastAsia="Calibri" w:cstheme="minorHAnsi"/>
                <w:lang w:val="sl-SI"/>
              </w:rPr>
              <w:t>s</w:t>
            </w:r>
            <w:r w:rsidR="00F70C15">
              <w:rPr>
                <w:rFonts w:eastAsia="Calibri" w:cstheme="minorHAnsi"/>
                <w:lang w:val="sl-SI"/>
              </w:rPr>
              <w:t>olucija o strategiji nacionalne varnostni (ReSNV)</w:t>
            </w:r>
            <w:r w:rsidRPr="00D27DA9">
              <w:rPr>
                <w:rFonts w:eastAsia="Calibri" w:cstheme="minorHAnsi"/>
                <w:lang w:val="sl-SI"/>
              </w:rPr>
              <w:t>, leta 2020 pa Bela knjiga o obrambi, ki upoštevata tudi Evropske cilje in zaveze ter naslavljata sodelovanje v iniciativah.</w:t>
            </w:r>
          </w:p>
          <w:p w14:paraId="4E48806A" w14:textId="77777777" w:rsidR="00615788" w:rsidRPr="00D27DA9" w:rsidRDefault="00615788" w:rsidP="00D27DA9">
            <w:pPr>
              <w:jc w:val="both"/>
              <w:rPr>
                <w:rFonts w:eastAsia="Calibri" w:cstheme="minorHAnsi"/>
                <w:lang w:val="sl-SI"/>
              </w:rPr>
            </w:pPr>
          </w:p>
          <w:p w14:paraId="125EE4C1" w14:textId="77777777" w:rsidR="00A50006" w:rsidRPr="00D27DA9" w:rsidRDefault="00C70837" w:rsidP="00D27DA9">
            <w:pPr>
              <w:autoSpaceDE w:val="0"/>
              <w:autoSpaceDN w:val="0"/>
              <w:adjustRightInd w:val="0"/>
              <w:jc w:val="both"/>
              <w:rPr>
                <w:rFonts w:cstheme="minorHAnsi"/>
                <w:iCs/>
                <w:lang w:val="sl-SI"/>
              </w:rPr>
            </w:pPr>
            <w:r w:rsidRPr="00D27DA9">
              <w:rPr>
                <w:rFonts w:eastAsia="Calibri" w:cstheme="minorHAnsi"/>
                <w:lang w:val="sl-SI"/>
              </w:rPr>
              <w:t>Prednostna področja Načrta razvoja zmogljivosti (CDP) so vključena v srednjeročne in kratkoročne planske dokumente (SOPR 2018-2023, Poslovni plan 2020-2021), kjer imamo zapisana prednostna področja razvoja in delovanja, pri katerih se lahko vsebina treh od petih nacionalnih prednostnih področij pokriva s prioritetami CDP.</w:t>
            </w:r>
            <w:r w:rsidR="00A50006" w:rsidRPr="00D27DA9">
              <w:rPr>
                <w:rFonts w:cstheme="minorHAnsi"/>
                <w:iCs/>
                <w:lang w:val="sl-SI"/>
              </w:rPr>
              <w:t xml:space="preserve"> </w:t>
            </w:r>
          </w:p>
          <w:p w14:paraId="4FFA646A" w14:textId="77777777" w:rsidR="00A50006" w:rsidRPr="00D27DA9" w:rsidRDefault="00A50006" w:rsidP="00D27DA9">
            <w:pPr>
              <w:autoSpaceDE w:val="0"/>
              <w:autoSpaceDN w:val="0"/>
              <w:adjustRightInd w:val="0"/>
              <w:jc w:val="both"/>
              <w:rPr>
                <w:rFonts w:cstheme="minorHAnsi"/>
                <w:iCs/>
                <w:lang w:val="sl-SI"/>
              </w:rPr>
            </w:pPr>
          </w:p>
          <w:p w14:paraId="1EF5441F" w14:textId="306C8A20" w:rsidR="00A50006" w:rsidRPr="00D27DA9" w:rsidRDefault="00A50006" w:rsidP="00615788">
            <w:pPr>
              <w:autoSpaceDE w:val="0"/>
              <w:autoSpaceDN w:val="0"/>
              <w:adjustRightInd w:val="0"/>
              <w:jc w:val="both"/>
              <w:rPr>
                <w:rFonts w:cstheme="minorHAnsi"/>
                <w:iCs/>
                <w:lang w:val="sl-SI"/>
              </w:rPr>
            </w:pPr>
            <w:r w:rsidRPr="00D27DA9">
              <w:rPr>
                <w:rFonts w:cstheme="minorHAnsi"/>
                <w:iCs/>
                <w:lang w:val="sl-SI"/>
              </w:rPr>
              <w:t>Slovenija je pri izdelavi</w:t>
            </w:r>
            <w:r w:rsidR="00615788">
              <w:rPr>
                <w:rFonts w:cstheme="minorHAnsi"/>
                <w:iCs/>
                <w:lang w:val="sl-SI"/>
              </w:rPr>
              <w:t xml:space="preserve"> </w:t>
            </w:r>
            <w:r w:rsidRPr="00D27DA9">
              <w:rPr>
                <w:rFonts w:cstheme="minorHAnsi"/>
                <w:iCs/>
                <w:lang w:val="sl-SI"/>
              </w:rPr>
              <w:t>Srednjeročnega obrambnega</w:t>
            </w:r>
            <w:r w:rsidR="00615788">
              <w:rPr>
                <w:rFonts w:cstheme="minorHAnsi"/>
                <w:iCs/>
                <w:lang w:val="sl-SI"/>
              </w:rPr>
              <w:t xml:space="preserve"> </w:t>
            </w:r>
            <w:r w:rsidRPr="00D27DA9">
              <w:rPr>
                <w:rFonts w:cstheme="minorHAnsi"/>
                <w:iCs/>
                <w:lang w:val="sl-SI"/>
              </w:rPr>
              <w:t>programa na področju razvoja</w:t>
            </w:r>
            <w:r w:rsidR="00615788">
              <w:rPr>
                <w:rFonts w:cstheme="minorHAnsi"/>
                <w:iCs/>
                <w:lang w:val="sl-SI"/>
              </w:rPr>
              <w:t xml:space="preserve"> </w:t>
            </w:r>
            <w:r w:rsidRPr="00D27DA9">
              <w:rPr>
                <w:rFonts w:cstheme="minorHAnsi"/>
                <w:iCs/>
                <w:lang w:val="sl-SI"/>
              </w:rPr>
              <w:t>zmogljivosti, investicij in raziskovalno</w:t>
            </w:r>
            <w:r w:rsidR="00AE4BAC">
              <w:rPr>
                <w:rFonts w:cstheme="minorHAnsi"/>
                <w:iCs/>
                <w:lang w:val="sl-SI"/>
              </w:rPr>
              <w:t xml:space="preserve"> </w:t>
            </w:r>
            <w:r w:rsidRPr="00D27DA9">
              <w:rPr>
                <w:rFonts w:cstheme="minorHAnsi"/>
                <w:iCs/>
                <w:lang w:val="sl-SI"/>
              </w:rPr>
              <w:t>tehnoloških</w:t>
            </w:r>
            <w:r w:rsidR="00615788">
              <w:rPr>
                <w:rFonts w:cstheme="minorHAnsi"/>
                <w:iCs/>
                <w:lang w:val="sl-SI"/>
              </w:rPr>
              <w:t xml:space="preserve"> </w:t>
            </w:r>
            <w:r w:rsidRPr="00D27DA9">
              <w:rPr>
                <w:rFonts w:cstheme="minorHAnsi"/>
                <w:iCs/>
                <w:lang w:val="sl-SI"/>
              </w:rPr>
              <w:t xml:space="preserve">projektov, </w:t>
            </w:r>
            <w:r w:rsidRPr="00D27DA9">
              <w:rPr>
                <w:rFonts w:cstheme="minorHAnsi"/>
                <w:iCs/>
                <w:lang w:val="sl-SI"/>
              </w:rPr>
              <w:lastRenderedPageBreak/>
              <w:t>upoštevala</w:t>
            </w:r>
            <w:r w:rsidR="00615788">
              <w:rPr>
                <w:rFonts w:cstheme="minorHAnsi"/>
                <w:iCs/>
                <w:lang w:val="sl-SI"/>
              </w:rPr>
              <w:t xml:space="preserve"> </w:t>
            </w:r>
            <w:r w:rsidRPr="00D27DA9">
              <w:rPr>
                <w:rFonts w:cstheme="minorHAnsi"/>
                <w:iCs/>
                <w:lang w:val="sl-SI"/>
              </w:rPr>
              <w:t>sinhronizacijo zahtev vzpostavitve</w:t>
            </w:r>
            <w:r w:rsidR="00615788">
              <w:rPr>
                <w:rFonts w:cstheme="minorHAnsi"/>
                <w:iCs/>
                <w:lang w:val="sl-SI"/>
              </w:rPr>
              <w:t xml:space="preserve"> </w:t>
            </w:r>
            <w:r w:rsidRPr="00D27DA9">
              <w:rPr>
                <w:rFonts w:cstheme="minorHAnsi"/>
                <w:iCs/>
                <w:lang w:val="sl-SI"/>
              </w:rPr>
              <w:t>zmogljivosti med EU in Natom.</w:t>
            </w:r>
          </w:p>
          <w:p w14:paraId="00F5B105" w14:textId="2B03EA95" w:rsidR="00C70837" w:rsidRPr="00D27DA9" w:rsidRDefault="00C70837" w:rsidP="00D27DA9">
            <w:pPr>
              <w:jc w:val="both"/>
              <w:rPr>
                <w:rFonts w:eastAsia="Calibri" w:cstheme="minorHAnsi"/>
                <w:lang w:val="sl-SI"/>
              </w:rPr>
            </w:pPr>
          </w:p>
        </w:tc>
        <w:tc>
          <w:tcPr>
            <w:tcW w:w="4110" w:type="dxa"/>
          </w:tcPr>
          <w:p w14:paraId="15B9424C" w14:textId="47608406" w:rsidR="00C70837" w:rsidRPr="00D27DA9" w:rsidRDefault="00C70837" w:rsidP="00D27DA9">
            <w:pPr>
              <w:jc w:val="both"/>
              <w:rPr>
                <w:rFonts w:cstheme="minorHAnsi"/>
                <w:lang w:val="sl-SI"/>
              </w:rPr>
            </w:pPr>
            <w:r w:rsidRPr="00D27DA9">
              <w:rPr>
                <w:rFonts w:cstheme="minorHAnsi"/>
                <w:lang w:val="sl-SI"/>
              </w:rPr>
              <w:lastRenderedPageBreak/>
              <w:t>V letu 2021 bodo predvidoma sprejeti novi planski dokumenti (SOPR (Srednjeročni obrambni program) in ReSDPRO SV (Resolucija o splošnem dolgoročnem programu razvoja in opremljan</w:t>
            </w:r>
            <w:r w:rsidR="00AE4BAC">
              <w:rPr>
                <w:rFonts w:cstheme="minorHAnsi"/>
                <w:lang w:val="sl-SI"/>
              </w:rPr>
              <w:t>ja Slovenske vojske)), ki bodo</w:t>
            </w:r>
            <w:r w:rsidRPr="00D27DA9">
              <w:rPr>
                <w:rFonts w:cstheme="minorHAnsi"/>
                <w:lang w:val="sl-SI"/>
              </w:rPr>
              <w:t xml:space="preserve"> ustrezno in v največji možni meri vključevali zaveze in priporočila EU.</w:t>
            </w:r>
          </w:p>
          <w:p w14:paraId="7F311414" w14:textId="77777777" w:rsidR="00C70837" w:rsidRPr="00D27DA9" w:rsidRDefault="00C70837" w:rsidP="00D27DA9">
            <w:pPr>
              <w:jc w:val="both"/>
              <w:rPr>
                <w:rFonts w:cstheme="minorHAnsi"/>
                <w:lang w:val="sl-SI"/>
              </w:rPr>
            </w:pPr>
            <w:r w:rsidRPr="00D27DA9">
              <w:rPr>
                <w:rFonts w:cstheme="minorHAnsi"/>
                <w:lang w:val="sl-SI"/>
              </w:rPr>
              <w:t>Zaključki CARD in prednostna področja CDP bodo predstavljala eno od podlag za pripravo SOPR in ReSDPRO SV na področju razvoja zmogljivosti, investicij in raziskovalno-tehnoloških projektov.</w:t>
            </w:r>
          </w:p>
          <w:p w14:paraId="18DC457E" w14:textId="77777777" w:rsidR="00C70837" w:rsidRPr="00D27DA9" w:rsidRDefault="00C70837" w:rsidP="00D27DA9">
            <w:pPr>
              <w:jc w:val="both"/>
              <w:rPr>
                <w:rFonts w:cstheme="minorHAnsi"/>
                <w:lang w:val="sl-SI"/>
              </w:rPr>
            </w:pPr>
            <w:r w:rsidRPr="00D27DA9">
              <w:rPr>
                <w:rFonts w:cstheme="minorHAnsi"/>
                <w:lang w:val="sl-SI"/>
              </w:rPr>
              <w:t>V izdelavi so nacionalni srednjeročni (SOPR) in dolgoročni (ReSDPRO SV) planski dokumenti, v katere bodo ustrezno vključene Evropske zaveze in iniciative.</w:t>
            </w:r>
          </w:p>
          <w:p w14:paraId="5562C0EC" w14:textId="77777777" w:rsidR="00C70837" w:rsidRPr="00D27DA9" w:rsidRDefault="00C70837" w:rsidP="00D27DA9">
            <w:pPr>
              <w:jc w:val="both"/>
              <w:rPr>
                <w:rFonts w:cstheme="minorHAnsi"/>
                <w:lang w:val="sl-SI"/>
              </w:rPr>
            </w:pPr>
            <w:r w:rsidRPr="00D27DA9">
              <w:rPr>
                <w:rFonts w:cstheme="minorHAnsi"/>
                <w:lang w:val="sl-SI"/>
              </w:rPr>
              <w:t>Slovenija v celoti podpira sinhronizacijo zahtev vzpostavitve zmogljivosti med EU in Natom.</w:t>
            </w:r>
          </w:p>
          <w:p w14:paraId="489008E2" w14:textId="5591B6B3" w:rsidR="00C70837" w:rsidRPr="00D27DA9" w:rsidRDefault="00C70837" w:rsidP="00D27DA9">
            <w:pPr>
              <w:jc w:val="both"/>
              <w:rPr>
                <w:rFonts w:cstheme="minorHAnsi"/>
                <w:lang w:val="sl-SI"/>
              </w:rPr>
            </w:pPr>
            <w:r w:rsidRPr="00D27DA9">
              <w:rPr>
                <w:rFonts w:cstheme="minorHAnsi"/>
                <w:lang w:val="sl-SI"/>
              </w:rPr>
              <w:t xml:space="preserve">Iščemo sinergije pri opremljanju na področju oklepnih vozil, artilerije, zračne </w:t>
            </w:r>
            <w:r w:rsidRPr="00D27DA9">
              <w:rPr>
                <w:rFonts w:cstheme="minorHAnsi"/>
                <w:lang w:val="sl-SI"/>
              </w:rPr>
              <w:lastRenderedPageBreak/>
              <w:t>obrambe</w:t>
            </w:r>
            <w:r w:rsidR="00AE4BAC">
              <w:rPr>
                <w:rFonts w:cstheme="minorHAnsi"/>
                <w:lang w:val="sl-SI"/>
              </w:rPr>
              <w:t xml:space="preserve"> in</w:t>
            </w:r>
            <w:r w:rsidRPr="00D27DA9">
              <w:rPr>
                <w:rFonts w:cstheme="minorHAnsi"/>
                <w:lang w:val="sl-SI"/>
              </w:rPr>
              <w:t xml:space="preserve"> lahke premične zdravstvene zmogljivosti. Slovenija je vključena v projekt Vojaška mobilnost in je ustanovila tudi Stalno medresorsko koordinacijsko skupino za spremljanje in usmerjanje izvedbe ukrepov na področju vojaške mobilnosti. </w:t>
            </w:r>
          </w:p>
          <w:p w14:paraId="58B19633" w14:textId="77777777" w:rsidR="00C70837" w:rsidRPr="00D27DA9" w:rsidRDefault="00C70837" w:rsidP="00D27DA9">
            <w:pPr>
              <w:jc w:val="both"/>
              <w:rPr>
                <w:rFonts w:cstheme="minorHAnsi"/>
                <w:lang w:val="sl-SI"/>
              </w:rPr>
            </w:pPr>
          </w:p>
          <w:p w14:paraId="2FDC0309" w14:textId="79A9AE5A" w:rsidR="00C70837" w:rsidRPr="00D27DA9" w:rsidRDefault="00E4747B" w:rsidP="00D27DA9">
            <w:pPr>
              <w:jc w:val="both"/>
              <w:rPr>
                <w:rFonts w:cstheme="minorHAnsi"/>
                <w:lang w:val="sl-SI"/>
              </w:rPr>
            </w:pPr>
            <w:r>
              <w:rPr>
                <w:rFonts w:cstheme="minorHAnsi"/>
                <w:lang w:val="sl-SI"/>
              </w:rPr>
              <w:t xml:space="preserve">Na področju mednarodnega sodelovanja in </w:t>
            </w:r>
            <w:r w:rsidR="00C70837" w:rsidRPr="00D27DA9">
              <w:rPr>
                <w:rFonts w:cstheme="minorHAnsi"/>
                <w:lang w:val="sl-SI"/>
              </w:rPr>
              <w:t xml:space="preserve">zmogljivosti se bomo posebej osredotočili na vojaško mobilnost in razvoj kibernetske in informacijske tehnologije. </w:t>
            </w:r>
          </w:p>
          <w:p w14:paraId="266D4850" w14:textId="77777777" w:rsidR="00C70837" w:rsidRPr="00D27DA9" w:rsidRDefault="00C70837" w:rsidP="00D27DA9">
            <w:pPr>
              <w:jc w:val="both"/>
              <w:rPr>
                <w:rFonts w:cstheme="minorHAnsi"/>
                <w:lang w:val="sl-SI"/>
              </w:rPr>
            </w:pPr>
          </w:p>
          <w:p w14:paraId="3C4FE7F2" w14:textId="65E88B64" w:rsidR="006F49EA" w:rsidRPr="00D27DA9" w:rsidRDefault="00C70837" w:rsidP="00E4747B">
            <w:pPr>
              <w:jc w:val="both"/>
              <w:rPr>
                <w:rFonts w:cstheme="minorHAnsi"/>
                <w:lang w:val="sl-SI"/>
              </w:rPr>
            </w:pPr>
            <w:r w:rsidRPr="00D27DA9">
              <w:rPr>
                <w:rFonts w:cstheme="minorHAnsi"/>
                <w:lang w:val="sl-SI"/>
              </w:rPr>
              <w:t>Slovenija se v okviru šestih identificiranih prednostih področij, skladno z nacionalnimi načrti in ambicijami, želi osredotočiti na zmogljivosti v okviru sistemov za opremo vojaka, boja proti sistemom brezpil</w:t>
            </w:r>
            <w:r w:rsidR="00E4747B">
              <w:rPr>
                <w:rFonts w:cstheme="minorHAnsi"/>
                <w:lang w:val="sl-SI"/>
              </w:rPr>
              <w:t>otnih zrakoplovov/preprečevanje d</w:t>
            </w:r>
            <w:r w:rsidRPr="00D27DA9">
              <w:rPr>
                <w:rFonts w:cstheme="minorHAnsi"/>
                <w:lang w:val="sl-SI"/>
              </w:rPr>
              <w:t>ostopa/zaseganja območij in okrepljeno vojaško mobilnost.</w:t>
            </w:r>
          </w:p>
        </w:tc>
        <w:tc>
          <w:tcPr>
            <w:tcW w:w="4253" w:type="dxa"/>
            <w:shd w:val="clear" w:color="auto" w:fill="FFFFFF" w:themeFill="background1"/>
          </w:tcPr>
          <w:p w14:paraId="2E096AEC" w14:textId="42F5BB4A" w:rsidR="00C70837" w:rsidRDefault="00C70837" w:rsidP="00D27DA9">
            <w:pPr>
              <w:jc w:val="both"/>
              <w:rPr>
                <w:rFonts w:cstheme="minorHAnsi"/>
                <w:lang w:val="sl-SI"/>
              </w:rPr>
            </w:pPr>
            <w:r w:rsidRPr="00D27DA9">
              <w:rPr>
                <w:rFonts w:cstheme="minorHAnsi"/>
                <w:lang w:val="sl-SI"/>
              </w:rPr>
              <w:lastRenderedPageBreak/>
              <w:t>Nacionalni strateški in planski dokumenti ter načrti vzpostavitve nacionalnih obrambnih zmogljivosti bodo usklajeni s cilji zmogljivosti Nata, prednostnimi področji CDP in ugotovitvami Usklajenega letnega pregleda obrambe (CARD).</w:t>
            </w:r>
          </w:p>
          <w:p w14:paraId="681EDB13" w14:textId="77777777" w:rsidR="008B1ECC" w:rsidRPr="00D27DA9" w:rsidRDefault="008B1ECC" w:rsidP="00D27DA9">
            <w:pPr>
              <w:jc w:val="both"/>
              <w:rPr>
                <w:rFonts w:cstheme="minorHAnsi"/>
                <w:lang w:val="sl-SI"/>
              </w:rPr>
            </w:pPr>
          </w:p>
          <w:p w14:paraId="60820CB9" w14:textId="3A57A139" w:rsidR="00DB7DC1" w:rsidRPr="00D27DA9" w:rsidRDefault="00C70837" w:rsidP="00D27DA9">
            <w:pPr>
              <w:jc w:val="both"/>
              <w:rPr>
                <w:rFonts w:cstheme="minorHAnsi"/>
                <w:lang w:val="sl-SI"/>
              </w:rPr>
            </w:pPr>
            <w:r w:rsidRPr="00D27DA9">
              <w:rPr>
                <w:rFonts w:cstheme="minorHAnsi"/>
                <w:lang w:val="sl-SI"/>
              </w:rPr>
              <w:t>Slovenija želi biti verodostojna članica ter prevzeti večjo vlogo predvsem na področju vojaške mobilnosti, kibernetike in zelene obrambe.</w:t>
            </w:r>
          </w:p>
        </w:tc>
      </w:tr>
    </w:tbl>
    <w:p w14:paraId="1C56FE18" w14:textId="3DDE73AA" w:rsidR="007405CC" w:rsidRPr="00D27DA9" w:rsidRDefault="007405CC" w:rsidP="00071228">
      <w:pPr>
        <w:spacing w:line="240" w:lineRule="auto"/>
        <w:jc w:val="both"/>
        <w:rPr>
          <w:rFonts w:cstheme="minorHAnsi"/>
          <w:color w:val="000000"/>
          <w:highlight w:val="green"/>
        </w:rPr>
      </w:pPr>
    </w:p>
    <w:p w14:paraId="1A081AC0" w14:textId="77777777" w:rsidR="007405CC" w:rsidRPr="00D27DA9" w:rsidRDefault="007405CC">
      <w:pPr>
        <w:rPr>
          <w:rFonts w:cstheme="minorHAnsi"/>
          <w:color w:val="000000"/>
          <w:highlight w:val="green"/>
        </w:rPr>
      </w:pPr>
      <w:r w:rsidRPr="00D27DA9">
        <w:rPr>
          <w:rFonts w:cstheme="minorHAnsi"/>
          <w:color w:val="000000"/>
          <w:highlight w:val="green"/>
        </w:rPr>
        <w:br w:type="page"/>
      </w:r>
    </w:p>
    <w:p w14:paraId="7BDBE49E" w14:textId="77777777" w:rsidR="007405CC" w:rsidRPr="00D27DA9" w:rsidRDefault="007405CC" w:rsidP="00071228">
      <w:pPr>
        <w:spacing w:line="240" w:lineRule="auto"/>
        <w:jc w:val="both"/>
        <w:rPr>
          <w:rFonts w:cstheme="minorHAnsi"/>
          <w:color w:val="000000"/>
          <w:highlight w:val="green"/>
        </w:rPr>
      </w:pPr>
    </w:p>
    <w:p w14:paraId="269F2E33" w14:textId="77777777" w:rsidR="007405CC" w:rsidRPr="00D27DA9" w:rsidRDefault="007405CC" w:rsidP="007405CC">
      <w:pPr>
        <w:pBdr>
          <w:top w:val="single" w:sz="4" w:space="0" w:color="auto"/>
          <w:left w:val="single" w:sz="4" w:space="4" w:color="auto"/>
          <w:bottom w:val="single" w:sz="4" w:space="0" w:color="auto"/>
          <w:right w:val="single" w:sz="4" w:space="4" w:color="auto"/>
        </w:pBdr>
        <w:shd w:val="clear" w:color="auto" w:fill="D9D9D9" w:themeFill="background1" w:themeFillShade="D9"/>
        <w:spacing w:after="0"/>
        <w:rPr>
          <w:rFonts w:cstheme="minorHAnsi"/>
          <w:b/>
        </w:rPr>
      </w:pPr>
      <w:r w:rsidRPr="00D27DA9">
        <w:rPr>
          <w:rFonts w:cstheme="minorHAnsi"/>
          <w:b/>
        </w:rPr>
        <w:t xml:space="preserve">Zaveza 7: </w:t>
      </w:r>
      <w:r w:rsidRPr="00D27DA9">
        <w:rPr>
          <w:rFonts w:cstheme="minorHAnsi"/>
        </w:rPr>
        <w:t>V največji možni meri podpirale usklajeni letni pregled na področju obrambe (CARD), pri čemer je treba upoštevati dejstvo, da je pregled prostovoljen, in posamezne omejitve vključenih držav članic.</w:t>
      </w:r>
    </w:p>
    <w:p w14:paraId="5D564DE7" w14:textId="704AF528" w:rsidR="008F2EF4" w:rsidRDefault="008F2EF4" w:rsidP="008F2EF4">
      <w:pPr>
        <w:spacing w:after="0"/>
        <w:rPr>
          <w:rFonts w:cstheme="minorHAnsi"/>
          <w:color w:val="000000"/>
        </w:rPr>
      </w:pPr>
    </w:p>
    <w:p w14:paraId="06ABE3CA" w14:textId="77777777" w:rsidR="008B1ECC" w:rsidRPr="00D27DA9" w:rsidRDefault="008B1ECC" w:rsidP="008F2EF4">
      <w:pPr>
        <w:spacing w:after="0"/>
        <w:rPr>
          <w:rFonts w:cstheme="minorHAnsi"/>
        </w:rPr>
      </w:pPr>
    </w:p>
    <w:p w14:paraId="52F780B7" w14:textId="77777777" w:rsidR="00DB7DC1" w:rsidRPr="00D27DA9" w:rsidRDefault="00DB7DC1" w:rsidP="00DB7DC1">
      <w:pPr>
        <w:spacing w:after="0"/>
        <w:rPr>
          <w:rFonts w:cstheme="minorHAnsi"/>
        </w:rPr>
      </w:pPr>
    </w:p>
    <w:tbl>
      <w:tblPr>
        <w:tblStyle w:val="Tabelamrea"/>
        <w:tblW w:w="13164" w:type="dxa"/>
        <w:tblInd w:w="8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1115"/>
        <w:gridCol w:w="3686"/>
        <w:gridCol w:w="4110"/>
        <w:gridCol w:w="4253"/>
      </w:tblGrid>
      <w:tr w:rsidR="00DB7DC1" w:rsidRPr="00D27DA9" w14:paraId="6A561741" w14:textId="77777777" w:rsidTr="00D362DB">
        <w:trPr>
          <w:trHeight w:val="359"/>
        </w:trPr>
        <w:tc>
          <w:tcPr>
            <w:tcW w:w="1115" w:type="dxa"/>
            <w:shd w:val="clear" w:color="auto" w:fill="F2F2F2" w:themeFill="background1" w:themeFillShade="F2"/>
            <w:vAlign w:val="center"/>
          </w:tcPr>
          <w:p w14:paraId="7C11D899" w14:textId="77777777" w:rsidR="00DB7DC1" w:rsidRPr="00D27DA9" w:rsidRDefault="00DB7DC1" w:rsidP="00D362DB">
            <w:pPr>
              <w:jc w:val="center"/>
              <w:rPr>
                <w:rFonts w:eastAsia="Calibri" w:cstheme="minorHAnsi"/>
                <w:b/>
                <w:bCs/>
                <w:lang w:val="sl-SI"/>
              </w:rPr>
            </w:pPr>
          </w:p>
        </w:tc>
        <w:tc>
          <w:tcPr>
            <w:tcW w:w="3686" w:type="dxa"/>
            <w:shd w:val="clear" w:color="auto" w:fill="F2F2F2" w:themeFill="background1" w:themeFillShade="F2"/>
            <w:vAlign w:val="center"/>
          </w:tcPr>
          <w:p w14:paraId="53AF69E8" w14:textId="748C143D" w:rsidR="00DB7DC1" w:rsidRPr="00D27DA9" w:rsidRDefault="009B729C" w:rsidP="00D362DB">
            <w:pPr>
              <w:jc w:val="center"/>
              <w:rPr>
                <w:rFonts w:eastAsia="Calibri" w:cstheme="minorHAnsi"/>
                <w:b/>
                <w:bCs/>
                <w:lang w:val="sl-SI"/>
              </w:rPr>
            </w:pPr>
            <w:r w:rsidRPr="00D27DA9">
              <w:rPr>
                <w:rFonts w:eastAsia="Calibri" w:cstheme="minorHAnsi"/>
                <w:b/>
                <w:bCs/>
                <w:lang w:val="sl-SI"/>
              </w:rPr>
              <w:t>2020</w:t>
            </w:r>
          </w:p>
          <w:p w14:paraId="0B7EBABB" w14:textId="77777777" w:rsidR="00DB7DC1" w:rsidRPr="00D27DA9" w:rsidRDefault="00DB7DC1" w:rsidP="00D362DB">
            <w:pPr>
              <w:jc w:val="center"/>
              <w:rPr>
                <w:rFonts w:eastAsia="Calibri" w:cstheme="minorHAnsi"/>
                <w:b/>
                <w:bCs/>
                <w:lang w:val="sl-SI"/>
              </w:rPr>
            </w:pPr>
            <w:r w:rsidRPr="00D27DA9">
              <w:rPr>
                <w:rFonts w:eastAsia="Calibri" w:cstheme="minorHAnsi"/>
                <w:b/>
                <w:bCs/>
                <w:lang w:val="sl-SI"/>
              </w:rPr>
              <w:t>(samoocena)</w:t>
            </w:r>
          </w:p>
        </w:tc>
        <w:tc>
          <w:tcPr>
            <w:tcW w:w="4110" w:type="dxa"/>
            <w:shd w:val="clear" w:color="auto" w:fill="F2F2F2" w:themeFill="background1" w:themeFillShade="F2"/>
            <w:vAlign w:val="center"/>
          </w:tcPr>
          <w:p w14:paraId="17CE5C6C" w14:textId="246FECE8" w:rsidR="00DB7DC1" w:rsidRPr="00D27DA9" w:rsidRDefault="009B729C" w:rsidP="00D362DB">
            <w:pPr>
              <w:jc w:val="center"/>
              <w:rPr>
                <w:rFonts w:eastAsia="Calibri" w:cstheme="minorHAnsi"/>
                <w:b/>
                <w:bCs/>
                <w:lang w:val="sl-SI"/>
              </w:rPr>
            </w:pPr>
            <w:r w:rsidRPr="00D27DA9">
              <w:rPr>
                <w:rFonts w:eastAsia="Calibri" w:cstheme="minorHAnsi"/>
                <w:b/>
                <w:bCs/>
                <w:lang w:val="sl-SI"/>
              </w:rPr>
              <w:t>2021</w:t>
            </w:r>
            <w:r w:rsidR="00DB7DC1" w:rsidRPr="00D27DA9">
              <w:rPr>
                <w:rFonts w:eastAsia="Calibri" w:cstheme="minorHAnsi"/>
                <w:b/>
                <w:bCs/>
                <w:lang w:val="sl-SI"/>
              </w:rPr>
              <w:t xml:space="preserve"> </w:t>
            </w:r>
          </w:p>
          <w:p w14:paraId="62BC4F75" w14:textId="77777777" w:rsidR="00DB7DC1" w:rsidRPr="00D27DA9" w:rsidRDefault="00DB7DC1" w:rsidP="00D362DB">
            <w:pPr>
              <w:jc w:val="center"/>
              <w:rPr>
                <w:rFonts w:eastAsia="Calibri" w:cstheme="minorHAnsi"/>
                <w:b/>
                <w:lang w:val="sl-SI"/>
              </w:rPr>
            </w:pPr>
            <w:r w:rsidRPr="00D27DA9">
              <w:rPr>
                <w:rFonts w:eastAsia="Calibri" w:cstheme="minorHAnsi"/>
                <w:b/>
                <w:bCs/>
                <w:lang w:val="sl-SI"/>
              </w:rPr>
              <w:t>(predvideno)</w:t>
            </w:r>
          </w:p>
        </w:tc>
        <w:tc>
          <w:tcPr>
            <w:tcW w:w="4253" w:type="dxa"/>
            <w:shd w:val="clear" w:color="auto" w:fill="F2F2F2" w:themeFill="background1" w:themeFillShade="F2"/>
            <w:vAlign w:val="center"/>
          </w:tcPr>
          <w:p w14:paraId="6D412C7E" w14:textId="369F278B" w:rsidR="00DB7DC1" w:rsidRPr="00D27DA9" w:rsidRDefault="009B729C" w:rsidP="00D362DB">
            <w:pPr>
              <w:jc w:val="center"/>
              <w:rPr>
                <w:rFonts w:eastAsia="Calibri" w:cstheme="minorHAnsi"/>
                <w:b/>
                <w:bCs/>
                <w:lang w:val="sl-SI"/>
              </w:rPr>
            </w:pPr>
            <w:r w:rsidRPr="00D27DA9">
              <w:rPr>
                <w:rFonts w:eastAsia="Calibri" w:cstheme="minorHAnsi"/>
                <w:b/>
                <w:bCs/>
                <w:lang w:val="sl-SI"/>
              </w:rPr>
              <w:t>2022</w:t>
            </w:r>
            <w:r w:rsidR="00DB7DC1" w:rsidRPr="00D27DA9">
              <w:rPr>
                <w:rFonts w:eastAsia="Calibri" w:cstheme="minorHAnsi"/>
                <w:b/>
                <w:bCs/>
                <w:lang w:val="sl-SI"/>
              </w:rPr>
              <w:t xml:space="preserve">-2025 </w:t>
            </w:r>
          </w:p>
          <w:p w14:paraId="7854DAAD" w14:textId="77777777" w:rsidR="00DB7DC1" w:rsidRPr="00D27DA9" w:rsidRDefault="00DB7DC1" w:rsidP="00D362DB">
            <w:pPr>
              <w:jc w:val="center"/>
              <w:rPr>
                <w:rFonts w:eastAsia="Calibri" w:cstheme="minorHAnsi"/>
                <w:b/>
                <w:lang w:val="sl-SI"/>
              </w:rPr>
            </w:pPr>
            <w:r w:rsidRPr="00D27DA9">
              <w:rPr>
                <w:rFonts w:eastAsia="Calibri" w:cstheme="minorHAnsi"/>
                <w:b/>
                <w:bCs/>
                <w:lang w:val="sl-SI"/>
              </w:rPr>
              <w:t>(predvideno)</w:t>
            </w:r>
          </w:p>
        </w:tc>
      </w:tr>
      <w:tr w:rsidR="00DB7DC1" w:rsidRPr="00D27DA9" w14:paraId="1284C73E" w14:textId="77777777" w:rsidTr="00D362DB">
        <w:trPr>
          <w:trHeight w:val="3883"/>
        </w:trPr>
        <w:tc>
          <w:tcPr>
            <w:tcW w:w="1115" w:type="dxa"/>
            <w:vAlign w:val="center"/>
          </w:tcPr>
          <w:p w14:paraId="03C714EC" w14:textId="77777777" w:rsidR="00DB7DC1" w:rsidRPr="00D27DA9" w:rsidRDefault="00DB7DC1" w:rsidP="00D362DB">
            <w:pPr>
              <w:rPr>
                <w:rFonts w:eastAsia="Calibri" w:cstheme="minorHAnsi"/>
                <w:b/>
                <w:lang w:val="sl-SI"/>
              </w:rPr>
            </w:pPr>
            <w:r w:rsidRPr="00D27DA9">
              <w:rPr>
                <w:rFonts w:eastAsia="Calibri" w:cstheme="minorHAnsi"/>
                <w:b/>
                <w:lang w:val="sl-SI"/>
              </w:rPr>
              <w:t>Zaveza 7</w:t>
            </w:r>
          </w:p>
        </w:tc>
        <w:tc>
          <w:tcPr>
            <w:tcW w:w="3686" w:type="dxa"/>
          </w:tcPr>
          <w:p w14:paraId="5E81CBD0" w14:textId="77777777" w:rsidR="000C1CD2" w:rsidRPr="00D27DA9" w:rsidRDefault="000C1CD2" w:rsidP="00615788">
            <w:pPr>
              <w:jc w:val="both"/>
              <w:rPr>
                <w:rFonts w:eastAsia="Calibri" w:cstheme="minorHAnsi"/>
                <w:lang w:val="sl-SI"/>
              </w:rPr>
            </w:pPr>
            <w:r w:rsidRPr="00D27DA9">
              <w:rPr>
                <w:rFonts w:eastAsia="Calibri" w:cstheme="minorHAnsi"/>
                <w:lang w:val="sl-SI"/>
              </w:rPr>
              <w:t>Slovenija sodeluje pri zagotavljanju podatkov za potrebe Evropske obrambne agencije (EDA) preko izpolnjevanja vprašalnika Vojaškega odbora EU (EUMCQ) in zbirke podatkov (CODABA). Aktivno smo sodelovali pri poskusnem pregledu CARD in imamo namen sodelovati tudi v prvem rednem ciklu CARD. Sekundirali smo predstavnika v Evropsko obrambno agencijo (EDA) na področju CARD.</w:t>
            </w:r>
          </w:p>
          <w:p w14:paraId="3474DE67" w14:textId="77777777" w:rsidR="000C1CD2" w:rsidRPr="00D27DA9" w:rsidRDefault="000C1CD2" w:rsidP="00615788">
            <w:pPr>
              <w:jc w:val="both"/>
              <w:rPr>
                <w:rFonts w:eastAsia="Calibri" w:cstheme="minorHAnsi"/>
                <w:lang w:val="sl-SI"/>
              </w:rPr>
            </w:pPr>
            <w:r w:rsidRPr="00D27DA9">
              <w:rPr>
                <w:rFonts w:eastAsia="Calibri" w:cstheme="minorHAnsi"/>
                <w:lang w:val="sl-SI"/>
              </w:rPr>
              <w:t xml:space="preserve">Slovenija sodeluje v Natovem pregledu DPCS in se zavzema, da se posredovani podatki v čim večji meri uporabijo tudi za potrebe EU. </w:t>
            </w:r>
          </w:p>
          <w:p w14:paraId="0936B524" w14:textId="2616F134" w:rsidR="00DB7DC1" w:rsidRPr="00D27DA9" w:rsidRDefault="00DB7DC1" w:rsidP="00615788">
            <w:pPr>
              <w:jc w:val="both"/>
              <w:rPr>
                <w:rFonts w:eastAsia="Calibri" w:cstheme="minorHAnsi"/>
                <w:lang w:val="sl-SI"/>
              </w:rPr>
            </w:pPr>
          </w:p>
        </w:tc>
        <w:tc>
          <w:tcPr>
            <w:tcW w:w="4110" w:type="dxa"/>
          </w:tcPr>
          <w:p w14:paraId="4DC41F80" w14:textId="77777777" w:rsidR="000C1CD2" w:rsidRPr="00D27DA9" w:rsidRDefault="000C1CD2" w:rsidP="00615788">
            <w:pPr>
              <w:jc w:val="both"/>
              <w:rPr>
                <w:rFonts w:cstheme="minorHAnsi"/>
                <w:lang w:val="sl-SI"/>
              </w:rPr>
            </w:pPr>
            <w:r w:rsidRPr="00D27DA9">
              <w:rPr>
                <w:rFonts w:cstheme="minorHAnsi"/>
                <w:lang w:val="sl-SI"/>
              </w:rPr>
              <w:t>Ugotovitve CARD, CDP prioritete in pregled PESCO bodo upoštevani pri pripravi novih srednjeročnih in dolgoročnih planskih dokumentov. V novem Srednjeročnem obrambnem programu bodo opredeljene zmogljivosti in projekti, ki so potencialno predvideni za sofinanciranje preko EDF.</w:t>
            </w:r>
          </w:p>
          <w:p w14:paraId="77F94F4F" w14:textId="77777777" w:rsidR="000C1CD2" w:rsidRPr="00D27DA9" w:rsidRDefault="000C1CD2" w:rsidP="00615788">
            <w:pPr>
              <w:jc w:val="both"/>
              <w:rPr>
                <w:rFonts w:cstheme="minorHAnsi"/>
                <w:lang w:val="sl-SI"/>
              </w:rPr>
            </w:pPr>
            <w:r w:rsidRPr="00D27DA9">
              <w:rPr>
                <w:rFonts w:cstheme="minorHAnsi"/>
                <w:lang w:val="sl-SI"/>
              </w:rPr>
              <w:t xml:space="preserve">Slovenija bo še naprej sodelovala s pristojnimi institucijami EU v procesu obrambnega načrtovanja. </w:t>
            </w:r>
          </w:p>
          <w:p w14:paraId="3264736D" w14:textId="0010A66D" w:rsidR="000C1CD2" w:rsidRPr="00D27DA9" w:rsidRDefault="000C1CD2" w:rsidP="00615788">
            <w:pPr>
              <w:jc w:val="both"/>
              <w:rPr>
                <w:rFonts w:cstheme="minorHAnsi"/>
                <w:lang w:val="sl-SI"/>
              </w:rPr>
            </w:pPr>
            <w:r w:rsidRPr="00D27DA9">
              <w:rPr>
                <w:rFonts w:cstheme="minorHAnsi"/>
                <w:lang w:val="sl-SI"/>
              </w:rPr>
              <w:t>Slovenija bo še naprej sodelovala v prihodnjih dvoletnih pregledih CARD</w:t>
            </w:r>
            <w:r w:rsidR="008B1ECC">
              <w:rPr>
                <w:rFonts w:cstheme="minorHAnsi"/>
                <w:lang w:val="sl-SI"/>
              </w:rPr>
              <w:t>.</w:t>
            </w:r>
            <w:r w:rsidRPr="00D27DA9">
              <w:rPr>
                <w:rFonts w:cstheme="minorHAnsi"/>
                <w:lang w:val="sl-SI"/>
              </w:rPr>
              <w:t xml:space="preserve"> </w:t>
            </w:r>
          </w:p>
          <w:p w14:paraId="52ACDB76" w14:textId="77777777" w:rsidR="000C1CD2" w:rsidRPr="00D27DA9" w:rsidRDefault="000C1CD2" w:rsidP="00615788">
            <w:pPr>
              <w:jc w:val="both"/>
              <w:rPr>
                <w:rFonts w:cstheme="minorHAnsi"/>
                <w:lang w:val="sl-SI"/>
              </w:rPr>
            </w:pPr>
            <w:r w:rsidRPr="00D27DA9">
              <w:rPr>
                <w:rFonts w:cstheme="minorHAnsi"/>
                <w:lang w:val="sl-SI"/>
              </w:rPr>
              <w:t>V novem Srednjeročnem obrambnem programu bodo opredeljene</w:t>
            </w:r>
          </w:p>
          <w:p w14:paraId="3C3E958D" w14:textId="4C6C26EB" w:rsidR="002D4571" w:rsidRPr="00D27DA9" w:rsidRDefault="000C1CD2" w:rsidP="00615788">
            <w:pPr>
              <w:jc w:val="both"/>
              <w:rPr>
                <w:rFonts w:cstheme="minorHAnsi"/>
                <w:lang w:val="sl-SI"/>
              </w:rPr>
            </w:pPr>
            <w:r w:rsidRPr="00D27DA9">
              <w:rPr>
                <w:rFonts w:cstheme="minorHAnsi"/>
                <w:lang w:val="sl-SI"/>
              </w:rPr>
              <w:t>zmogljivosti in projekti, ki so potencialno predvideni za sofinanciranje preko Evropskega obrambnega sklada (EDF).</w:t>
            </w:r>
          </w:p>
        </w:tc>
        <w:tc>
          <w:tcPr>
            <w:tcW w:w="4253" w:type="dxa"/>
            <w:shd w:val="clear" w:color="auto" w:fill="FFFFFF" w:themeFill="background1"/>
          </w:tcPr>
          <w:p w14:paraId="4485BAB6" w14:textId="799A0CD4" w:rsidR="000C1CD2" w:rsidRPr="00D27DA9" w:rsidRDefault="000C1CD2" w:rsidP="00615788">
            <w:pPr>
              <w:jc w:val="both"/>
              <w:rPr>
                <w:rFonts w:cstheme="minorHAnsi"/>
                <w:lang w:val="sl-SI"/>
              </w:rPr>
            </w:pPr>
            <w:r w:rsidRPr="00D27DA9">
              <w:rPr>
                <w:rFonts w:cstheme="minorHAnsi"/>
                <w:lang w:val="sl-SI"/>
              </w:rPr>
              <w:t>Slovenija bo tudi v prihodnje sodelovala v pregledu CARD ter zagotavljala podatke za potrebe Evropske obrambne agencije (EDA) preko izpolnjevanja vprašalnika Vojaškega odbora EU (EUMCQ) in zbirke podatkov (CODABA).</w:t>
            </w:r>
            <w:r w:rsidR="00F70C15">
              <w:rPr>
                <w:rFonts w:cstheme="minorHAnsi"/>
                <w:lang w:val="sl-SI"/>
              </w:rPr>
              <w:t xml:space="preserve"> </w:t>
            </w:r>
            <w:r w:rsidRPr="00D27DA9">
              <w:rPr>
                <w:rFonts w:cstheme="minorHAnsi"/>
                <w:lang w:val="sl-SI"/>
              </w:rPr>
              <w:t xml:space="preserve">Sodelovali bomo v Natovem pregledu DPCS, kjer se bomo nadalje zavzemali, za skupno uporabo posredovanih podatkov tako za namen Nata, kot EU. </w:t>
            </w:r>
          </w:p>
          <w:p w14:paraId="2B270202" w14:textId="24420F09" w:rsidR="00DB7DC1" w:rsidRPr="00D27DA9" w:rsidRDefault="000C1CD2" w:rsidP="00615788">
            <w:pPr>
              <w:jc w:val="both"/>
              <w:rPr>
                <w:rFonts w:cstheme="minorHAnsi"/>
                <w:lang w:val="sl-SI"/>
              </w:rPr>
            </w:pPr>
            <w:r w:rsidRPr="00D27DA9">
              <w:rPr>
                <w:rFonts w:cstheme="minorHAnsi"/>
                <w:lang w:val="sl-SI"/>
              </w:rPr>
              <w:t>Izbrani projekti bodo vključeni v nacionalne planske dokumente.</w:t>
            </w:r>
          </w:p>
        </w:tc>
      </w:tr>
    </w:tbl>
    <w:p w14:paraId="0ADC5810" w14:textId="77777777" w:rsidR="00DB7DC1" w:rsidRPr="00D27DA9" w:rsidRDefault="00DB7DC1" w:rsidP="00DB7DC1">
      <w:pPr>
        <w:spacing w:after="0"/>
        <w:rPr>
          <w:rFonts w:cstheme="minorHAnsi"/>
          <w:b/>
        </w:rPr>
      </w:pPr>
    </w:p>
    <w:p w14:paraId="422B1CAD" w14:textId="77777777" w:rsidR="00DB7DC1" w:rsidRPr="00D27DA9" w:rsidRDefault="00DB7DC1" w:rsidP="00DB7DC1">
      <w:pPr>
        <w:spacing w:after="0"/>
        <w:rPr>
          <w:rFonts w:cstheme="minorHAnsi"/>
          <w:b/>
        </w:rPr>
      </w:pPr>
    </w:p>
    <w:p w14:paraId="4C59AE44" w14:textId="0BE09728" w:rsidR="0080648A" w:rsidRPr="00D27DA9" w:rsidRDefault="0080648A">
      <w:pPr>
        <w:rPr>
          <w:rFonts w:cstheme="minorHAnsi"/>
          <w:b/>
        </w:rPr>
      </w:pPr>
      <w:r w:rsidRPr="00D27DA9">
        <w:rPr>
          <w:rFonts w:cstheme="minorHAnsi"/>
          <w:b/>
        </w:rPr>
        <w:br w:type="page"/>
      </w:r>
    </w:p>
    <w:p w14:paraId="106384AF" w14:textId="08BCC18B" w:rsidR="000F4A76" w:rsidRPr="00D27DA9" w:rsidRDefault="000F4A76" w:rsidP="00C335D2">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cstheme="minorHAnsi"/>
          <w:b/>
        </w:rPr>
      </w:pPr>
      <w:r w:rsidRPr="00D27DA9">
        <w:rPr>
          <w:rFonts w:cstheme="minorHAnsi"/>
          <w:b/>
        </w:rPr>
        <w:lastRenderedPageBreak/>
        <w:t xml:space="preserve">Zaveza 8: </w:t>
      </w:r>
      <w:r w:rsidR="007920E9" w:rsidRPr="00D27DA9">
        <w:rPr>
          <w:rFonts w:cstheme="minorHAnsi"/>
        </w:rPr>
        <w:t>S</w:t>
      </w:r>
      <w:r w:rsidR="008B5C7E" w:rsidRPr="00D27DA9">
        <w:rPr>
          <w:rFonts w:cstheme="minorHAnsi"/>
        </w:rPr>
        <w:t>prejele zavezo, da bo prihodnji evropski obrambni sklad</w:t>
      </w:r>
      <w:r w:rsidR="00012285" w:rsidRPr="00D27DA9">
        <w:rPr>
          <w:rFonts w:cstheme="minorHAnsi"/>
        </w:rPr>
        <w:t xml:space="preserve"> (EDF)</w:t>
      </w:r>
      <w:r w:rsidR="008B5C7E" w:rsidRPr="00D27DA9">
        <w:rPr>
          <w:rFonts w:cstheme="minorHAnsi"/>
        </w:rPr>
        <w:t xml:space="preserve"> intenzivno vključen v večdržavna javna naročila z dokazano dodano vrednostjo EU</w:t>
      </w:r>
      <w:r w:rsidR="00012285" w:rsidRPr="00D27DA9">
        <w:rPr>
          <w:rFonts w:cstheme="minorHAnsi"/>
        </w:rPr>
        <w:t>.</w:t>
      </w:r>
    </w:p>
    <w:p w14:paraId="54E5D56F" w14:textId="3E5B0BF7" w:rsidR="000F4A76" w:rsidRDefault="000F4A76" w:rsidP="000F4A76">
      <w:pPr>
        <w:spacing w:after="0"/>
        <w:rPr>
          <w:rFonts w:cstheme="minorHAnsi"/>
          <w:color w:val="000000"/>
        </w:rPr>
      </w:pPr>
    </w:p>
    <w:p w14:paraId="45E6E795" w14:textId="77777777" w:rsidR="008B1ECC" w:rsidRPr="00D27DA9" w:rsidRDefault="008B1ECC" w:rsidP="000F4A76">
      <w:pPr>
        <w:spacing w:after="0"/>
        <w:rPr>
          <w:rFonts w:cstheme="minorHAnsi"/>
        </w:rPr>
      </w:pPr>
    </w:p>
    <w:tbl>
      <w:tblPr>
        <w:tblStyle w:val="Tabelamrea"/>
        <w:tblW w:w="13164" w:type="dxa"/>
        <w:tblInd w:w="8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1115"/>
        <w:gridCol w:w="3686"/>
        <w:gridCol w:w="4110"/>
        <w:gridCol w:w="4253"/>
      </w:tblGrid>
      <w:tr w:rsidR="000F4A76" w:rsidRPr="00D27DA9" w14:paraId="58C62303" w14:textId="77777777" w:rsidTr="00D362DB">
        <w:trPr>
          <w:trHeight w:val="359"/>
        </w:trPr>
        <w:tc>
          <w:tcPr>
            <w:tcW w:w="1115" w:type="dxa"/>
            <w:shd w:val="clear" w:color="auto" w:fill="F2F2F2" w:themeFill="background1" w:themeFillShade="F2"/>
            <w:vAlign w:val="center"/>
          </w:tcPr>
          <w:p w14:paraId="1039F571" w14:textId="77777777" w:rsidR="000F4A76" w:rsidRPr="00D27DA9" w:rsidRDefault="000F4A76" w:rsidP="00D362DB">
            <w:pPr>
              <w:jc w:val="center"/>
              <w:rPr>
                <w:rFonts w:eastAsia="Calibri" w:cstheme="minorHAnsi"/>
                <w:b/>
                <w:bCs/>
                <w:lang w:val="sl-SI"/>
              </w:rPr>
            </w:pPr>
          </w:p>
        </w:tc>
        <w:tc>
          <w:tcPr>
            <w:tcW w:w="3686" w:type="dxa"/>
            <w:shd w:val="clear" w:color="auto" w:fill="F2F2F2" w:themeFill="background1" w:themeFillShade="F2"/>
            <w:vAlign w:val="center"/>
          </w:tcPr>
          <w:p w14:paraId="1A89BC08" w14:textId="446D6FA3" w:rsidR="000F4A76" w:rsidRPr="00D27DA9" w:rsidRDefault="00BE0FBA" w:rsidP="00D362DB">
            <w:pPr>
              <w:jc w:val="center"/>
              <w:rPr>
                <w:rFonts w:eastAsia="Calibri" w:cstheme="minorHAnsi"/>
                <w:b/>
                <w:bCs/>
                <w:lang w:val="sl-SI"/>
              </w:rPr>
            </w:pPr>
            <w:r w:rsidRPr="00D27DA9">
              <w:rPr>
                <w:rFonts w:eastAsia="Calibri" w:cstheme="minorHAnsi"/>
                <w:b/>
                <w:bCs/>
                <w:lang w:val="sl-SI"/>
              </w:rPr>
              <w:t>2020</w:t>
            </w:r>
          </w:p>
          <w:p w14:paraId="30FF396D" w14:textId="77777777" w:rsidR="000F4A76" w:rsidRPr="00D27DA9" w:rsidRDefault="000F4A76" w:rsidP="00D362DB">
            <w:pPr>
              <w:jc w:val="center"/>
              <w:rPr>
                <w:rFonts w:eastAsia="Calibri" w:cstheme="minorHAnsi"/>
                <w:b/>
                <w:bCs/>
                <w:lang w:val="sl-SI"/>
              </w:rPr>
            </w:pPr>
            <w:r w:rsidRPr="00D27DA9">
              <w:rPr>
                <w:rFonts w:eastAsia="Calibri" w:cstheme="minorHAnsi"/>
                <w:b/>
                <w:bCs/>
                <w:lang w:val="sl-SI"/>
              </w:rPr>
              <w:t>(samoocena)</w:t>
            </w:r>
          </w:p>
        </w:tc>
        <w:tc>
          <w:tcPr>
            <w:tcW w:w="4110" w:type="dxa"/>
            <w:shd w:val="clear" w:color="auto" w:fill="F2F2F2" w:themeFill="background1" w:themeFillShade="F2"/>
            <w:vAlign w:val="center"/>
          </w:tcPr>
          <w:p w14:paraId="4A4ADF1E" w14:textId="3450CEE2" w:rsidR="000F4A76" w:rsidRPr="00D27DA9" w:rsidRDefault="00BE0FBA" w:rsidP="00D362DB">
            <w:pPr>
              <w:jc w:val="center"/>
              <w:rPr>
                <w:rFonts w:eastAsia="Calibri" w:cstheme="minorHAnsi"/>
                <w:b/>
                <w:bCs/>
                <w:lang w:val="sl-SI"/>
              </w:rPr>
            </w:pPr>
            <w:r w:rsidRPr="00D27DA9">
              <w:rPr>
                <w:rFonts w:eastAsia="Calibri" w:cstheme="minorHAnsi"/>
                <w:b/>
                <w:bCs/>
                <w:lang w:val="sl-SI"/>
              </w:rPr>
              <w:t>2021</w:t>
            </w:r>
          </w:p>
          <w:p w14:paraId="355E578B" w14:textId="77777777" w:rsidR="000F4A76" w:rsidRPr="00D27DA9" w:rsidRDefault="000F4A76" w:rsidP="00D362DB">
            <w:pPr>
              <w:jc w:val="center"/>
              <w:rPr>
                <w:rFonts w:eastAsia="Calibri" w:cstheme="minorHAnsi"/>
                <w:b/>
                <w:lang w:val="sl-SI"/>
              </w:rPr>
            </w:pPr>
            <w:r w:rsidRPr="00D27DA9">
              <w:rPr>
                <w:rFonts w:eastAsia="Calibri" w:cstheme="minorHAnsi"/>
                <w:b/>
                <w:bCs/>
                <w:lang w:val="sl-SI"/>
              </w:rPr>
              <w:t>(predvideno)</w:t>
            </w:r>
          </w:p>
        </w:tc>
        <w:tc>
          <w:tcPr>
            <w:tcW w:w="4253" w:type="dxa"/>
            <w:shd w:val="clear" w:color="auto" w:fill="F2F2F2" w:themeFill="background1" w:themeFillShade="F2"/>
            <w:vAlign w:val="center"/>
          </w:tcPr>
          <w:p w14:paraId="7F513A92" w14:textId="5A186C91" w:rsidR="000F4A76" w:rsidRPr="00D27DA9" w:rsidRDefault="00BE0FBA" w:rsidP="00D362DB">
            <w:pPr>
              <w:jc w:val="center"/>
              <w:rPr>
                <w:rFonts w:eastAsia="Calibri" w:cstheme="minorHAnsi"/>
                <w:b/>
                <w:bCs/>
                <w:lang w:val="sl-SI"/>
              </w:rPr>
            </w:pPr>
            <w:r w:rsidRPr="00D27DA9">
              <w:rPr>
                <w:rFonts w:eastAsia="Calibri" w:cstheme="minorHAnsi"/>
                <w:b/>
                <w:bCs/>
                <w:lang w:val="sl-SI"/>
              </w:rPr>
              <w:t>2022</w:t>
            </w:r>
            <w:r w:rsidR="000F4A76" w:rsidRPr="00D27DA9">
              <w:rPr>
                <w:rFonts w:eastAsia="Calibri" w:cstheme="minorHAnsi"/>
                <w:b/>
                <w:bCs/>
                <w:lang w:val="sl-SI"/>
              </w:rPr>
              <w:t xml:space="preserve">-2025 </w:t>
            </w:r>
          </w:p>
          <w:p w14:paraId="6A40F364" w14:textId="77777777" w:rsidR="000F4A76" w:rsidRPr="00D27DA9" w:rsidRDefault="000F4A76" w:rsidP="00D362DB">
            <w:pPr>
              <w:jc w:val="center"/>
              <w:rPr>
                <w:rFonts w:eastAsia="Calibri" w:cstheme="minorHAnsi"/>
                <w:b/>
                <w:lang w:val="sl-SI"/>
              </w:rPr>
            </w:pPr>
            <w:r w:rsidRPr="00D27DA9">
              <w:rPr>
                <w:rFonts w:eastAsia="Calibri" w:cstheme="minorHAnsi"/>
                <w:b/>
                <w:bCs/>
                <w:lang w:val="sl-SI"/>
              </w:rPr>
              <w:t>(predvideno)</w:t>
            </w:r>
          </w:p>
        </w:tc>
      </w:tr>
      <w:tr w:rsidR="00394B8F" w:rsidRPr="00D27DA9" w14:paraId="07D82796" w14:textId="77777777" w:rsidTr="00231165">
        <w:trPr>
          <w:trHeight w:val="263"/>
        </w:trPr>
        <w:tc>
          <w:tcPr>
            <w:tcW w:w="1115" w:type="dxa"/>
            <w:vAlign w:val="center"/>
          </w:tcPr>
          <w:p w14:paraId="443A0235" w14:textId="77777777" w:rsidR="00394B8F" w:rsidRPr="00D27DA9" w:rsidRDefault="00394B8F" w:rsidP="00394B8F">
            <w:pPr>
              <w:rPr>
                <w:rFonts w:eastAsia="Calibri" w:cstheme="minorHAnsi"/>
                <w:b/>
                <w:lang w:val="sl-SI"/>
              </w:rPr>
            </w:pPr>
            <w:r w:rsidRPr="00D27DA9">
              <w:rPr>
                <w:rFonts w:eastAsia="Calibri" w:cstheme="minorHAnsi"/>
                <w:b/>
                <w:lang w:val="sl-SI"/>
              </w:rPr>
              <w:t>Zaveza 8</w:t>
            </w:r>
          </w:p>
        </w:tc>
        <w:tc>
          <w:tcPr>
            <w:tcW w:w="3686" w:type="dxa"/>
            <w:vAlign w:val="center"/>
          </w:tcPr>
          <w:p w14:paraId="49B24E51" w14:textId="3D92CD19" w:rsidR="00394B8F" w:rsidRDefault="00394B8F" w:rsidP="00394B8F">
            <w:pPr>
              <w:jc w:val="both"/>
              <w:rPr>
                <w:rFonts w:eastAsia="Calibri" w:cstheme="minorHAnsi"/>
              </w:rPr>
            </w:pPr>
            <w:r>
              <w:rPr>
                <w:rFonts w:eastAsia="Calibri" w:cstheme="minorHAnsi"/>
              </w:rPr>
              <w:t xml:space="preserve">Od začetka pripravljalnega obdobja za PADR in kasneje za EDIDP smo vzpostavili procedure za čim boljšo vključitev industrije in raziskovalnih organizacij v EDF. O vseh pobudah v zvezi z EDF </w:t>
            </w:r>
            <w:r w:rsidR="00AE4BAC">
              <w:rPr>
                <w:rFonts w:eastAsia="Calibri" w:cstheme="minorHAnsi"/>
              </w:rPr>
              <w:t xml:space="preserve">obveščamo </w:t>
            </w:r>
            <w:r>
              <w:rPr>
                <w:rFonts w:eastAsia="Calibri" w:cstheme="minorHAnsi"/>
              </w:rPr>
              <w:t>raziskovalne organizacije in industrijske partnerje obveščamo. Vzpostavljene so kontaktne točke na največjih inštitutih in tudi v različnih tematskih gospodarskih združenjih. Tudi v 2020 smo pripravili videokonferenco s sodelujočimi iz DG DEFIS in EDA, ki je bila dobro obiskana. Za boljše informiranje raziskovalnih organizacij in podjetij ter uspešnejšo vzpostavitev mednarodnih povezav je sklenjena pogodba s SBRA (Slovenian Business Research Association) v Bruslju.</w:t>
            </w:r>
          </w:p>
          <w:p w14:paraId="58734D32" w14:textId="77777777" w:rsidR="00394B8F" w:rsidRDefault="00394B8F" w:rsidP="00394B8F">
            <w:pPr>
              <w:jc w:val="both"/>
              <w:rPr>
                <w:rFonts w:eastAsia="Calibri" w:cstheme="minorHAnsi"/>
              </w:rPr>
            </w:pPr>
            <w:r>
              <w:rPr>
                <w:rFonts w:eastAsia="Calibri" w:cstheme="minorHAnsi"/>
              </w:rPr>
              <w:t>O sofinanciranju EDIDP se odločamo skladno z razvojnimi prioritetami in namere (projekte) vključujemo v načrt raziskav in razvoja. Udeležba v projektih je opisana v zavezi 19.</w:t>
            </w:r>
          </w:p>
          <w:p w14:paraId="5A6553D9" w14:textId="77777777" w:rsidR="00394B8F" w:rsidRDefault="00394B8F" w:rsidP="00394B8F">
            <w:pPr>
              <w:autoSpaceDE w:val="0"/>
              <w:autoSpaceDN w:val="0"/>
              <w:adjustRightInd w:val="0"/>
              <w:jc w:val="both"/>
              <w:rPr>
                <w:rFonts w:cstheme="minorHAnsi"/>
                <w:iCs/>
              </w:rPr>
            </w:pPr>
          </w:p>
          <w:p w14:paraId="5792F7FB" w14:textId="65418DC8" w:rsidR="00394B8F" w:rsidRPr="00D27DA9" w:rsidRDefault="00394B8F" w:rsidP="00394B8F">
            <w:pPr>
              <w:autoSpaceDE w:val="0"/>
              <w:autoSpaceDN w:val="0"/>
              <w:adjustRightInd w:val="0"/>
              <w:jc w:val="both"/>
              <w:rPr>
                <w:rFonts w:eastAsia="Calibri" w:cstheme="minorHAnsi"/>
                <w:lang w:val="sl-SI"/>
              </w:rPr>
            </w:pPr>
          </w:p>
        </w:tc>
        <w:tc>
          <w:tcPr>
            <w:tcW w:w="4110" w:type="dxa"/>
            <w:vAlign w:val="center"/>
          </w:tcPr>
          <w:p w14:paraId="4F9CE107" w14:textId="77777777" w:rsidR="00394B8F" w:rsidRDefault="00394B8F" w:rsidP="00394B8F">
            <w:pPr>
              <w:jc w:val="both"/>
              <w:rPr>
                <w:rFonts w:cstheme="minorHAnsi"/>
              </w:rPr>
            </w:pPr>
            <w:r>
              <w:rPr>
                <w:rFonts w:cstheme="minorHAnsi"/>
              </w:rPr>
              <w:t xml:space="preserve">Nadaljevali bomo z vzpostavljenim načinom dela. </w:t>
            </w:r>
          </w:p>
          <w:p w14:paraId="5071B3CA" w14:textId="77777777" w:rsidR="00394B8F" w:rsidRDefault="00394B8F" w:rsidP="00394B8F">
            <w:pPr>
              <w:jc w:val="both"/>
              <w:rPr>
                <w:rFonts w:cstheme="minorHAnsi"/>
              </w:rPr>
            </w:pPr>
            <w:r>
              <w:rPr>
                <w:rFonts w:cstheme="minorHAnsi"/>
              </w:rPr>
              <w:t>Projekti, prijavljeni za razpis 2021, so opisani v zavezi 19.</w:t>
            </w:r>
          </w:p>
          <w:p w14:paraId="350B3BF4" w14:textId="77777777" w:rsidR="00394B8F" w:rsidRDefault="00394B8F" w:rsidP="00394B8F">
            <w:pPr>
              <w:jc w:val="both"/>
              <w:rPr>
                <w:rFonts w:cstheme="minorHAnsi"/>
              </w:rPr>
            </w:pPr>
          </w:p>
          <w:p w14:paraId="441898EC" w14:textId="4C114D5E" w:rsidR="00394B8F" w:rsidRDefault="00394B8F" w:rsidP="008B1ECC">
            <w:pPr>
              <w:autoSpaceDE w:val="0"/>
              <w:autoSpaceDN w:val="0"/>
              <w:adjustRightInd w:val="0"/>
              <w:jc w:val="both"/>
              <w:rPr>
                <w:rFonts w:cstheme="minorHAnsi"/>
                <w:iCs/>
              </w:rPr>
            </w:pPr>
            <w:r>
              <w:rPr>
                <w:rFonts w:cstheme="minorHAnsi"/>
                <w:iCs/>
              </w:rPr>
              <w:t>Slovenija bo izvedla prve projekte skupnih</w:t>
            </w:r>
            <w:r w:rsidR="008B1ECC">
              <w:rPr>
                <w:rFonts w:cstheme="minorHAnsi"/>
                <w:iCs/>
              </w:rPr>
              <w:t xml:space="preserve"> </w:t>
            </w:r>
            <w:r>
              <w:rPr>
                <w:rFonts w:cstheme="minorHAnsi"/>
                <w:iCs/>
              </w:rPr>
              <w:t>nabav za potrebe vzpostavitve zmogljivosti,</w:t>
            </w:r>
          </w:p>
          <w:p w14:paraId="7EAF5D83" w14:textId="77777777" w:rsidR="00394B8F" w:rsidRDefault="00394B8F" w:rsidP="008B1ECC">
            <w:pPr>
              <w:autoSpaceDE w:val="0"/>
              <w:autoSpaceDN w:val="0"/>
              <w:adjustRightInd w:val="0"/>
              <w:jc w:val="both"/>
              <w:rPr>
                <w:rFonts w:cstheme="minorHAnsi"/>
                <w:iCs/>
              </w:rPr>
            </w:pPr>
            <w:r>
              <w:rPr>
                <w:rFonts w:cstheme="minorHAnsi"/>
                <w:iCs/>
              </w:rPr>
              <w:t>vezane na zahteve in potrebe CDP, v skladu</w:t>
            </w:r>
          </w:p>
          <w:p w14:paraId="28A36B3E" w14:textId="77777777" w:rsidR="00394B8F" w:rsidRDefault="00394B8F" w:rsidP="008B1ECC">
            <w:pPr>
              <w:autoSpaceDE w:val="0"/>
              <w:autoSpaceDN w:val="0"/>
              <w:adjustRightInd w:val="0"/>
              <w:jc w:val="both"/>
              <w:rPr>
                <w:rFonts w:cstheme="minorHAnsi"/>
                <w:iCs/>
              </w:rPr>
            </w:pPr>
            <w:r>
              <w:rPr>
                <w:rFonts w:cstheme="minorHAnsi"/>
                <w:iCs/>
              </w:rPr>
              <w:t>z nacionalnimi planskimi dokumenti.</w:t>
            </w:r>
          </w:p>
          <w:p w14:paraId="458A8CE6" w14:textId="77777777" w:rsidR="008747C4" w:rsidRPr="00D27DA9" w:rsidRDefault="00394B8F" w:rsidP="008747C4">
            <w:pPr>
              <w:autoSpaceDE w:val="0"/>
              <w:autoSpaceDN w:val="0"/>
              <w:adjustRightInd w:val="0"/>
              <w:jc w:val="both"/>
              <w:rPr>
                <w:rFonts w:cstheme="minorHAnsi"/>
                <w:iCs/>
                <w:lang w:val="sl-SI"/>
              </w:rPr>
            </w:pPr>
            <w:r>
              <w:rPr>
                <w:rFonts w:cstheme="minorHAnsi"/>
                <w:iCs/>
              </w:rPr>
              <w:t>Potencialna področja za sodelovanje na področju skupnih nabav zajemajo bojna kolesna vozila,</w:t>
            </w:r>
            <w:r w:rsidR="008747C4">
              <w:rPr>
                <w:rFonts w:cstheme="minorHAnsi"/>
                <w:iCs/>
              </w:rPr>
              <w:t xml:space="preserve"> </w:t>
            </w:r>
            <w:r w:rsidR="008747C4" w:rsidRPr="00D27DA9">
              <w:rPr>
                <w:rFonts w:cstheme="minorHAnsi"/>
                <w:iCs/>
                <w:lang w:val="sl-SI"/>
              </w:rPr>
              <w:t>inženirsko opremo, sredstva</w:t>
            </w:r>
          </w:p>
          <w:p w14:paraId="2055FEB8" w14:textId="0D5DBC7F" w:rsidR="00394B8F" w:rsidRDefault="008747C4" w:rsidP="008747C4">
            <w:pPr>
              <w:autoSpaceDE w:val="0"/>
              <w:autoSpaceDN w:val="0"/>
              <w:adjustRightInd w:val="0"/>
              <w:jc w:val="both"/>
              <w:rPr>
                <w:rFonts w:cstheme="minorHAnsi"/>
                <w:iCs/>
              </w:rPr>
            </w:pPr>
            <w:r w:rsidRPr="00D27DA9">
              <w:rPr>
                <w:rFonts w:cstheme="minorHAnsi"/>
                <w:iCs/>
                <w:lang w:val="sl-SI"/>
              </w:rPr>
              <w:t>JRKBO, zračno obrambo, artilerijo,</w:t>
            </w:r>
            <w:r>
              <w:rPr>
                <w:rFonts w:cstheme="minorHAnsi"/>
                <w:iCs/>
                <w:lang w:val="sl-SI"/>
              </w:rPr>
              <w:t xml:space="preserve"> </w:t>
            </w:r>
            <w:r w:rsidRPr="00D27DA9">
              <w:rPr>
                <w:rFonts w:cstheme="minorHAnsi"/>
                <w:iCs/>
                <w:lang w:val="sl-SI"/>
              </w:rPr>
              <w:t>komunikacijsko-informacijske sisteme,</w:t>
            </w:r>
            <w:r>
              <w:rPr>
                <w:rFonts w:cstheme="minorHAnsi"/>
                <w:iCs/>
                <w:lang w:val="sl-SI"/>
              </w:rPr>
              <w:t xml:space="preserve"> </w:t>
            </w:r>
            <w:r w:rsidRPr="00D27DA9">
              <w:rPr>
                <w:rFonts w:cstheme="minorHAnsi"/>
                <w:iCs/>
                <w:lang w:val="sl-SI"/>
              </w:rPr>
              <w:t>daljinsko vodene oborožitvene sisteme</w:t>
            </w:r>
            <w:r w:rsidR="00AE4BAC">
              <w:rPr>
                <w:rFonts w:cstheme="minorHAnsi"/>
                <w:iCs/>
                <w:lang w:val="sl-SI"/>
              </w:rPr>
              <w:t xml:space="preserve"> in</w:t>
            </w:r>
            <w:r w:rsidR="00394B8F">
              <w:rPr>
                <w:rFonts w:cstheme="minorHAnsi"/>
                <w:iCs/>
              </w:rPr>
              <w:t xml:space="preserve">  alternativne vire energije za vojaške namene. Izbrani projekti bodo vključeni v nacionalne planske dokumente.</w:t>
            </w:r>
          </w:p>
          <w:p w14:paraId="1E19A07A" w14:textId="77777777" w:rsidR="00394B8F" w:rsidRDefault="00394B8F" w:rsidP="00394B8F">
            <w:pPr>
              <w:autoSpaceDE w:val="0"/>
              <w:autoSpaceDN w:val="0"/>
              <w:adjustRightInd w:val="0"/>
              <w:jc w:val="both"/>
              <w:rPr>
                <w:rFonts w:cstheme="minorHAnsi"/>
                <w:iCs/>
              </w:rPr>
            </w:pPr>
            <w:r>
              <w:rPr>
                <w:rFonts w:cstheme="minorHAnsi"/>
                <w:iCs/>
              </w:rPr>
              <w:t>V novem Srednjeročnem obrambnem programu bodo opredeljene zmogljivosti in</w:t>
            </w:r>
          </w:p>
          <w:p w14:paraId="3F5E1F36" w14:textId="5DB0B90B" w:rsidR="00394B8F" w:rsidRPr="00D27DA9" w:rsidRDefault="00394B8F" w:rsidP="00394B8F">
            <w:pPr>
              <w:autoSpaceDE w:val="0"/>
              <w:autoSpaceDN w:val="0"/>
              <w:adjustRightInd w:val="0"/>
              <w:jc w:val="both"/>
              <w:rPr>
                <w:rFonts w:cstheme="minorHAnsi"/>
                <w:lang w:val="sl-SI"/>
              </w:rPr>
            </w:pPr>
            <w:r>
              <w:rPr>
                <w:rFonts w:cstheme="minorHAnsi"/>
                <w:iCs/>
              </w:rPr>
              <w:t>projekti, ki so potencialno predvideni za sofinanciranje preko EDF.</w:t>
            </w:r>
          </w:p>
        </w:tc>
        <w:tc>
          <w:tcPr>
            <w:tcW w:w="4253" w:type="dxa"/>
            <w:shd w:val="clear" w:color="auto" w:fill="FFFFFF" w:themeFill="background1"/>
            <w:vAlign w:val="center"/>
          </w:tcPr>
          <w:p w14:paraId="06CA0BCB" w14:textId="77777777" w:rsidR="00394B8F" w:rsidRDefault="00394B8F" w:rsidP="00394B8F">
            <w:pPr>
              <w:jc w:val="both"/>
              <w:rPr>
                <w:rFonts w:cstheme="minorHAnsi"/>
              </w:rPr>
            </w:pPr>
            <w:r>
              <w:rPr>
                <w:rFonts w:cstheme="minorHAnsi"/>
              </w:rPr>
              <w:t xml:space="preserve">Nadaljevali bomo z vzpostavljenim načinom dela: </w:t>
            </w:r>
          </w:p>
          <w:p w14:paraId="10332BF0" w14:textId="77777777" w:rsidR="00394B8F" w:rsidRDefault="00394B8F" w:rsidP="00394B8F">
            <w:pPr>
              <w:pStyle w:val="Odstavekseznama"/>
              <w:numPr>
                <w:ilvl w:val="0"/>
                <w:numId w:val="17"/>
              </w:numPr>
              <w:spacing w:after="0" w:line="240" w:lineRule="auto"/>
              <w:jc w:val="both"/>
              <w:rPr>
                <w:rFonts w:cstheme="minorHAnsi"/>
                <w:lang w:val="sl-SI"/>
              </w:rPr>
            </w:pPr>
            <w:r>
              <w:rPr>
                <w:rFonts w:cstheme="minorHAnsi"/>
                <w:lang w:val="sl-SI"/>
              </w:rPr>
              <w:t>Vključevanje EDF projektov v nacionalni načrt R&amp;T</w:t>
            </w:r>
          </w:p>
          <w:p w14:paraId="16294AB7" w14:textId="77777777" w:rsidR="00394B8F" w:rsidRDefault="00394B8F" w:rsidP="00394B8F">
            <w:pPr>
              <w:pStyle w:val="Odstavekseznama"/>
              <w:numPr>
                <w:ilvl w:val="0"/>
                <w:numId w:val="17"/>
              </w:numPr>
              <w:spacing w:after="0" w:line="240" w:lineRule="auto"/>
              <w:jc w:val="both"/>
              <w:rPr>
                <w:rFonts w:cstheme="minorHAnsi"/>
                <w:lang w:val="sl-SI"/>
              </w:rPr>
            </w:pPr>
            <w:r>
              <w:rPr>
                <w:rFonts w:cstheme="minorHAnsi"/>
                <w:lang w:val="sl-SI"/>
              </w:rPr>
              <w:t>Obveščanje raziskovalnih organizacij in podjetij</w:t>
            </w:r>
          </w:p>
          <w:p w14:paraId="49240E9E" w14:textId="77777777" w:rsidR="00394B8F" w:rsidRDefault="00394B8F" w:rsidP="00394B8F">
            <w:pPr>
              <w:pStyle w:val="Odstavekseznama"/>
              <w:numPr>
                <w:ilvl w:val="0"/>
                <w:numId w:val="17"/>
              </w:numPr>
              <w:spacing w:after="0" w:line="240" w:lineRule="auto"/>
              <w:jc w:val="both"/>
              <w:rPr>
                <w:rFonts w:cstheme="minorHAnsi"/>
                <w:lang w:val="sl-SI"/>
              </w:rPr>
            </w:pPr>
            <w:r>
              <w:rPr>
                <w:rFonts w:cstheme="minorHAnsi"/>
                <w:lang w:val="sl-SI"/>
              </w:rPr>
              <w:t xml:space="preserve">Sledenje raziskovalno razvojnim prioritetam </w:t>
            </w:r>
          </w:p>
          <w:p w14:paraId="0751AFD3" w14:textId="77777777" w:rsidR="00394B8F" w:rsidRDefault="00394B8F" w:rsidP="00394B8F">
            <w:pPr>
              <w:jc w:val="both"/>
              <w:rPr>
                <w:rFonts w:cstheme="minorHAnsi"/>
              </w:rPr>
            </w:pPr>
            <w:r>
              <w:rPr>
                <w:rFonts w:cstheme="minorHAnsi"/>
              </w:rPr>
              <w:t>Spodbujanje sodelovanja predvsem raziskovalnih inštitucij in SME</w:t>
            </w:r>
          </w:p>
          <w:p w14:paraId="63D2DEC2" w14:textId="77777777" w:rsidR="00394B8F" w:rsidRDefault="00394B8F" w:rsidP="00394B8F">
            <w:pPr>
              <w:jc w:val="both"/>
              <w:rPr>
                <w:rFonts w:cstheme="minorHAnsi"/>
              </w:rPr>
            </w:pPr>
          </w:p>
          <w:p w14:paraId="1DDB79B0" w14:textId="60126429" w:rsidR="00394B8F" w:rsidRPr="00D27DA9" w:rsidRDefault="008747C4" w:rsidP="00394B8F">
            <w:pPr>
              <w:autoSpaceDE w:val="0"/>
              <w:autoSpaceDN w:val="0"/>
              <w:adjustRightInd w:val="0"/>
              <w:jc w:val="both"/>
              <w:rPr>
                <w:rFonts w:cstheme="minorHAnsi"/>
                <w:lang w:val="sl-SI"/>
              </w:rPr>
            </w:pPr>
            <w:r w:rsidRPr="008747C4">
              <w:rPr>
                <w:rFonts w:cstheme="minorHAnsi"/>
                <w:iCs/>
                <w:lang w:val="sl-SI"/>
              </w:rPr>
              <w:t>Potencialna področja za sodelovanje na področju skupnih nabav zajemajo opremo namenjeno skupinam za zračno taktično kontrolo (TACP), helikopterje, samovozno artilerijo, oklepna kolesna vozila, sredstva JRKBO, inženirska sredstva, pehotno oborožitev, zračno obrambo, taktična tovorna vozila, logis</w:t>
            </w:r>
            <w:r w:rsidR="00AE4BAC">
              <w:rPr>
                <w:rFonts w:cstheme="minorHAnsi"/>
                <w:iCs/>
                <w:lang w:val="sl-SI"/>
              </w:rPr>
              <w:t>tično opremo, medicinsko opremo in</w:t>
            </w:r>
            <w:r w:rsidRPr="008747C4">
              <w:rPr>
                <w:rFonts w:cstheme="minorHAnsi"/>
                <w:iCs/>
                <w:lang w:val="sl-SI"/>
              </w:rPr>
              <w:t xml:space="preserve"> komunikacijsko-informacijske sisteme (vključno s kibernetiko). Izbrani projekti bodo vključeni v nacionalne planske dokumente.</w:t>
            </w:r>
          </w:p>
        </w:tc>
      </w:tr>
    </w:tbl>
    <w:p w14:paraId="0A736662" w14:textId="77777777" w:rsidR="000F4A76" w:rsidRPr="00D27DA9" w:rsidRDefault="000F4A76" w:rsidP="000F4A76">
      <w:pPr>
        <w:spacing w:after="0"/>
        <w:rPr>
          <w:rFonts w:cstheme="minorHAnsi"/>
          <w:b/>
        </w:rPr>
      </w:pPr>
    </w:p>
    <w:p w14:paraId="082B7C9F" w14:textId="1756C25A" w:rsidR="00AC268A" w:rsidRPr="00D27DA9" w:rsidRDefault="00AC268A">
      <w:pPr>
        <w:rPr>
          <w:rFonts w:cstheme="minorHAnsi"/>
          <w:b/>
        </w:rPr>
      </w:pPr>
    </w:p>
    <w:p w14:paraId="766AAF90" w14:textId="772A8B96" w:rsidR="00C335D2" w:rsidRPr="00D27DA9" w:rsidRDefault="00C335D2">
      <w:pPr>
        <w:rPr>
          <w:rFonts w:cstheme="minorHAnsi"/>
          <w:b/>
        </w:rPr>
      </w:pPr>
    </w:p>
    <w:p w14:paraId="3639E29E" w14:textId="77777777" w:rsidR="00A72E68" w:rsidRPr="00D27DA9" w:rsidRDefault="00A72E68">
      <w:pPr>
        <w:rPr>
          <w:rFonts w:cstheme="minorHAnsi"/>
          <w:b/>
        </w:rPr>
      </w:pPr>
    </w:p>
    <w:p w14:paraId="07588A06" w14:textId="1B18B197" w:rsidR="00AC268A" w:rsidRPr="00D27DA9" w:rsidRDefault="00AC268A" w:rsidP="00AC268A">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cstheme="minorHAnsi"/>
          <w:b/>
        </w:rPr>
      </w:pPr>
      <w:r w:rsidRPr="00D27DA9">
        <w:rPr>
          <w:rFonts w:cstheme="minorHAnsi"/>
          <w:b/>
        </w:rPr>
        <w:t xml:space="preserve">Zaveza 9: </w:t>
      </w:r>
      <w:r w:rsidR="00BB353A" w:rsidRPr="00D27DA9">
        <w:rPr>
          <w:rFonts w:cstheme="minorHAnsi"/>
        </w:rPr>
        <w:t>P</w:t>
      </w:r>
      <w:r w:rsidR="007569DE" w:rsidRPr="00D27DA9">
        <w:rPr>
          <w:rFonts w:cstheme="minorHAnsi"/>
        </w:rPr>
        <w:t>ripravile harmonizirane zahteve za vse projekte za razvoj zmogljivosti, o katerih se bodo dogovorile vključene države članice</w:t>
      </w:r>
      <w:r w:rsidRPr="00D27DA9">
        <w:rPr>
          <w:rFonts w:cstheme="minorHAnsi"/>
          <w:b/>
        </w:rPr>
        <w:t>.</w:t>
      </w:r>
    </w:p>
    <w:p w14:paraId="1FB769E7" w14:textId="66E4F7A1" w:rsidR="00BB6452" w:rsidRDefault="00BB6452" w:rsidP="00684DB5">
      <w:pPr>
        <w:spacing w:line="240" w:lineRule="auto"/>
        <w:jc w:val="both"/>
        <w:rPr>
          <w:rFonts w:cstheme="minorHAnsi"/>
          <w:color w:val="000000"/>
        </w:rPr>
      </w:pPr>
    </w:p>
    <w:p w14:paraId="78FCC2EC" w14:textId="58B64AF9" w:rsidR="008B1ECC" w:rsidRDefault="008B1ECC" w:rsidP="00684DB5">
      <w:pPr>
        <w:spacing w:line="240" w:lineRule="auto"/>
        <w:jc w:val="both"/>
        <w:rPr>
          <w:rFonts w:cstheme="minorHAnsi"/>
          <w:color w:val="000000"/>
        </w:rPr>
      </w:pPr>
    </w:p>
    <w:tbl>
      <w:tblPr>
        <w:tblStyle w:val="Tabelamrea"/>
        <w:tblW w:w="13164" w:type="dxa"/>
        <w:tblInd w:w="8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1115"/>
        <w:gridCol w:w="3686"/>
        <w:gridCol w:w="4110"/>
        <w:gridCol w:w="4253"/>
      </w:tblGrid>
      <w:tr w:rsidR="00AC268A" w:rsidRPr="00D27DA9" w14:paraId="3638AEE2" w14:textId="77777777" w:rsidTr="00D362DB">
        <w:trPr>
          <w:trHeight w:val="359"/>
        </w:trPr>
        <w:tc>
          <w:tcPr>
            <w:tcW w:w="1115" w:type="dxa"/>
            <w:shd w:val="clear" w:color="auto" w:fill="F2F2F2" w:themeFill="background1" w:themeFillShade="F2"/>
            <w:vAlign w:val="center"/>
          </w:tcPr>
          <w:p w14:paraId="51BA941D" w14:textId="77777777" w:rsidR="00AC268A" w:rsidRPr="00D27DA9" w:rsidRDefault="00AC268A" w:rsidP="00D362DB">
            <w:pPr>
              <w:jc w:val="center"/>
              <w:rPr>
                <w:rFonts w:eastAsia="Calibri" w:cstheme="minorHAnsi"/>
                <w:b/>
                <w:bCs/>
                <w:lang w:val="sl-SI"/>
              </w:rPr>
            </w:pPr>
          </w:p>
        </w:tc>
        <w:tc>
          <w:tcPr>
            <w:tcW w:w="3686" w:type="dxa"/>
            <w:shd w:val="clear" w:color="auto" w:fill="F2F2F2" w:themeFill="background1" w:themeFillShade="F2"/>
            <w:vAlign w:val="center"/>
          </w:tcPr>
          <w:p w14:paraId="7DD0EAFB" w14:textId="14F465E3" w:rsidR="00AC268A" w:rsidRPr="00D27DA9" w:rsidRDefault="00BE0FBA" w:rsidP="00D362DB">
            <w:pPr>
              <w:jc w:val="center"/>
              <w:rPr>
                <w:rFonts w:eastAsia="Calibri" w:cstheme="minorHAnsi"/>
                <w:b/>
                <w:bCs/>
                <w:lang w:val="sl-SI"/>
              </w:rPr>
            </w:pPr>
            <w:r w:rsidRPr="00D27DA9">
              <w:rPr>
                <w:rFonts w:eastAsia="Calibri" w:cstheme="minorHAnsi"/>
                <w:b/>
                <w:bCs/>
                <w:lang w:val="sl-SI"/>
              </w:rPr>
              <w:t>2020</w:t>
            </w:r>
            <w:r w:rsidR="00AC268A" w:rsidRPr="00D27DA9">
              <w:rPr>
                <w:rFonts w:eastAsia="Calibri" w:cstheme="minorHAnsi"/>
                <w:b/>
                <w:bCs/>
                <w:lang w:val="sl-SI"/>
              </w:rPr>
              <w:t xml:space="preserve"> </w:t>
            </w:r>
          </w:p>
          <w:p w14:paraId="52D3A634" w14:textId="77777777" w:rsidR="00AC268A" w:rsidRPr="00D27DA9" w:rsidRDefault="00AC268A" w:rsidP="00D362DB">
            <w:pPr>
              <w:jc w:val="center"/>
              <w:rPr>
                <w:rFonts w:eastAsia="Calibri" w:cstheme="minorHAnsi"/>
                <w:b/>
                <w:bCs/>
                <w:lang w:val="sl-SI"/>
              </w:rPr>
            </w:pPr>
            <w:r w:rsidRPr="00D27DA9">
              <w:rPr>
                <w:rFonts w:eastAsia="Calibri" w:cstheme="minorHAnsi"/>
                <w:b/>
                <w:bCs/>
                <w:lang w:val="sl-SI"/>
              </w:rPr>
              <w:t>(samoocena)</w:t>
            </w:r>
          </w:p>
        </w:tc>
        <w:tc>
          <w:tcPr>
            <w:tcW w:w="4110" w:type="dxa"/>
            <w:shd w:val="clear" w:color="auto" w:fill="F2F2F2" w:themeFill="background1" w:themeFillShade="F2"/>
            <w:vAlign w:val="center"/>
          </w:tcPr>
          <w:p w14:paraId="1C9BFF05" w14:textId="092534B3" w:rsidR="00AC268A" w:rsidRPr="00D27DA9" w:rsidRDefault="00BE0FBA" w:rsidP="00D362DB">
            <w:pPr>
              <w:jc w:val="center"/>
              <w:rPr>
                <w:rFonts w:eastAsia="Calibri" w:cstheme="minorHAnsi"/>
                <w:b/>
                <w:bCs/>
                <w:lang w:val="sl-SI"/>
              </w:rPr>
            </w:pPr>
            <w:r w:rsidRPr="00D27DA9">
              <w:rPr>
                <w:rFonts w:eastAsia="Calibri" w:cstheme="minorHAnsi"/>
                <w:b/>
                <w:bCs/>
                <w:lang w:val="sl-SI"/>
              </w:rPr>
              <w:t>2021</w:t>
            </w:r>
          </w:p>
          <w:p w14:paraId="27932C66" w14:textId="77777777" w:rsidR="00AC268A" w:rsidRPr="00D27DA9" w:rsidRDefault="00AC268A" w:rsidP="00D362DB">
            <w:pPr>
              <w:jc w:val="center"/>
              <w:rPr>
                <w:rFonts w:eastAsia="Calibri" w:cstheme="minorHAnsi"/>
                <w:b/>
                <w:lang w:val="sl-SI"/>
              </w:rPr>
            </w:pPr>
            <w:r w:rsidRPr="00D27DA9">
              <w:rPr>
                <w:rFonts w:eastAsia="Calibri" w:cstheme="minorHAnsi"/>
                <w:b/>
                <w:bCs/>
                <w:lang w:val="sl-SI"/>
              </w:rPr>
              <w:t>(predvideno)</w:t>
            </w:r>
          </w:p>
        </w:tc>
        <w:tc>
          <w:tcPr>
            <w:tcW w:w="4253" w:type="dxa"/>
            <w:shd w:val="clear" w:color="auto" w:fill="F2F2F2" w:themeFill="background1" w:themeFillShade="F2"/>
            <w:vAlign w:val="center"/>
          </w:tcPr>
          <w:p w14:paraId="541B06C4" w14:textId="75D14947" w:rsidR="00AC268A" w:rsidRPr="00D27DA9" w:rsidRDefault="00BE0FBA" w:rsidP="00D362DB">
            <w:pPr>
              <w:jc w:val="center"/>
              <w:rPr>
                <w:rFonts w:eastAsia="Calibri" w:cstheme="minorHAnsi"/>
                <w:b/>
                <w:bCs/>
                <w:lang w:val="sl-SI"/>
              </w:rPr>
            </w:pPr>
            <w:r w:rsidRPr="00D27DA9">
              <w:rPr>
                <w:rFonts w:eastAsia="Calibri" w:cstheme="minorHAnsi"/>
                <w:b/>
                <w:bCs/>
                <w:lang w:val="sl-SI"/>
              </w:rPr>
              <w:t>2022</w:t>
            </w:r>
            <w:r w:rsidR="00AC268A" w:rsidRPr="00D27DA9">
              <w:rPr>
                <w:rFonts w:eastAsia="Calibri" w:cstheme="minorHAnsi"/>
                <w:b/>
                <w:bCs/>
                <w:lang w:val="sl-SI"/>
              </w:rPr>
              <w:t xml:space="preserve">-2025 </w:t>
            </w:r>
          </w:p>
          <w:p w14:paraId="2BDF7282" w14:textId="77777777" w:rsidR="00AC268A" w:rsidRPr="00D27DA9" w:rsidRDefault="00AC268A" w:rsidP="00D362DB">
            <w:pPr>
              <w:jc w:val="center"/>
              <w:rPr>
                <w:rFonts w:eastAsia="Calibri" w:cstheme="minorHAnsi"/>
                <w:b/>
                <w:lang w:val="sl-SI"/>
              </w:rPr>
            </w:pPr>
            <w:r w:rsidRPr="00D27DA9">
              <w:rPr>
                <w:rFonts w:eastAsia="Calibri" w:cstheme="minorHAnsi"/>
                <w:b/>
                <w:bCs/>
                <w:lang w:val="sl-SI"/>
              </w:rPr>
              <w:t>(predvideno)</w:t>
            </w:r>
          </w:p>
        </w:tc>
      </w:tr>
      <w:tr w:rsidR="00AC268A" w:rsidRPr="00D27DA9" w14:paraId="7D0BB27B" w14:textId="77777777" w:rsidTr="00D362DB">
        <w:trPr>
          <w:trHeight w:val="3883"/>
        </w:trPr>
        <w:tc>
          <w:tcPr>
            <w:tcW w:w="1115" w:type="dxa"/>
            <w:vAlign w:val="center"/>
          </w:tcPr>
          <w:p w14:paraId="3799DCC8" w14:textId="77777777" w:rsidR="00AC268A" w:rsidRPr="00D27DA9" w:rsidRDefault="00AC268A" w:rsidP="00AC268A">
            <w:pPr>
              <w:rPr>
                <w:rFonts w:eastAsia="Calibri" w:cstheme="minorHAnsi"/>
                <w:b/>
                <w:lang w:val="sl-SI"/>
              </w:rPr>
            </w:pPr>
            <w:r w:rsidRPr="00D27DA9">
              <w:rPr>
                <w:rFonts w:eastAsia="Calibri" w:cstheme="minorHAnsi"/>
                <w:b/>
                <w:lang w:val="sl-SI"/>
              </w:rPr>
              <w:t>Zaveza 9</w:t>
            </w:r>
          </w:p>
        </w:tc>
        <w:tc>
          <w:tcPr>
            <w:tcW w:w="3686" w:type="dxa"/>
            <w:vAlign w:val="center"/>
          </w:tcPr>
          <w:p w14:paraId="432FA3E2" w14:textId="77777777" w:rsidR="00F90357" w:rsidRPr="00D27DA9" w:rsidRDefault="00F90357" w:rsidP="00615788">
            <w:pPr>
              <w:autoSpaceDE w:val="0"/>
              <w:autoSpaceDN w:val="0"/>
              <w:adjustRightInd w:val="0"/>
              <w:jc w:val="both"/>
              <w:rPr>
                <w:rFonts w:cstheme="minorHAnsi"/>
                <w:iCs/>
                <w:lang w:val="sl-SI"/>
              </w:rPr>
            </w:pPr>
            <w:r w:rsidRPr="00D27DA9">
              <w:rPr>
                <w:rFonts w:cstheme="minorHAnsi"/>
                <w:iCs/>
                <w:lang w:val="sl-SI"/>
              </w:rPr>
              <w:t>Slovenija sodeluje v PESCO projektu</w:t>
            </w:r>
          </w:p>
          <w:p w14:paraId="15AEF4DD" w14:textId="77777777" w:rsidR="00F90357" w:rsidRPr="00D27DA9" w:rsidRDefault="00F90357" w:rsidP="00615788">
            <w:pPr>
              <w:autoSpaceDE w:val="0"/>
              <w:autoSpaceDN w:val="0"/>
              <w:adjustRightInd w:val="0"/>
              <w:jc w:val="both"/>
              <w:rPr>
                <w:rFonts w:cstheme="minorHAnsi"/>
                <w:iCs/>
                <w:lang w:val="sl-SI"/>
              </w:rPr>
            </w:pPr>
            <w:r w:rsidRPr="00D27DA9">
              <w:rPr>
                <w:rFonts w:cstheme="minorHAnsi"/>
                <w:iCs/>
                <w:lang w:val="sl-SI"/>
              </w:rPr>
              <w:t>Nadzor JRKB kot storitev (CBRN SaaS),</w:t>
            </w:r>
          </w:p>
          <w:p w14:paraId="73F47B01" w14:textId="76F1689B" w:rsidR="00F90357" w:rsidRPr="00D27DA9" w:rsidRDefault="00F90357" w:rsidP="00615788">
            <w:pPr>
              <w:autoSpaceDE w:val="0"/>
              <w:autoSpaceDN w:val="0"/>
              <w:adjustRightInd w:val="0"/>
              <w:jc w:val="both"/>
              <w:rPr>
                <w:rFonts w:cstheme="minorHAnsi"/>
                <w:iCs/>
                <w:lang w:val="sl-SI"/>
              </w:rPr>
            </w:pPr>
            <w:r w:rsidRPr="00D27DA9">
              <w:rPr>
                <w:rFonts w:cstheme="minorHAnsi"/>
                <w:iCs/>
                <w:lang w:val="sl-SI"/>
              </w:rPr>
              <w:t>kjer je nosilna država Avstrija.</w:t>
            </w:r>
            <w:r w:rsidR="00615788">
              <w:rPr>
                <w:rFonts w:cstheme="minorHAnsi"/>
                <w:iCs/>
                <w:lang w:val="sl-SI"/>
              </w:rPr>
              <w:t xml:space="preserve"> </w:t>
            </w:r>
          </w:p>
          <w:p w14:paraId="051FC276" w14:textId="77777777" w:rsidR="00F90357" w:rsidRPr="00D27DA9" w:rsidRDefault="00F90357" w:rsidP="00615788">
            <w:pPr>
              <w:autoSpaceDE w:val="0"/>
              <w:autoSpaceDN w:val="0"/>
              <w:adjustRightInd w:val="0"/>
              <w:jc w:val="both"/>
              <w:rPr>
                <w:rFonts w:cstheme="minorHAnsi"/>
                <w:iCs/>
                <w:lang w:val="sl-SI"/>
              </w:rPr>
            </w:pPr>
            <w:r w:rsidRPr="00D27DA9">
              <w:rPr>
                <w:rFonts w:cstheme="minorHAnsi"/>
                <w:iCs/>
                <w:lang w:val="sl-SI"/>
              </w:rPr>
              <w:t>Slovenija sodeluje v EDA projektih:</w:t>
            </w:r>
          </w:p>
          <w:p w14:paraId="2E73EE54" w14:textId="77777777" w:rsidR="00F90357" w:rsidRPr="00D27DA9" w:rsidRDefault="00F90357" w:rsidP="00615788">
            <w:pPr>
              <w:autoSpaceDE w:val="0"/>
              <w:autoSpaceDN w:val="0"/>
              <w:adjustRightInd w:val="0"/>
              <w:jc w:val="both"/>
              <w:rPr>
                <w:rFonts w:cstheme="minorHAnsi"/>
                <w:iCs/>
                <w:lang w:val="sl-SI"/>
              </w:rPr>
            </w:pPr>
            <w:r w:rsidRPr="00D27DA9">
              <w:rPr>
                <w:rFonts w:cstheme="minorHAnsi"/>
                <w:iCs/>
                <w:lang w:val="sl-SI"/>
              </w:rPr>
              <w:t>Omrežje za pomorski nadzor (Maritime</w:t>
            </w:r>
          </w:p>
          <w:p w14:paraId="0D254519" w14:textId="77777777" w:rsidR="00F8475D" w:rsidRPr="00112306" w:rsidRDefault="00F90357" w:rsidP="00F8475D">
            <w:pPr>
              <w:autoSpaceDE w:val="0"/>
              <w:autoSpaceDN w:val="0"/>
              <w:adjustRightInd w:val="0"/>
              <w:jc w:val="both"/>
              <w:rPr>
                <w:rFonts w:cstheme="minorHAnsi"/>
                <w:iCs/>
                <w:lang w:val="sl-SI"/>
              </w:rPr>
            </w:pPr>
            <w:r w:rsidRPr="00D27DA9">
              <w:rPr>
                <w:rFonts w:cstheme="minorHAnsi"/>
                <w:iCs/>
                <w:lang w:val="sl-SI"/>
              </w:rPr>
              <w:t>Surveillance – MARSUR),</w:t>
            </w:r>
            <w:r w:rsidR="00615788">
              <w:rPr>
                <w:rFonts w:cstheme="minorHAnsi"/>
                <w:iCs/>
                <w:lang w:val="sl-SI"/>
              </w:rPr>
              <w:t xml:space="preserve"> </w:t>
            </w:r>
            <w:r w:rsidRPr="00D27DA9">
              <w:rPr>
                <w:rFonts w:cstheme="minorHAnsi"/>
                <w:iCs/>
                <w:lang w:val="sl-SI"/>
              </w:rPr>
              <w:t>Vojaško vključevanje v Enotno</w:t>
            </w:r>
            <w:r w:rsidR="00615788">
              <w:rPr>
                <w:rFonts w:cstheme="minorHAnsi"/>
                <w:iCs/>
                <w:lang w:val="sl-SI"/>
              </w:rPr>
              <w:t xml:space="preserve"> </w:t>
            </w:r>
            <w:r w:rsidRPr="00D27DA9">
              <w:rPr>
                <w:rFonts w:cstheme="minorHAnsi"/>
                <w:iCs/>
                <w:lang w:val="sl-SI"/>
              </w:rPr>
              <w:t>evropsko nebo (MIOS – SESAR),</w:t>
            </w:r>
            <w:r w:rsidR="00615788">
              <w:rPr>
                <w:rFonts w:cstheme="minorHAnsi"/>
                <w:iCs/>
                <w:lang w:val="sl-SI"/>
              </w:rPr>
              <w:t xml:space="preserve"> </w:t>
            </w:r>
            <w:r w:rsidRPr="00D27DA9">
              <w:rPr>
                <w:rFonts w:cstheme="minorHAnsi"/>
                <w:iCs/>
                <w:lang w:val="sl-SI"/>
              </w:rPr>
              <w:t>Daljinsko upravljani zračni sistemi</w:t>
            </w:r>
            <w:r w:rsidR="00615788">
              <w:rPr>
                <w:rFonts w:cstheme="minorHAnsi"/>
                <w:iCs/>
                <w:lang w:val="sl-SI"/>
              </w:rPr>
              <w:t xml:space="preserve"> </w:t>
            </w:r>
            <w:r w:rsidRPr="00D27DA9">
              <w:rPr>
                <w:rFonts w:cstheme="minorHAnsi"/>
                <w:iCs/>
                <w:lang w:val="sl-SI"/>
              </w:rPr>
              <w:t>(Remotely Piloted Aircraft Systems JIP</w:t>
            </w:r>
            <w:r w:rsidR="00615788">
              <w:rPr>
                <w:rFonts w:cstheme="minorHAnsi"/>
                <w:iCs/>
                <w:lang w:val="sl-SI"/>
              </w:rPr>
              <w:t xml:space="preserve"> </w:t>
            </w:r>
            <w:r w:rsidRPr="00D27DA9">
              <w:rPr>
                <w:rFonts w:cstheme="minorHAnsi"/>
                <w:iCs/>
                <w:lang w:val="sl-SI"/>
              </w:rPr>
              <w:t>RPAS), Program helikopterskih vaj</w:t>
            </w:r>
            <w:r w:rsidR="00615788">
              <w:rPr>
                <w:rFonts w:cstheme="minorHAnsi"/>
                <w:iCs/>
                <w:lang w:val="sl-SI"/>
              </w:rPr>
              <w:t xml:space="preserve"> </w:t>
            </w:r>
            <w:r w:rsidRPr="00D27DA9">
              <w:rPr>
                <w:rFonts w:cstheme="minorHAnsi"/>
                <w:iCs/>
                <w:lang w:val="sl-SI"/>
              </w:rPr>
              <w:t>(Helicopter Exercise Programme -HEP)</w:t>
            </w:r>
            <w:r w:rsidR="00F8475D">
              <w:rPr>
                <w:rFonts w:cstheme="minorHAnsi"/>
                <w:iCs/>
                <w:lang w:val="sl-SI"/>
              </w:rPr>
              <w:t>- v prihodnje MHTC</w:t>
            </w:r>
            <w:r w:rsidRPr="00D27DA9">
              <w:rPr>
                <w:rFonts w:cstheme="minorHAnsi"/>
                <w:iCs/>
                <w:lang w:val="sl-SI"/>
              </w:rPr>
              <w:t>,</w:t>
            </w:r>
            <w:r w:rsidR="00615788">
              <w:rPr>
                <w:rFonts w:cstheme="minorHAnsi"/>
                <w:iCs/>
                <w:lang w:val="sl-SI"/>
              </w:rPr>
              <w:t xml:space="preserve"> </w:t>
            </w:r>
            <w:r w:rsidRPr="00D27DA9">
              <w:rPr>
                <w:rFonts w:cstheme="minorHAnsi"/>
                <w:iCs/>
                <w:lang w:val="sl-SI"/>
              </w:rPr>
              <w:t>Souporaba rezervnih delov (Sharing of</w:t>
            </w:r>
            <w:r w:rsidR="00615788">
              <w:rPr>
                <w:rFonts w:cstheme="minorHAnsi"/>
                <w:iCs/>
                <w:lang w:val="sl-SI"/>
              </w:rPr>
              <w:t xml:space="preserve"> </w:t>
            </w:r>
            <w:r w:rsidRPr="00D27DA9">
              <w:rPr>
                <w:rFonts w:cstheme="minorHAnsi"/>
                <w:iCs/>
                <w:lang w:val="sl-SI"/>
              </w:rPr>
              <w:t>Spare Parts – SoSP), Večnacionalna</w:t>
            </w:r>
            <w:r w:rsidR="00615788">
              <w:rPr>
                <w:rFonts w:cstheme="minorHAnsi"/>
                <w:iCs/>
                <w:lang w:val="sl-SI"/>
              </w:rPr>
              <w:t xml:space="preserve"> </w:t>
            </w:r>
            <w:r w:rsidRPr="00D27DA9">
              <w:rPr>
                <w:rFonts w:cstheme="minorHAnsi"/>
                <w:iCs/>
                <w:lang w:val="sl-SI"/>
              </w:rPr>
              <w:t>medicinska enota (Multinational</w:t>
            </w:r>
            <w:r w:rsidR="00615788">
              <w:rPr>
                <w:rFonts w:cstheme="minorHAnsi"/>
                <w:iCs/>
                <w:lang w:val="sl-SI"/>
              </w:rPr>
              <w:t xml:space="preserve"> </w:t>
            </w:r>
            <w:r w:rsidRPr="00D27DA9">
              <w:rPr>
                <w:rFonts w:cstheme="minorHAnsi"/>
                <w:iCs/>
                <w:lang w:val="sl-SI"/>
              </w:rPr>
              <w:t>Medical Modular Unit - M3U),</w:t>
            </w:r>
            <w:r w:rsidR="00615788">
              <w:rPr>
                <w:rFonts w:cstheme="minorHAnsi"/>
                <w:iCs/>
                <w:lang w:val="sl-SI"/>
              </w:rPr>
              <w:t xml:space="preserve"> </w:t>
            </w:r>
            <w:r w:rsidRPr="00D27DA9">
              <w:rPr>
                <w:rFonts w:cstheme="minorHAnsi"/>
                <w:iCs/>
                <w:lang w:val="sl-SI"/>
              </w:rPr>
              <w:t>Diplomatska dovoljenja za prelete</w:t>
            </w:r>
            <w:r w:rsidR="00615788">
              <w:rPr>
                <w:rFonts w:cstheme="minorHAnsi"/>
                <w:iCs/>
                <w:lang w:val="sl-SI"/>
              </w:rPr>
              <w:t xml:space="preserve"> </w:t>
            </w:r>
            <w:r w:rsidRPr="00D27DA9">
              <w:rPr>
                <w:rFonts w:cstheme="minorHAnsi"/>
                <w:iCs/>
                <w:lang w:val="sl-SI"/>
              </w:rPr>
              <w:t>vojaških zrakoplovov (Diplomatic</w:t>
            </w:r>
            <w:r w:rsidR="00615788">
              <w:rPr>
                <w:rFonts w:cstheme="minorHAnsi"/>
                <w:iCs/>
                <w:lang w:val="sl-SI"/>
              </w:rPr>
              <w:t xml:space="preserve"> </w:t>
            </w:r>
            <w:r w:rsidRPr="00D27DA9">
              <w:rPr>
                <w:rFonts w:cstheme="minorHAnsi"/>
                <w:iCs/>
                <w:lang w:val="sl-SI"/>
              </w:rPr>
              <w:t>Clearances - DIC), Zagotavljanje</w:t>
            </w:r>
            <w:r w:rsidR="00615788">
              <w:rPr>
                <w:rFonts w:cstheme="minorHAnsi"/>
                <w:iCs/>
                <w:lang w:val="sl-SI"/>
              </w:rPr>
              <w:t xml:space="preserve"> </w:t>
            </w:r>
            <w:r w:rsidRPr="00D27DA9">
              <w:rPr>
                <w:rFonts w:cstheme="minorHAnsi"/>
                <w:iCs/>
                <w:lang w:val="sl-SI"/>
              </w:rPr>
              <w:t>informacij o improviziranih</w:t>
            </w:r>
            <w:r w:rsidR="00615788">
              <w:rPr>
                <w:rFonts w:cstheme="minorHAnsi"/>
                <w:iCs/>
                <w:lang w:val="sl-SI"/>
              </w:rPr>
              <w:t xml:space="preserve"> </w:t>
            </w:r>
            <w:r w:rsidRPr="00D27DA9">
              <w:rPr>
                <w:rFonts w:cstheme="minorHAnsi"/>
                <w:iCs/>
                <w:lang w:val="sl-SI"/>
              </w:rPr>
              <w:t>eksplozivnih sredstvih (Smart Future Counted IED Field Laboratory - SF C-IED</w:t>
            </w:r>
            <w:r w:rsidR="00211AF6">
              <w:rPr>
                <w:rFonts w:cstheme="minorHAnsi"/>
                <w:iCs/>
                <w:lang w:val="sl-SI"/>
              </w:rPr>
              <w:t xml:space="preserve"> </w:t>
            </w:r>
            <w:r w:rsidRPr="00D27DA9">
              <w:rPr>
                <w:rFonts w:cstheme="minorHAnsi"/>
                <w:iCs/>
                <w:lang w:val="sl-SI"/>
              </w:rPr>
              <w:lastRenderedPageBreak/>
              <w:t>FL)</w:t>
            </w:r>
            <w:r w:rsidR="00F8475D">
              <w:rPr>
                <w:rFonts w:cstheme="minorHAnsi"/>
                <w:iCs/>
                <w:lang w:val="sl-SI"/>
              </w:rPr>
              <w:t xml:space="preserve">, BC - EX </w:t>
            </w:r>
            <w:r w:rsidR="00F8475D" w:rsidRPr="00112306">
              <w:rPr>
                <w:rFonts w:cstheme="minorHAnsi"/>
                <w:iCs/>
                <w:lang w:val="sl-SI"/>
              </w:rPr>
              <w:t>Bison Counter C-IED Exercises Capability Building</w:t>
            </w:r>
            <w:r w:rsidR="00F8475D">
              <w:rPr>
                <w:rFonts w:cstheme="minorHAnsi"/>
                <w:iCs/>
                <w:lang w:val="sl-SI"/>
              </w:rPr>
              <w:t xml:space="preserve">, </w:t>
            </w:r>
            <w:r w:rsidR="00F8475D" w:rsidRPr="00112306">
              <w:rPr>
                <w:rFonts w:cstheme="minorHAnsi"/>
                <w:iCs/>
                <w:lang w:val="sl-SI"/>
              </w:rPr>
              <w:t xml:space="preserve">HybriDT </w:t>
            </w:r>
          </w:p>
          <w:p w14:paraId="293788B3" w14:textId="77777777" w:rsidR="00DC5B6E" w:rsidRDefault="00F8475D" w:rsidP="00F8475D">
            <w:pPr>
              <w:autoSpaceDE w:val="0"/>
              <w:autoSpaceDN w:val="0"/>
              <w:adjustRightInd w:val="0"/>
              <w:jc w:val="both"/>
              <w:rPr>
                <w:rFonts w:cstheme="minorHAnsi"/>
                <w:iCs/>
                <w:lang w:val="sl-SI"/>
              </w:rPr>
            </w:pPr>
            <w:r w:rsidRPr="00112306">
              <w:rPr>
                <w:rFonts w:cstheme="minorHAnsi"/>
                <w:iCs/>
                <w:lang w:val="sl-SI"/>
              </w:rPr>
              <w:t>Hybrid Drive Trains</w:t>
            </w:r>
            <w:r>
              <w:rPr>
                <w:rFonts w:cstheme="minorHAnsi"/>
                <w:iCs/>
                <w:lang w:val="sl-SI"/>
              </w:rPr>
              <w:t xml:space="preserve">. </w:t>
            </w:r>
          </w:p>
          <w:p w14:paraId="08EE5F8C" w14:textId="5B6B1582" w:rsidR="00AC268A" w:rsidRPr="00D27DA9" w:rsidRDefault="00F8475D" w:rsidP="00F8475D">
            <w:pPr>
              <w:autoSpaceDE w:val="0"/>
              <w:autoSpaceDN w:val="0"/>
              <w:adjustRightInd w:val="0"/>
              <w:jc w:val="both"/>
              <w:rPr>
                <w:rFonts w:eastAsia="Calibri" w:cstheme="minorHAnsi"/>
                <w:lang w:val="sl-SI"/>
              </w:rPr>
            </w:pPr>
            <w:r w:rsidRPr="00175CE6">
              <w:rPr>
                <w:rFonts w:cstheme="minorHAnsi"/>
                <w:iCs/>
                <w:lang w:val="sl-SI"/>
              </w:rPr>
              <w:t>12.8.2020</w:t>
            </w:r>
            <w:r>
              <w:rPr>
                <w:rFonts w:cstheme="minorHAnsi"/>
                <w:iCs/>
                <w:lang w:val="sl-SI"/>
              </w:rPr>
              <w:t xml:space="preserve"> smo</w:t>
            </w:r>
            <w:r w:rsidRPr="00175CE6">
              <w:rPr>
                <w:rFonts w:cstheme="minorHAnsi"/>
                <w:iCs/>
                <w:lang w:val="sl-SI"/>
              </w:rPr>
              <w:t xml:space="preserve"> pristopili k EDA projektu EU SATCOM MARKET.</w:t>
            </w:r>
          </w:p>
        </w:tc>
        <w:tc>
          <w:tcPr>
            <w:tcW w:w="4110" w:type="dxa"/>
            <w:vAlign w:val="center"/>
          </w:tcPr>
          <w:p w14:paraId="7745BB8E" w14:textId="3460069B" w:rsidR="00211AF6" w:rsidRDefault="00211AF6" w:rsidP="00211AF6">
            <w:pPr>
              <w:autoSpaceDE w:val="0"/>
              <w:autoSpaceDN w:val="0"/>
              <w:adjustRightInd w:val="0"/>
              <w:jc w:val="both"/>
              <w:rPr>
                <w:rFonts w:cstheme="minorHAnsi"/>
                <w:iCs/>
                <w:lang w:val="sl-SI"/>
              </w:rPr>
            </w:pPr>
          </w:p>
          <w:p w14:paraId="59B09A11" w14:textId="77777777" w:rsidR="00F8475D" w:rsidRDefault="00F8475D" w:rsidP="00F8475D">
            <w:pPr>
              <w:autoSpaceDE w:val="0"/>
              <w:autoSpaceDN w:val="0"/>
              <w:adjustRightInd w:val="0"/>
              <w:jc w:val="both"/>
              <w:rPr>
                <w:rFonts w:cstheme="minorHAnsi"/>
                <w:iCs/>
                <w:lang w:val="sl-SI"/>
              </w:rPr>
            </w:pPr>
            <w:r>
              <w:rPr>
                <w:rFonts w:cstheme="minorHAnsi"/>
                <w:iCs/>
                <w:lang w:val="sl-SI"/>
              </w:rPr>
              <w:t>V letu 2021 nameravamo pristopiti k projektu Nomex Flying Clothing – skupni nakupi zaščitne opreme, ki ga bo vodil Ciper.</w:t>
            </w:r>
          </w:p>
          <w:p w14:paraId="2135334F" w14:textId="77777777" w:rsidR="00F8475D" w:rsidRDefault="00F8475D" w:rsidP="00211AF6">
            <w:pPr>
              <w:autoSpaceDE w:val="0"/>
              <w:autoSpaceDN w:val="0"/>
              <w:adjustRightInd w:val="0"/>
              <w:jc w:val="both"/>
              <w:rPr>
                <w:rFonts w:cstheme="minorHAnsi"/>
                <w:iCs/>
                <w:lang w:val="sl-SI"/>
              </w:rPr>
            </w:pPr>
          </w:p>
          <w:p w14:paraId="567861C9" w14:textId="5B8DCE65" w:rsidR="00A75861" w:rsidRPr="00D27DA9" w:rsidRDefault="00F8475D" w:rsidP="00211AF6">
            <w:pPr>
              <w:autoSpaceDE w:val="0"/>
              <w:autoSpaceDN w:val="0"/>
              <w:adjustRightInd w:val="0"/>
              <w:jc w:val="both"/>
              <w:rPr>
                <w:rFonts w:cstheme="minorHAnsi"/>
                <w:lang w:val="sl-SI"/>
              </w:rPr>
            </w:pPr>
            <w:r>
              <w:rPr>
                <w:rFonts w:cstheme="minorHAnsi"/>
                <w:iCs/>
                <w:lang w:val="sl-SI"/>
              </w:rPr>
              <w:t>V letu 2021</w:t>
            </w:r>
            <w:r w:rsidR="00211AF6" w:rsidRPr="00211AF6">
              <w:rPr>
                <w:rFonts w:cstheme="minorHAnsi"/>
                <w:iCs/>
                <w:color w:val="7030A0"/>
                <w:lang w:val="sl-SI"/>
              </w:rPr>
              <w:t xml:space="preserve"> </w:t>
            </w:r>
            <w:r w:rsidR="00F90357" w:rsidRPr="00D27DA9">
              <w:rPr>
                <w:rFonts w:cstheme="minorHAnsi"/>
                <w:iCs/>
                <w:lang w:val="sl-SI"/>
              </w:rPr>
              <w:t>nameravamo izvesti pregled stanja in</w:t>
            </w:r>
            <w:r w:rsidR="00211AF6">
              <w:rPr>
                <w:rFonts w:cstheme="minorHAnsi"/>
                <w:iCs/>
                <w:lang w:val="sl-SI"/>
              </w:rPr>
              <w:t xml:space="preserve"> </w:t>
            </w:r>
            <w:r w:rsidR="00F90357" w:rsidRPr="00D27DA9">
              <w:rPr>
                <w:rFonts w:cstheme="minorHAnsi"/>
                <w:iCs/>
                <w:lang w:val="sl-SI"/>
              </w:rPr>
              <w:t>potreb na področjih na katerih bi lahko v</w:t>
            </w:r>
            <w:r w:rsidR="00211AF6">
              <w:rPr>
                <w:rFonts w:cstheme="minorHAnsi"/>
                <w:iCs/>
                <w:lang w:val="sl-SI"/>
              </w:rPr>
              <w:t xml:space="preserve"> </w:t>
            </w:r>
            <w:r w:rsidR="00F90357" w:rsidRPr="00D27DA9">
              <w:rPr>
                <w:rFonts w:cstheme="minorHAnsi"/>
                <w:iCs/>
                <w:lang w:val="sl-SI"/>
              </w:rPr>
              <w:t>prihodnje izvedli skupne projekte oz.</w:t>
            </w:r>
            <w:r w:rsidR="00211AF6">
              <w:rPr>
                <w:rFonts w:cstheme="minorHAnsi"/>
                <w:iCs/>
                <w:lang w:val="sl-SI"/>
              </w:rPr>
              <w:t xml:space="preserve">  </w:t>
            </w:r>
            <w:r w:rsidR="00F90357" w:rsidRPr="00D27DA9">
              <w:rPr>
                <w:rFonts w:cstheme="minorHAnsi"/>
                <w:iCs/>
                <w:lang w:val="sl-SI"/>
              </w:rPr>
              <w:t>drugače harmonizirali svoje aktivnosti.</w:t>
            </w:r>
          </w:p>
        </w:tc>
        <w:tc>
          <w:tcPr>
            <w:tcW w:w="4253" w:type="dxa"/>
            <w:shd w:val="clear" w:color="auto" w:fill="FFFFFF" w:themeFill="background1"/>
            <w:vAlign w:val="center"/>
          </w:tcPr>
          <w:p w14:paraId="5812A46E" w14:textId="77777777" w:rsidR="00F90357" w:rsidRPr="00D27DA9" w:rsidRDefault="00F90357" w:rsidP="00F90357">
            <w:pPr>
              <w:autoSpaceDE w:val="0"/>
              <w:autoSpaceDN w:val="0"/>
              <w:adjustRightInd w:val="0"/>
              <w:rPr>
                <w:rFonts w:cstheme="minorHAnsi"/>
                <w:iCs/>
                <w:lang w:val="sl-SI"/>
              </w:rPr>
            </w:pPr>
            <w:r w:rsidRPr="00D27DA9">
              <w:rPr>
                <w:rFonts w:cstheme="minorHAnsi"/>
                <w:iCs/>
                <w:lang w:val="sl-SI"/>
              </w:rPr>
              <w:t>Slovenija podpira oblikovanje usklajenih</w:t>
            </w:r>
          </w:p>
          <w:p w14:paraId="634C3149" w14:textId="5E3B04EC" w:rsidR="00AC268A" w:rsidRPr="00D27DA9" w:rsidRDefault="00F90357" w:rsidP="00F90357">
            <w:pPr>
              <w:rPr>
                <w:rFonts w:cstheme="minorHAnsi"/>
                <w:lang w:val="sl-SI"/>
              </w:rPr>
            </w:pPr>
            <w:r w:rsidRPr="00D27DA9">
              <w:rPr>
                <w:rFonts w:cstheme="minorHAnsi"/>
                <w:iCs/>
                <w:lang w:val="sl-SI"/>
              </w:rPr>
              <w:t>zahtev za vzpostavitev zmogljivosti.</w:t>
            </w:r>
          </w:p>
        </w:tc>
      </w:tr>
    </w:tbl>
    <w:p w14:paraId="44CB0747" w14:textId="77777777" w:rsidR="00AC268A" w:rsidRPr="00D27DA9" w:rsidRDefault="00AC268A" w:rsidP="00AC268A">
      <w:pPr>
        <w:spacing w:after="0"/>
        <w:rPr>
          <w:rFonts w:cstheme="minorHAnsi"/>
          <w:b/>
        </w:rPr>
      </w:pPr>
    </w:p>
    <w:p w14:paraId="3BE30C87" w14:textId="77777777" w:rsidR="00AC268A" w:rsidRPr="00D27DA9" w:rsidRDefault="00AC268A" w:rsidP="00AC268A">
      <w:pPr>
        <w:spacing w:after="0"/>
        <w:rPr>
          <w:rFonts w:cstheme="minorHAnsi"/>
          <w:b/>
        </w:rPr>
      </w:pPr>
    </w:p>
    <w:p w14:paraId="106479CD" w14:textId="77777777" w:rsidR="00D44E05" w:rsidRPr="00D27DA9" w:rsidRDefault="00D44E05" w:rsidP="00D54094">
      <w:pPr>
        <w:spacing w:after="0"/>
        <w:rPr>
          <w:rFonts w:cstheme="minorHAnsi"/>
          <w:b/>
        </w:rPr>
      </w:pPr>
    </w:p>
    <w:p w14:paraId="79A17061" w14:textId="77777777" w:rsidR="006E0427" w:rsidRPr="00D27DA9" w:rsidRDefault="006E0427">
      <w:pPr>
        <w:rPr>
          <w:rFonts w:cstheme="minorHAnsi"/>
          <w:b/>
        </w:rPr>
      </w:pPr>
      <w:r w:rsidRPr="00D27DA9">
        <w:rPr>
          <w:rFonts w:cstheme="minorHAnsi"/>
          <w:b/>
        </w:rPr>
        <w:br w:type="page"/>
      </w:r>
    </w:p>
    <w:p w14:paraId="4161414F" w14:textId="7E7051A2" w:rsidR="006E0427" w:rsidRPr="00D27DA9" w:rsidRDefault="006E0427" w:rsidP="006E0427">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cstheme="minorHAnsi"/>
          <w:b/>
        </w:rPr>
      </w:pPr>
      <w:r w:rsidRPr="00D27DA9">
        <w:rPr>
          <w:rFonts w:cstheme="minorHAnsi"/>
          <w:b/>
        </w:rPr>
        <w:lastRenderedPageBreak/>
        <w:t xml:space="preserve">Zaveza 10: </w:t>
      </w:r>
      <w:r w:rsidR="00C6630A" w:rsidRPr="00D27DA9">
        <w:rPr>
          <w:rFonts w:cstheme="minorHAnsi"/>
        </w:rPr>
        <w:t>P</w:t>
      </w:r>
      <w:r w:rsidR="009A1AD2" w:rsidRPr="00D27DA9">
        <w:rPr>
          <w:rFonts w:cstheme="minorHAnsi"/>
        </w:rPr>
        <w:t>reučile možnosti za skupno uporabo obstoječih zmogljivosti zaradi optimizacije razpoložljivih virov in izboljšanja njihove splošne učinkovitosti</w:t>
      </w:r>
      <w:r w:rsidR="00D92D55" w:rsidRPr="00D27DA9">
        <w:rPr>
          <w:rFonts w:cstheme="minorHAnsi"/>
        </w:rPr>
        <w:t>.</w:t>
      </w:r>
    </w:p>
    <w:p w14:paraId="70065167" w14:textId="77777777" w:rsidR="00BB6452" w:rsidRPr="00D27DA9" w:rsidRDefault="00BB6452" w:rsidP="00684DB5">
      <w:pPr>
        <w:spacing w:line="240" w:lineRule="auto"/>
        <w:jc w:val="both"/>
        <w:rPr>
          <w:rFonts w:cstheme="minorHAnsi"/>
          <w:color w:val="000000"/>
        </w:rPr>
      </w:pPr>
    </w:p>
    <w:p w14:paraId="1063881A" w14:textId="77777777" w:rsidR="006E0427" w:rsidRPr="00D27DA9" w:rsidRDefault="006E0427" w:rsidP="006E0427">
      <w:pPr>
        <w:spacing w:after="0"/>
        <w:rPr>
          <w:rFonts w:cstheme="minorHAnsi"/>
        </w:rPr>
      </w:pPr>
    </w:p>
    <w:tbl>
      <w:tblPr>
        <w:tblStyle w:val="Tabelamrea"/>
        <w:tblW w:w="13164" w:type="dxa"/>
        <w:tblInd w:w="8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1115"/>
        <w:gridCol w:w="4111"/>
        <w:gridCol w:w="4111"/>
        <w:gridCol w:w="3827"/>
      </w:tblGrid>
      <w:tr w:rsidR="006E0427" w:rsidRPr="00D27DA9" w14:paraId="26F35E33" w14:textId="77777777" w:rsidTr="00830298">
        <w:trPr>
          <w:trHeight w:val="359"/>
        </w:trPr>
        <w:tc>
          <w:tcPr>
            <w:tcW w:w="1115" w:type="dxa"/>
            <w:shd w:val="clear" w:color="auto" w:fill="F2F2F2" w:themeFill="background1" w:themeFillShade="F2"/>
            <w:vAlign w:val="center"/>
          </w:tcPr>
          <w:p w14:paraId="556900B2" w14:textId="77777777" w:rsidR="006E0427" w:rsidRPr="00D27DA9" w:rsidRDefault="006E0427" w:rsidP="00D362DB">
            <w:pPr>
              <w:jc w:val="center"/>
              <w:rPr>
                <w:rFonts w:eastAsia="Calibri" w:cstheme="minorHAnsi"/>
                <w:b/>
                <w:bCs/>
                <w:lang w:val="sl-SI"/>
              </w:rPr>
            </w:pPr>
          </w:p>
        </w:tc>
        <w:tc>
          <w:tcPr>
            <w:tcW w:w="4111" w:type="dxa"/>
            <w:shd w:val="clear" w:color="auto" w:fill="F2F2F2" w:themeFill="background1" w:themeFillShade="F2"/>
            <w:vAlign w:val="center"/>
          </w:tcPr>
          <w:p w14:paraId="384C8FCC" w14:textId="6AD71C9C" w:rsidR="006E0427" w:rsidRPr="00D27DA9" w:rsidRDefault="00BE0FBA" w:rsidP="00D362DB">
            <w:pPr>
              <w:jc w:val="center"/>
              <w:rPr>
                <w:rFonts w:eastAsia="Calibri" w:cstheme="minorHAnsi"/>
                <w:b/>
                <w:bCs/>
                <w:lang w:val="sl-SI"/>
              </w:rPr>
            </w:pPr>
            <w:r w:rsidRPr="00D27DA9">
              <w:rPr>
                <w:rFonts w:eastAsia="Calibri" w:cstheme="minorHAnsi"/>
                <w:b/>
                <w:bCs/>
                <w:lang w:val="sl-SI"/>
              </w:rPr>
              <w:t>2020</w:t>
            </w:r>
            <w:r w:rsidR="006E0427" w:rsidRPr="00D27DA9">
              <w:rPr>
                <w:rFonts w:eastAsia="Calibri" w:cstheme="minorHAnsi"/>
                <w:b/>
                <w:bCs/>
                <w:lang w:val="sl-SI"/>
              </w:rPr>
              <w:t xml:space="preserve"> </w:t>
            </w:r>
          </w:p>
          <w:p w14:paraId="6C35447F" w14:textId="77777777" w:rsidR="006E0427" w:rsidRPr="00D27DA9" w:rsidRDefault="006E0427" w:rsidP="00D362DB">
            <w:pPr>
              <w:jc w:val="center"/>
              <w:rPr>
                <w:rFonts w:eastAsia="Calibri" w:cstheme="minorHAnsi"/>
                <w:b/>
                <w:bCs/>
                <w:lang w:val="sl-SI"/>
              </w:rPr>
            </w:pPr>
            <w:r w:rsidRPr="00D27DA9">
              <w:rPr>
                <w:rFonts w:eastAsia="Calibri" w:cstheme="minorHAnsi"/>
                <w:b/>
                <w:bCs/>
                <w:lang w:val="sl-SI"/>
              </w:rPr>
              <w:t>(samoocena)</w:t>
            </w:r>
          </w:p>
        </w:tc>
        <w:tc>
          <w:tcPr>
            <w:tcW w:w="4111" w:type="dxa"/>
            <w:shd w:val="clear" w:color="auto" w:fill="F2F2F2" w:themeFill="background1" w:themeFillShade="F2"/>
            <w:vAlign w:val="center"/>
          </w:tcPr>
          <w:p w14:paraId="5291AF9A" w14:textId="42287746" w:rsidR="006E0427" w:rsidRPr="00D27DA9" w:rsidRDefault="00BE0FBA" w:rsidP="00D362DB">
            <w:pPr>
              <w:jc w:val="center"/>
              <w:rPr>
                <w:rFonts w:eastAsia="Calibri" w:cstheme="minorHAnsi"/>
                <w:b/>
                <w:bCs/>
                <w:lang w:val="sl-SI"/>
              </w:rPr>
            </w:pPr>
            <w:r w:rsidRPr="00D27DA9">
              <w:rPr>
                <w:rFonts w:eastAsia="Calibri" w:cstheme="minorHAnsi"/>
                <w:b/>
                <w:bCs/>
                <w:lang w:val="sl-SI"/>
              </w:rPr>
              <w:t>2021</w:t>
            </w:r>
          </w:p>
          <w:p w14:paraId="3A0A7D57" w14:textId="77777777" w:rsidR="006E0427" w:rsidRPr="00D27DA9" w:rsidRDefault="006E0427" w:rsidP="00D362DB">
            <w:pPr>
              <w:jc w:val="center"/>
              <w:rPr>
                <w:rFonts w:eastAsia="Calibri" w:cstheme="minorHAnsi"/>
                <w:b/>
                <w:lang w:val="sl-SI"/>
              </w:rPr>
            </w:pPr>
            <w:r w:rsidRPr="00D27DA9">
              <w:rPr>
                <w:rFonts w:eastAsia="Calibri" w:cstheme="minorHAnsi"/>
                <w:b/>
                <w:bCs/>
                <w:lang w:val="sl-SI"/>
              </w:rPr>
              <w:t>(predvideno)</w:t>
            </w:r>
          </w:p>
        </w:tc>
        <w:tc>
          <w:tcPr>
            <w:tcW w:w="3827" w:type="dxa"/>
            <w:shd w:val="clear" w:color="auto" w:fill="F2F2F2" w:themeFill="background1" w:themeFillShade="F2"/>
            <w:vAlign w:val="center"/>
          </w:tcPr>
          <w:p w14:paraId="3F7736A4" w14:textId="52B222E4" w:rsidR="006E0427" w:rsidRPr="00D27DA9" w:rsidRDefault="00BE0FBA" w:rsidP="00D362DB">
            <w:pPr>
              <w:jc w:val="center"/>
              <w:rPr>
                <w:rFonts w:eastAsia="Calibri" w:cstheme="minorHAnsi"/>
                <w:b/>
                <w:bCs/>
                <w:lang w:val="sl-SI"/>
              </w:rPr>
            </w:pPr>
            <w:r w:rsidRPr="00D27DA9">
              <w:rPr>
                <w:rFonts w:eastAsia="Calibri" w:cstheme="minorHAnsi"/>
                <w:b/>
                <w:bCs/>
                <w:lang w:val="sl-SI"/>
              </w:rPr>
              <w:t>2022</w:t>
            </w:r>
            <w:r w:rsidR="006E0427" w:rsidRPr="00D27DA9">
              <w:rPr>
                <w:rFonts w:eastAsia="Calibri" w:cstheme="minorHAnsi"/>
                <w:b/>
                <w:bCs/>
                <w:lang w:val="sl-SI"/>
              </w:rPr>
              <w:t xml:space="preserve">-2025 </w:t>
            </w:r>
          </w:p>
          <w:p w14:paraId="5B7808B8" w14:textId="77777777" w:rsidR="006E0427" w:rsidRPr="00D27DA9" w:rsidRDefault="006E0427" w:rsidP="00D362DB">
            <w:pPr>
              <w:jc w:val="center"/>
              <w:rPr>
                <w:rFonts w:eastAsia="Calibri" w:cstheme="minorHAnsi"/>
                <w:b/>
                <w:lang w:val="sl-SI"/>
              </w:rPr>
            </w:pPr>
            <w:r w:rsidRPr="00D27DA9">
              <w:rPr>
                <w:rFonts w:eastAsia="Calibri" w:cstheme="minorHAnsi"/>
                <w:b/>
                <w:bCs/>
                <w:lang w:val="sl-SI"/>
              </w:rPr>
              <w:t>(predvideno)</w:t>
            </w:r>
          </w:p>
        </w:tc>
      </w:tr>
      <w:tr w:rsidR="00A50006" w:rsidRPr="00D27DA9" w14:paraId="309AD107" w14:textId="77777777" w:rsidTr="00830298">
        <w:trPr>
          <w:trHeight w:val="3883"/>
        </w:trPr>
        <w:tc>
          <w:tcPr>
            <w:tcW w:w="1115" w:type="dxa"/>
            <w:vAlign w:val="center"/>
          </w:tcPr>
          <w:p w14:paraId="61719ED2" w14:textId="77777777" w:rsidR="00A50006" w:rsidRPr="00D27DA9" w:rsidRDefault="00A50006" w:rsidP="00A50006">
            <w:pPr>
              <w:rPr>
                <w:rFonts w:eastAsia="Calibri" w:cstheme="minorHAnsi"/>
                <w:b/>
                <w:lang w:val="sl-SI"/>
              </w:rPr>
            </w:pPr>
            <w:r w:rsidRPr="00D27DA9">
              <w:rPr>
                <w:rFonts w:eastAsia="Calibri" w:cstheme="minorHAnsi"/>
                <w:b/>
                <w:lang w:val="sl-SI"/>
              </w:rPr>
              <w:t>Zaveza 10</w:t>
            </w:r>
          </w:p>
        </w:tc>
        <w:tc>
          <w:tcPr>
            <w:tcW w:w="4111" w:type="dxa"/>
            <w:vAlign w:val="center"/>
          </w:tcPr>
          <w:p w14:paraId="2DEFFA6C" w14:textId="28EA6EC4" w:rsidR="00A50006" w:rsidRPr="00D27DA9" w:rsidRDefault="00CD382C" w:rsidP="00AE4BAC">
            <w:pPr>
              <w:jc w:val="both"/>
              <w:rPr>
                <w:rFonts w:eastAsia="Calibri" w:cstheme="minorHAnsi"/>
                <w:lang w:val="sl-SI"/>
              </w:rPr>
            </w:pPr>
            <w:r>
              <w:rPr>
                <w:rFonts w:eastAsia="Calibri" w:cstheme="minorHAnsi"/>
                <w:lang w:val="sl-SI"/>
              </w:rPr>
              <w:t xml:space="preserve">Slovenija je </w:t>
            </w:r>
            <w:r w:rsidR="008B1ECC">
              <w:rPr>
                <w:rFonts w:eastAsia="Calibri" w:cstheme="minorHAnsi"/>
                <w:lang w:val="sl-SI"/>
              </w:rPr>
              <w:t>dala na razpolago</w:t>
            </w:r>
            <w:r>
              <w:rPr>
                <w:rFonts w:eastAsia="Calibri" w:cstheme="minorHAnsi"/>
                <w:lang w:val="sl-SI"/>
              </w:rPr>
              <w:t xml:space="preserve"> nacionalno i</w:t>
            </w:r>
            <w:r w:rsidR="00A50006" w:rsidRPr="00D27DA9">
              <w:rPr>
                <w:rFonts w:eastAsia="Calibri" w:cstheme="minorHAnsi"/>
                <w:lang w:val="sl-SI"/>
              </w:rPr>
              <w:t xml:space="preserve">nfrastrukturo za vojaško usposabljanje za potrebe EU. Ostalim državam članicam je </w:t>
            </w:r>
            <w:r w:rsidR="00AE4BAC">
              <w:rPr>
                <w:rFonts w:eastAsia="Calibri" w:cstheme="minorHAnsi"/>
                <w:lang w:val="sl-SI"/>
              </w:rPr>
              <w:t>omogočila uporabo</w:t>
            </w:r>
            <w:r w:rsidR="00A50006" w:rsidRPr="00D27DA9">
              <w:rPr>
                <w:rFonts w:eastAsia="Calibri" w:cstheme="minorHAnsi"/>
                <w:lang w:val="sl-SI"/>
              </w:rPr>
              <w:t xml:space="preserve"> nacionalne zmogljivosti </w:t>
            </w:r>
            <w:r>
              <w:rPr>
                <w:rFonts w:eastAsia="Calibri" w:cstheme="minorHAnsi"/>
                <w:lang w:val="sl-SI"/>
              </w:rPr>
              <w:t xml:space="preserve"> </w:t>
            </w:r>
            <w:r w:rsidR="00A50006" w:rsidRPr="00D27DA9">
              <w:rPr>
                <w:rFonts w:eastAsia="Calibri" w:cstheme="minorHAnsi"/>
                <w:lang w:val="sl-SI"/>
              </w:rPr>
              <w:t>Regionalne šole za usmerjevalce združenih ognjev (AGOS), infrastrukturo Letališča Cerklje ob Krki ter v omejenem obsegu za potrebe usposabljanja in vaj tudi osrednje vadišče Poček.</w:t>
            </w:r>
          </w:p>
        </w:tc>
        <w:tc>
          <w:tcPr>
            <w:tcW w:w="4111" w:type="dxa"/>
            <w:vAlign w:val="center"/>
          </w:tcPr>
          <w:p w14:paraId="7339B26E" w14:textId="3F6E8EBB" w:rsidR="00A50006" w:rsidRPr="00D27DA9" w:rsidRDefault="00A50006" w:rsidP="00CD382C">
            <w:pPr>
              <w:jc w:val="both"/>
              <w:rPr>
                <w:rFonts w:cstheme="minorHAnsi"/>
                <w:lang w:val="sl-SI"/>
              </w:rPr>
            </w:pPr>
            <w:r w:rsidRPr="00D27DA9">
              <w:rPr>
                <w:rFonts w:eastAsia="Calibri" w:cstheme="minorHAnsi"/>
                <w:lang w:val="sl-SI"/>
              </w:rPr>
              <w:t>Slovenija bo ostalim državam čl</w:t>
            </w:r>
            <w:r w:rsidR="00CD382C">
              <w:rPr>
                <w:rFonts w:eastAsia="Calibri" w:cstheme="minorHAnsi"/>
                <w:lang w:val="sl-SI"/>
              </w:rPr>
              <w:t xml:space="preserve">anicam </w:t>
            </w:r>
            <w:r w:rsidRPr="00D27DA9">
              <w:rPr>
                <w:rFonts w:eastAsia="Calibri" w:cstheme="minorHAnsi"/>
                <w:lang w:val="sl-SI"/>
              </w:rPr>
              <w:t xml:space="preserve">ponudila nacionalne zmogljivosti </w:t>
            </w:r>
            <w:r w:rsidR="00CD382C">
              <w:rPr>
                <w:rFonts w:eastAsia="Calibri" w:cstheme="minorHAnsi"/>
                <w:lang w:val="sl-SI"/>
              </w:rPr>
              <w:t xml:space="preserve"> </w:t>
            </w:r>
            <w:r w:rsidRPr="00D27DA9">
              <w:rPr>
                <w:rFonts w:eastAsia="Calibri" w:cstheme="minorHAnsi"/>
                <w:lang w:val="sl-SI"/>
              </w:rPr>
              <w:t>Letališča Cerklje ob Krki ter v omejenem obsegu za potrebe usposabljanja in vaj tudi osrednje vadišče Poček.</w:t>
            </w:r>
          </w:p>
        </w:tc>
        <w:tc>
          <w:tcPr>
            <w:tcW w:w="3827" w:type="dxa"/>
            <w:shd w:val="clear" w:color="auto" w:fill="FFFFFF" w:themeFill="background1"/>
            <w:vAlign w:val="center"/>
          </w:tcPr>
          <w:p w14:paraId="673D1FDD" w14:textId="77777777" w:rsidR="00A50006" w:rsidRPr="00D27DA9" w:rsidRDefault="00A50006" w:rsidP="008B1ECC">
            <w:pPr>
              <w:jc w:val="both"/>
              <w:rPr>
                <w:rFonts w:eastAsia="Calibri" w:cstheme="minorHAnsi"/>
                <w:lang w:val="sl-SI"/>
              </w:rPr>
            </w:pPr>
            <w:r w:rsidRPr="00D27DA9">
              <w:rPr>
                <w:rFonts w:eastAsia="Calibri" w:cstheme="minorHAnsi"/>
                <w:lang w:val="sl-SI"/>
              </w:rPr>
              <w:t>Slovenija bo vzdrževala in nadgrajevala ponudbo uporabe vojaške infrastrukture.</w:t>
            </w:r>
          </w:p>
          <w:p w14:paraId="077F1023" w14:textId="52024D5E" w:rsidR="00A50006" w:rsidRPr="00D27DA9" w:rsidRDefault="00A50006" w:rsidP="00A50006">
            <w:pPr>
              <w:rPr>
                <w:rFonts w:cstheme="minorHAnsi"/>
                <w:lang w:val="sl-SI"/>
              </w:rPr>
            </w:pPr>
          </w:p>
        </w:tc>
      </w:tr>
    </w:tbl>
    <w:p w14:paraId="3E51C9DE" w14:textId="77777777" w:rsidR="006E0427" w:rsidRPr="00D27DA9" w:rsidRDefault="006E0427" w:rsidP="006E0427">
      <w:pPr>
        <w:spacing w:after="0"/>
        <w:rPr>
          <w:rFonts w:cstheme="minorHAnsi"/>
          <w:b/>
        </w:rPr>
      </w:pPr>
    </w:p>
    <w:p w14:paraId="62BA18B2" w14:textId="77777777" w:rsidR="00AC268A" w:rsidRPr="00D27DA9" w:rsidRDefault="00AC268A" w:rsidP="00D54094">
      <w:pPr>
        <w:spacing w:after="0"/>
        <w:rPr>
          <w:rFonts w:cstheme="minorHAnsi"/>
          <w:b/>
        </w:rPr>
      </w:pPr>
    </w:p>
    <w:p w14:paraId="185256B5" w14:textId="77777777" w:rsidR="00020441" w:rsidRPr="00D27DA9" w:rsidRDefault="00020441">
      <w:pPr>
        <w:rPr>
          <w:rFonts w:cstheme="minorHAnsi"/>
          <w:b/>
        </w:rPr>
      </w:pPr>
      <w:r w:rsidRPr="00D27DA9">
        <w:rPr>
          <w:rFonts w:cstheme="minorHAnsi"/>
          <w:b/>
        </w:rPr>
        <w:br w:type="page"/>
      </w:r>
    </w:p>
    <w:p w14:paraId="29D522C4" w14:textId="5912FB67" w:rsidR="00020441" w:rsidRPr="00D27DA9" w:rsidRDefault="00020441" w:rsidP="00020441">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cstheme="minorHAnsi"/>
          <w:b/>
        </w:rPr>
      </w:pPr>
      <w:r w:rsidRPr="00D27DA9">
        <w:rPr>
          <w:rFonts w:cstheme="minorHAnsi"/>
          <w:b/>
        </w:rPr>
        <w:lastRenderedPageBreak/>
        <w:t xml:space="preserve">Zaveza 11: </w:t>
      </w:r>
      <w:r w:rsidR="005478A4" w:rsidRPr="00D27DA9">
        <w:rPr>
          <w:rFonts w:cstheme="minorHAnsi"/>
        </w:rPr>
        <w:t>Z</w:t>
      </w:r>
      <w:r w:rsidR="003F0001" w:rsidRPr="00D27DA9">
        <w:rPr>
          <w:rFonts w:cstheme="minorHAnsi"/>
        </w:rPr>
        <w:t>agotavljale boljše sodelovanje na področju kibernetske varnosti, na primer pri izmenjavi informacij, usposabljanju in operativni podpori</w:t>
      </w:r>
      <w:r w:rsidR="005A588B" w:rsidRPr="00D27DA9">
        <w:rPr>
          <w:rFonts w:cstheme="minorHAnsi"/>
          <w:b/>
        </w:rPr>
        <w:t>.</w:t>
      </w:r>
    </w:p>
    <w:p w14:paraId="1DECB11E" w14:textId="430A05DB" w:rsidR="00D67684" w:rsidRDefault="00D67684" w:rsidP="00145EFA">
      <w:pPr>
        <w:spacing w:line="240" w:lineRule="auto"/>
        <w:jc w:val="both"/>
        <w:rPr>
          <w:rFonts w:cstheme="minorHAnsi"/>
          <w:color w:val="000000"/>
        </w:rPr>
      </w:pPr>
    </w:p>
    <w:p w14:paraId="4B9AD7B1" w14:textId="77777777" w:rsidR="00701148" w:rsidRPr="00D27DA9" w:rsidRDefault="00701148" w:rsidP="00701148">
      <w:pPr>
        <w:pStyle w:val="Odstavekseznama"/>
        <w:numPr>
          <w:ilvl w:val="0"/>
          <w:numId w:val="11"/>
        </w:numPr>
        <w:spacing w:before="240" w:after="60" w:line="256" w:lineRule="auto"/>
        <w:ind w:left="714" w:hanging="357"/>
        <w:rPr>
          <w:rFonts w:cstheme="minorHAnsi"/>
          <w:lang w:val="sl-SI"/>
        </w:rPr>
      </w:pPr>
      <w:r w:rsidRPr="00D27DA9">
        <w:rPr>
          <w:rFonts w:cstheme="minorHAnsi"/>
          <w:lang w:val="sl-SI"/>
        </w:rPr>
        <w:t>Sodelovanje na mednarodnih vajah (Participation in multinational exercises)</w:t>
      </w:r>
    </w:p>
    <w:tbl>
      <w:tblPr>
        <w:tblStyle w:val="Tabelamrea"/>
        <w:tblW w:w="0"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3566"/>
        <w:gridCol w:w="3566"/>
        <w:gridCol w:w="3566"/>
        <w:gridCol w:w="3567"/>
      </w:tblGrid>
      <w:tr w:rsidR="00701148" w:rsidRPr="00D27DA9" w14:paraId="0B1FCF18" w14:textId="77777777" w:rsidTr="00701148">
        <w:trPr>
          <w:trHeight w:val="359"/>
        </w:trPr>
        <w:tc>
          <w:tcPr>
            <w:tcW w:w="3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E5189C1" w14:textId="77777777" w:rsidR="00701148" w:rsidRPr="00D27DA9" w:rsidRDefault="00701148">
            <w:pPr>
              <w:jc w:val="center"/>
              <w:rPr>
                <w:rFonts w:eastAsia="Calibri" w:cstheme="minorHAnsi"/>
                <w:b/>
                <w:bCs/>
                <w:lang w:val="sl-SI"/>
              </w:rPr>
            </w:pPr>
          </w:p>
        </w:tc>
        <w:tc>
          <w:tcPr>
            <w:tcW w:w="3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691E6C87" w14:textId="77777777" w:rsidR="00701148" w:rsidRPr="00D27DA9" w:rsidRDefault="00701148">
            <w:pPr>
              <w:jc w:val="center"/>
              <w:rPr>
                <w:rFonts w:eastAsia="Calibri" w:cstheme="minorHAnsi"/>
                <w:b/>
                <w:bCs/>
                <w:lang w:val="sl-SI"/>
              </w:rPr>
            </w:pPr>
            <w:r w:rsidRPr="00D27DA9">
              <w:rPr>
                <w:rFonts w:eastAsia="Calibri" w:cstheme="minorHAnsi"/>
                <w:b/>
                <w:bCs/>
                <w:lang w:val="sl-SI"/>
              </w:rPr>
              <w:t>2020</w:t>
            </w:r>
          </w:p>
          <w:p w14:paraId="4F3678D1" w14:textId="77777777" w:rsidR="00701148" w:rsidRPr="00D27DA9" w:rsidRDefault="00701148">
            <w:pPr>
              <w:jc w:val="center"/>
              <w:rPr>
                <w:rFonts w:eastAsia="Calibri" w:cstheme="minorHAnsi"/>
                <w:b/>
                <w:bCs/>
                <w:lang w:val="sl-SI"/>
              </w:rPr>
            </w:pPr>
            <w:r w:rsidRPr="00D27DA9">
              <w:rPr>
                <w:rFonts w:eastAsia="Calibri" w:cstheme="minorHAnsi"/>
                <w:b/>
                <w:bCs/>
                <w:lang w:val="sl-SI"/>
              </w:rPr>
              <w:t>(samoocena)</w:t>
            </w:r>
          </w:p>
        </w:tc>
        <w:tc>
          <w:tcPr>
            <w:tcW w:w="3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77C5DAD7" w14:textId="77777777" w:rsidR="00701148" w:rsidRPr="00D27DA9" w:rsidRDefault="00701148">
            <w:pPr>
              <w:jc w:val="center"/>
              <w:rPr>
                <w:rFonts w:eastAsia="Calibri" w:cstheme="minorHAnsi"/>
                <w:b/>
                <w:bCs/>
                <w:lang w:val="sl-SI"/>
              </w:rPr>
            </w:pPr>
            <w:r w:rsidRPr="00D27DA9">
              <w:rPr>
                <w:rFonts w:eastAsia="Calibri" w:cstheme="minorHAnsi"/>
                <w:b/>
                <w:bCs/>
                <w:lang w:val="sl-SI"/>
              </w:rPr>
              <w:t>2021</w:t>
            </w:r>
          </w:p>
          <w:p w14:paraId="7C69600A" w14:textId="77777777" w:rsidR="00701148" w:rsidRPr="00D27DA9" w:rsidRDefault="00701148">
            <w:pPr>
              <w:jc w:val="center"/>
              <w:rPr>
                <w:rFonts w:eastAsia="Calibri" w:cstheme="minorHAnsi"/>
                <w:b/>
                <w:lang w:val="sl-SI"/>
              </w:rPr>
            </w:pPr>
            <w:r w:rsidRPr="00D27DA9">
              <w:rPr>
                <w:rFonts w:eastAsia="Calibri" w:cstheme="minorHAnsi"/>
                <w:b/>
                <w:bCs/>
                <w:lang w:val="sl-SI"/>
              </w:rPr>
              <w:t>(predvideno)</w:t>
            </w:r>
          </w:p>
        </w:tc>
        <w:tc>
          <w:tcPr>
            <w:tcW w:w="356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71965C3C" w14:textId="77777777" w:rsidR="00701148" w:rsidRPr="00D27DA9" w:rsidRDefault="00701148">
            <w:pPr>
              <w:jc w:val="center"/>
              <w:rPr>
                <w:rFonts w:eastAsia="Calibri" w:cstheme="minorHAnsi"/>
                <w:b/>
                <w:bCs/>
                <w:lang w:val="sl-SI"/>
              </w:rPr>
            </w:pPr>
            <w:r w:rsidRPr="00D27DA9">
              <w:rPr>
                <w:rFonts w:eastAsia="Calibri" w:cstheme="minorHAnsi"/>
                <w:b/>
                <w:bCs/>
                <w:lang w:val="sl-SI"/>
              </w:rPr>
              <w:t xml:space="preserve">2022-2025 </w:t>
            </w:r>
          </w:p>
          <w:p w14:paraId="305D6CB3" w14:textId="77777777" w:rsidR="00701148" w:rsidRPr="00D27DA9" w:rsidRDefault="00701148">
            <w:pPr>
              <w:jc w:val="center"/>
              <w:rPr>
                <w:rFonts w:eastAsia="Calibri" w:cstheme="minorHAnsi"/>
                <w:b/>
                <w:lang w:val="sl-SI"/>
              </w:rPr>
            </w:pPr>
            <w:r w:rsidRPr="00D27DA9">
              <w:rPr>
                <w:rFonts w:eastAsia="Calibri" w:cstheme="minorHAnsi"/>
                <w:b/>
                <w:bCs/>
                <w:lang w:val="sl-SI"/>
              </w:rPr>
              <w:t>(predvideno)</w:t>
            </w:r>
          </w:p>
        </w:tc>
      </w:tr>
      <w:tr w:rsidR="00701148" w:rsidRPr="00D27DA9" w14:paraId="7566EB61" w14:textId="77777777" w:rsidTr="00701148">
        <w:trPr>
          <w:trHeight w:val="2728"/>
        </w:trPr>
        <w:tc>
          <w:tcPr>
            <w:tcW w:w="3566" w:type="dxa"/>
            <w:tcBorders>
              <w:top w:val="single" w:sz="12" w:space="0" w:color="auto"/>
              <w:left w:val="single" w:sz="12" w:space="0" w:color="auto"/>
              <w:bottom w:val="single" w:sz="12" w:space="0" w:color="auto"/>
              <w:right w:val="single" w:sz="12" w:space="0" w:color="auto"/>
            </w:tcBorders>
            <w:hideMark/>
          </w:tcPr>
          <w:p w14:paraId="32127168" w14:textId="77777777" w:rsidR="00701148" w:rsidRPr="00D27DA9" w:rsidRDefault="00701148" w:rsidP="00F70C15">
            <w:pPr>
              <w:jc w:val="both"/>
              <w:rPr>
                <w:rFonts w:eastAsia="Calibri" w:cstheme="minorHAnsi"/>
                <w:lang w:val="sl-SI"/>
              </w:rPr>
            </w:pPr>
            <w:r w:rsidRPr="00D27DA9">
              <w:rPr>
                <w:rFonts w:cstheme="minorHAnsi"/>
                <w:bCs/>
                <w:iCs/>
                <w:lang w:val="sl-SI"/>
              </w:rPr>
              <w:t xml:space="preserve">Podan je delež mednarodnih vaj glede na skupno število nacionalnih in mednarodnih vaj, v katerih Slovenija sodeluje.  </w:t>
            </w:r>
            <w:r w:rsidRPr="00D27DA9">
              <w:rPr>
                <w:rFonts w:eastAsia="Calibri" w:cstheme="minorHAnsi"/>
                <w:lang w:val="sl-SI"/>
              </w:rPr>
              <w:t xml:space="preserve">Vaja Cyber Coalition je v Sloveniji dopolnjena z nacionalno vajo. Na ta način Slovenija optimira vire tako za pripravo kot tudi za izvajanje nacionalne vaje. </w:t>
            </w:r>
            <w:r w:rsidRPr="00D27DA9">
              <w:rPr>
                <w:rFonts w:cstheme="minorHAnsi"/>
                <w:bCs/>
                <w:iCs/>
                <w:lang w:val="sl-SI"/>
              </w:rPr>
              <w:t xml:space="preserve">Vaja Cyber </w:t>
            </w:r>
            <w:r w:rsidR="001C2D4A" w:rsidRPr="00D27DA9">
              <w:rPr>
                <w:rFonts w:cstheme="minorHAnsi"/>
                <w:bCs/>
                <w:iCs/>
                <w:lang w:val="sl-SI"/>
              </w:rPr>
              <w:t>Coalition</w:t>
            </w:r>
            <w:r w:rsidRPr="00D27DA9">
              <w:rPr>
                <w:rFonts w:cstheme="minorHAnsi"/>
                <w:bCs/>
                <w:iCs/>
                <w:lang w:val="sl-SI"/>
              </w:rPr>
              <w:t xml:space="preserve">  je za potrebe tega poročila šteta dvakrat, </w:t>
            </w:r>
            <w:r w:rsidRPr="00D27DA9">
              <w:rPr>
                <w:rFonts w:eastAsia="Calibri" w:cstheme="minorHAnsi"/>
                <w:lang w:val="sl-SI"/>
              </w:rPr>
              <w:t>enkrat kot domača in drugič kot mednarodna vaja.</w:t>
            </w:r>
          </w:p>
          <w:p w14:paraId="1A54A717" w14:textId="77777777" w:rsidR="001C2D4A" w:rsidRPr="00D27DA9" w:rsidRDefault="001C2D4A" w:rsidP="001C2D4A">
            <w:pPr>
              <w:rPr>
                <w:rFonts w:eastAsia="Calibri" w:cstheme="minorHAnsi"/>
                <w:lang w:val="sl-SI"/>
              </w:rPr>
            </w:pPr>
          </w:p>
          <w:p w14:paraId="3F90E491" w14:textId="77777777" w:rsidR="009D11D1" w:rsidRPr="00D27DA9" w:rsidRDefault="009D11D1" w:rsidP="001C2D4A">
            <w:pPr>
              <w:autoSpaceDE w:val="0"/>
              <w:autoSpaceDN w:val="0"/>
              <w:adjustRightInd w:val="0"/>
              <w:jc w:val="both"/>
              <w:rPr>
                <w:rFonts w:cstheme="minorHAnsi"/>
                <w:iCs/>
                <w:lang w:val="sl-SI"/>
              </w:rPr>
            </w:pPr>
          </w:p>
          <w:p w14:paraId="5E588ACF" w14:textId="33C1332D" w:rsidR="009D11D1" w:rsidRPr="00D27DA9" w:rsidRDefault="009D11D1" w:rsidP="009D11D1">
            <w:pPr>
              <w:autoSpaceDE w:val="0"/>
              <w:autoSpaceDN w:val="0"/>
              <w:adjustRightInd w:val="0"/>
              <w:jc w:val="both"/>
              <w:rPr>
                <w:rFonts w:cstheme="minorHAnsi"/>
                <w:bCs/>
                <w:iCs/>
                <w:lang w:val="sl-SI"/>
              </w:rPr>
            </w:pPr>
          </w:p>
        </w:tc>
        <w:tc>
          <w:tcPr>
            <w:tcW w:w="3566" w:type="dxa"/>
            <w:tcBorders>
              <w:top w:val="single" w:sz="12" w:space="0" w:color="auto"/>
              <w:left w:val="single" w:sz="12" w:space="0" w:color="auto"/>
              <w:bottom w:val="single" w:sz="12" w:space="0" w:color="auto"/>
              <w:right w:val="single" w:sz="12" w:space="0" w:color="auto"/>
            </w:tcBorders>
          </w:tcPr>
          <w:p w14:paraId="6F4D7434" w14:textId="0009C1F5" w:rsidR="001C2D4A" w:rsidRPr="00D27DA9" w:rsidRDefault="00AE4BAC" w:rsidP="001C2D4A">
            <w:pPr>
              <w:autoSpaceDE w:val="0"/>
              <w:autoSpaceDN w:val="0"/>
              <w:adjustRightInd w:val="0"/>
              <w:rPr>
                <w:rFonts w:cstheme="minorHAnsi"/>
                <w:iCs/>
                <w:lang w:val="sl-SI"/>
              </w:rPr>
            </w:pPr>
            <w:r>
              <w:rPr>
                <w:rFonts w:cstheme="minorHAnsi"/>
                <w:iCs/>
                <w:lang w:val="sl-SI"/>
              </w:rPr>
              <w:t>Delež sodelovanja</w:t>
            </w:r>
            <w:r w:rsidR="001C2D4A" w:rsidRPr="00D27DA9">
              <w:rPr>
                <w:rFonts w:cstheme="minorHAnsi"/>
                <w:iCs/>
                <w:lang w:val="sl-SI"/>
              </w:rPr>
              <w:t xml:space="preserve"> v mednarodnih vajah s</w:t>
            </w:r>
            <w:r>
              <w:rPr>
                <w:rFonts w:cstheme="minorHAnsi"/>
                <w:iCs/>
                <w:lang w:val="sl-SI"/>
              </w:rPr>
              <w:t xml:space="preserve"> </w:t>
            </w:r>
            <w:r w:rsidR="001C2D4A" w:rsidRPr="00D27DA9">
              <w:rPr>
                <w:rFonts w:cstheme="minorHAnsi"/>
                <w:iCs/>
                <w:lang w:val="sl-SI"/>
              </w:rPr>
              <w:t>področja kibernetske varnosti je</w:t>
            </w:r>
            <w:r>
              <w:rPr>
                <w:rFonts w:cstheme="minorHAnsi"/>
                <w:iCs/>
                <w:lang w:val="sl-SI"/>
              </w:rPr>
              <w:t xml:space="preserve"> </w:t>
            </w:r>
            <w:r w:rsidR="001C2D4A" w:rsidRPr="00D27DA9">
              <w:rPr>
                <w:rFonts w:cstheme="minorHAnsi"/>
                <w:iCs/>
                <w:lang w:val="sl-SI"/>
              </w:rPr>
              <w:t>znašalo v letu 2020 66,66%.</w:t>
            </w:r>
          </w:p>
          <w:p w14:paraId="05D1FECB" w14:textId="096FE2F5" w:rsidR="00701148" w:rsidRPr="00D27DA9" w:rsidRDefault="001C2D4A" w:rsidP="001C2D4A">
            <w:pPr>
              <w:rPr>
                <w:rFonts w:cstheme="minorHAnsi"/>
                <w:iCs/>
                <w:lang w:val="sl-SI"/>
              </w:rPr>
            </w:pPr>
            <w:r w:rsidRPr="00D27DA9">
              <w:rPr>
                <w:rFonts w:cstheme="minorHAnsi"/>
                <w:iCs/>
                <w:lang w:val="sl-SI"/>
              </w:rPr>
              <w:t xml:space="preserve"> </w:t>
            </w:r>
            <w:r w:rsidR="00701148" w:rsidRPr="00D27DA9">
              <w:rPr>
                <w:rFonts w:cstheme="minorHAnsi"/>
                <w:iCs/>
                <w:lang w:val="sl-SI"/>
              </w:rPr>
              <w:t xml:space="preserve">(2/3) </w:t>
            </w:r>
          </w:p>
          <w:p w14:paraId="6428722F" w14:textId="77777777" w:rsidR="00701148" w:rsidRPr="00D27DA9" w:rsidRDefault="00701148">
            <w:pPr>
              <w:rPr>
                <w:rFonts w:eastAsia="Times New Roman" w:cstheme="minorHAnsi"/>
                <w:iCs/>
                <w:lang w:val="sl-SI" w:eastAsia="sl-SI"/>
              </w:rPr>
            </w:pPr>
            <w:r w:rsidRPr="00D27DA9">
              <w:rPr>
                <w:rFonts w:eastAsia="Times New Roman" w:cstheme="minorHAnsi"/>
                <w:iCs/>
                <w:lang w:val="sl-SI" w:eastAsia="sl-SI"/>
              </w:rPr>
              <w:t>Vaje:</w:t>
            </w:r>
          </w:p>
          <w:p w14:paraId="7EB15701" w14:textId="77777777" w:rsidR="00701148" w:rsidRPr="00D27DA9" w:rsidRDefault="00701148" w:rsidP="001C2D4A">
            <w:pPr>
              <w:pStyle w:val="Odstavekseznama"/>
              <w:numPr>
                <w:ilvl w:val="0"/>
                <w:numId w:val="14"/>
              </w:numPr>
              <w:spacing w:after="0" w:line="240" w:lineRule="auto"/>
              <w:ind w:left="444"/>
              <w:rPr>
                <w:rFonts w:eastAsia="Calibri" w:cstheme="minorHAnsi"/>
                <w:lang w:val="sl-SI"/>
              </w:rPr>
            </w:pPr>
            <w:r w:rsidRPr="00D27DA9">
              <w:rPr>
                <w:rFonts w:eastAsia="Calibri" w:cstheme="minorHAnsi"/>
                <w:lang w:val="sl-SI"/>
              </w:rPr>
              <w:t>Cyber Coalition 2020 (mednarodna in domača)</w:t>
            </w:r>
          </w:p>
          <w:p w14:paraId="7463AAB6" w14:textId="77777777" w:rsidR="00701148" w:rsidRPr="00D27DA9" w:rsidRDefault="00701148" w:rsidP="001C2D4A">
            <w:pPr>
              <w:pStyle w:val="Odstavekseznama"/>
              <w:numPr>
                <w:ilvl w:val="0"/>
                <w:numId w:val="14"/>
              </w:numPr>
              <w:spacing w:after="60" w:line="240" w:lineRule="auto"/>
              <w:ind w:left="444"/>
              <w:rPr>
                <w:rFonts w:eastAsia="Calibri" w:cstheme="minorHAnsi"/>
                <w:lang w:val="sl-SI"/>
              </w:rPr>
            </w:pPr>
            <w:r w:rsidRPr="00D27DA9">
              <w:rPr>
                <w:rFonts w:eastAsia="Calibri" w:cstheme="minorHAnsi"/>
                <w:lang w:val="sl-SI"/>
              </w:rPr>
              <w:t>Cyber Endeavour (mednarodna)</w:t>
            </w:r>
          </w:p>
          <w:p w14:paraId="58CAE59D" w14:textId="28591D5A" w:rsidR="009D11D1" w:rsidRPr="00D27DA9" w:rsidRDefault="009D11D1" w:rsidP="009D11D1">
            <w:pPr>
              <w:rPr>
                <w:rFonts w:cstheme="minorHAnsi"/>
                <w:iCs/>
                <w:lang w:val="sl-SI"/>
              </w:rPr>
            </w:pPr>
          </w:p>
          <w:p w14:paraId="029B2A9B" w14:textId="77777777" w:rsidR="00E4747B" w:rsidRDefault="00E4747B" w:rsidP="00E4747B">
            <w:pPr>
              <w:autoSpaceDE w:val="0"/>
              <w:autoSpaceDN w:val="0"/>
              <w:adjustRightInd w:val="0"/>
              <w:jc w:val="both"/>
              <w:rPr>
                <w:rFonts w:cstheme="minorHAnsi"/>
                <w:iCs/>
                <w:lang w:val="sl-SI"/>
              </w:rPr>
            </w:pPr>
          </w:p>
          <w:p w14:paraId="3C602BE3" w14:textId="15D51260" w:rsidR="00E4747B" w:rsidRPr="00D27DA9" w:rsidRDefault="00172B3C" w:rsidP="00172B3C">
            <w:pPr>
              <w:autoSpaceDE w:val="0"/>
              <w:autoSpaceDN w:val="0"/>
              <w:adjustRightInd w:val="0"/>
              <w:jc w:val="both"/>
              <w:rPr>
                <w:rFonts w:eastAsia="Calibri" w:cstheme="minorHAnsi"/>
                <w:lang w:val="sl-SI"/>
              </w:rPr>
            </w:pPr>
            <w:r w:rsidRPr="00D27DA9">
              <w:rPr>
                <w:rFonts w:cstheme="minorHAnsi"/>
                <w:lang w:val="sl-SI"/>
              </w:rPr>
              <w:t>V letu 2020 je  Slovenija v okviru predsedovanja CEDC nameravala organizirati »table top« vajo, ki naj bi bila odigrana v času ministrskega srečanja in bi naslavljala hibridne grožnje, predvidoma z elementi kibernetskih napadov, vendar smo zaradi pandemije COVID-19 izvedbo vaje odpovedali.</w:t>
            </w:r>
          </w:p>
        </w:tc>
        <w:tc>
          <w:tcPr>
            <w:tcW w:w="3566" w:type="dxa"/>
            <w:tcBorders>
              <w:top w:val="single" w:sz="12" w:space="0" w:color="auto"/>
              <w:left w:val="single" w:sz="12" w:space="0" w:color="auto"/>
              <w:bottom w:val="single" w:sz="12" w:space="0" w:color="auto"/>
              <w:right w:val="single" w:sz="12" w:space="0" w:color="auto"/>
            </w:tcBorders>
          </w:tcPr>
          <w:p w14:paraId="5080713D" w14:textId="77777777" w:rsidR="00701148" w:rsidRPr="00D27DA9" w:rsidRDefault="00701148">
            <w:pPr>
              <w:rPr>
                <w:rFonts w:cstheme="minorHAnsi"/>
                <w:iCs/>
                <w:lang w:val="sl-SI"/>
              </w:rPr>
            </w:pPr>
            <w:r w:rsidRPr="00D27DA9">
              <w:rPr>
                <w:rFonts w:cstheme="minorHAnsi"/>
                <w:iCs/>
                <w:lang w:val="sl-SI"/>
              </w:rPr>
              <w:t>100% (7/7)</w:t>
            </w:r>
          </w:p>
          <w:p w14:paraId="6A851FD4" w14:textId="77777777" w:rsidR="00701148" w:rsidRPr="00D27DA9" w:rsidRDefault="00701148">
            <w:pPr>
              <w:rPr>
                <w:rFonts w:eastAsia="Times New Roman" w:cstheme="minorHAnsi"/>
                <w:iCs/>
                <w:lang w:val="sl-SI" w:eastAsia="sl-SI"/>
              </w:rPr>
            </w:pPr>
            <w:r w:rsidRPr="00D27DA9">
              <w:rPr>
                <w:rFonts w:eastAsia="Times New Roman" w:cstheme="minorHAnsi"/>
                <w:iCs/>
                <w:lang w:val="sl-SI" w:eastAsia="sl-SI"/>
              </w:rPr>
              <w:t>Vaje:</w:t>
            </w:r>
          </w:p>
          <w:p w14:paraId="1022ECB9" w14:textId="77777777" w:rsidR="00701148" w:rsidRPr="00D27DA9" w:rsidRDefault="00701148" w:rsidP="001C2D4A">
            <w:pPr>
              <w:pStyle w:val="Odstavekseznama"/>
              <w:numPr>
                <w:ilvl w:val="0"/>
                <w:numId w:val="15"/>
              </w:numPr>
              <w:spacing w:after="0" w:line="240" w:lineRule="auto"/>
              <w:ind w:left="276" w:hanging="142"/>
              <w:rPr>
                <w:rFonts w:eastAsia="Calibri" w:cstheme="minorHAnsi"/>
                <w:lang w:val="sl-SI"/>
              </w:rPr>
            </w:pPr>
            <w:r w:rsidRPr="00D27DA9">
              <w:rPr>
                <w:rFonts w:eastAsia="Calibri" w:cstheme="minorHAnsi"/>
                <w:lang w:val="sl-SI"/>
              </w:rPr>
              <w:t>Locked Shields 21 (mednarodna)</w:t>
            </w:r>
          </w:p>
          <w:p w14:paraId="26E02D7B" w14:textId="77777777" w:rsidR="00701148" w:rsidRPr="00D27DA9" w:rsidRDefault="00701148" w:rsidP="001C2D4A">
            <w:pPr>
              <w:pStyle w:val="Odstavekseznama"/>
              <w:numPr>
                <w:ilvl w:val="0"/>
                <w:numId w:val="15"/>
              </w:numPr>
              <w:spacing w:after="0" w:line="240" w:lineRule="auto"/>
              <w:ind w:left="276" w:hanging="142"/>
              <w:rPr>
                <w:rFonts w:eastAsia="Calibri" w:cstheme="minorHAnsi"/>
                <w:lang w:val="sl-SI"/>
              </w:rPr>
            </w:pPr>
            <w:r w:rsidRPr="00D27DA9">
              <w:rPr>
                <w:rFonts w:eastAsia="Calibri" w:cstheme="minorHAnsi"/>
                <w:lang w:val="sl-SI"/>
              </w:rPr>
              <w:t>Cyber Coalition 2021 (mednarodna in domača)</w:t>
            </w:r>
          </w:p>
          <w:p w14:paraId="013D8AF9" w14:textId="77777777" w:rsidR="00701148" w:rsidRPr="00D27DA9" w:rsidRDefault="00701148" w:rsidP="001C2D4A">
            <w:pPr>
              <w:pStyle w:val="Odstavekseznama"/>
              <w:numPr>
                <w:ilvl w:val="0"/>
                <w:numId w:val="15"/>
              </w:numPr>
              <w:spacing w:after="0" w:line="240" w:lineRule="auto"/>
              <w:ind w:left="276" w:hanging="142"/>
              <w:rPr>
                <w:rFonts w:eastAsia="Calibri" w:cstheme="minorHAnsi"/>
                <w:lang w:val="sl-SI"/>
              </w:rPr>
            </w:pPr>
            <w:r w:rsidRPr="00D27DA9">
              <w:rPr>
                <w:rFonts w:eastAsia="Calibri" w:cstheme="minorHAnsi"/>
                <w:lang w:val="sl-SI"/>
              </w:rPr>
              <w:t>Cyber Endeavour (mednarodna)</w:t>
            </w:r>
          </w:p>
          <w:p w14:paraId="31092A48" w14:textId="77777777" w:rsidR="00701148" w:rsidRPr="00D27DA9" w:rsidRDefault="00701148" w:rsidP="001C2D4A">
            <w:pPr>
              <w:pStyle w:val="Odstavekseznama"/>
              <w:numPr>
                <w:ilvl w:val="0"/>
                <w:numId w:val="15"/>
              </w:numPr>
              <w:spacing w:after="0" w:line="240" w:lineRule="auto"/>
              <w:ind w:left="276" w:hanging="142"/>
              <w:rPr>
                <w:rFonts w:eastAsia="Calibri" w:cstheme="minorHAnsi"/>
                <w:lang w:val="sl-SI"/>
              </w:rPr>
            </w:pPr>
            <w:r w:rsidRPr="00D27DA9">
              <w:rPr>
                <w:rFonts w:eastAsia="Calibri" w:cstheme="minorHAnsi"/>
                <w:bCs/>
                <w:lang w:val="sl-SI"/>
              </w:rPr>
              <w:t>A5+CPE (mednarodna)</w:t>
            </w:r>
          </w:p>
          <w:p w14:paraId="47A7CBFF" w14:textId="77777777" w:rsidR="00701148" w:rsidRPr="00D27DA9" w:rsidRDefault="00701148" w:rsidP="001C2D4A">
            <w:pPr>
              <w:pStyle w:val="Odstavekseznama"/>
              <w:numPr>
                <w:ilvl w:val="0"/>
                <w:numId w:val="15"/>
              </w:numPr>
              <w:spacing w:after="0" w:line="240" w:lineRule="auto"/>
              <w:ind w:left="276" w:hanging="142"/>
              <w:rPr>
                <w:rFonts w:eastAsia="Calibri" w:cstheme="minorHAnsi"/>
                <w:lang w:val="sl-SI"/>
              </w:rPr>
            </w:pPr>
            <w:r w:rsidRPr="00D27DA9">
              <w:rPr>
                <w:rFonts w:eastAsia="Calibri" w:cstheme="minorHAnsi"/>
                <w:lang w:val="sl-SI"/>
              </w:rPr>
              <w:t>Cyber Integration (mednarodna)</w:t>
            </w:r>
          </w:p>
          <w:p w14:paraId="0B49D1B1" w14:textId="77777777" w:rsidR="00701148" w:rsidRPr="00D27DA9" w:rsidRDefault="00701148" w:rsidP="001C2D4A">
            <w:pPr>
              <w:pStyle w:val="Odstavekseznama"/>
              <w:numPr>
                <w:ilvl w:val="0"/>
                <w:numId w:val="15"/>
              </w:numPr>
              <w:spacing w:after="0" w:line="240" w:lineRule="auto"/>
              <w:ind w:left="276" w:hanging="142"/>
              <w:rPr>
                <w:rFonts w:eastAsia="Calibri" w:cstheme="minorHAnsi"/>
                <w:lang w:val="sl-SI"/>
              </w:rPr>
            </w:pPr>
            <w:r w:rsidRPr="00D27DA9">
              <w:rPr>
                <w:rFonts w:cstheme="minorHAnsi"/>
                <w:lang w:val="sl-SI"/>
              </w:rPr>
              <w:t>KIVA 21 (mednarodna)</w:t>
            </w:r>
          </w:p>
          <w:p w14:paraId="29FE1937" w14:textId="77777777" w:rsidR="00701148" w:rsidRPr="00D27DA9" w:rsidRDefault="00701148" w:rsidP="001C2D4A">
            <w:pPr>
              <w:pStyle w:val="Odstavekseznama"/>
              <w:numPr>
                <w:ilvl w:val="0"/>
                <w:numId w:val="15"/>
              </w:numPr>
              <w:spacing w:after="0" w:line="240" w:lineRule="auto"/>
              <w:ind w:left="276" w:hanging="142"/>
              <w:rPr>
                <w:rFonts w:eastAsia="Times New Roman" w:cstheme="minorHAnsi"/>
                <w:iCs/>
                <w:lang w:val="sl-SI" w:eastAsia="sl-SI"/>
              </w:rPr>
            </w:pPr>
            <w:r w:rsidRPr="00D27DA9">
              <w:rPr>
                <w:rFonts w:cstheme="minorHAnsi"/>
                <w:iCs/>
                <w:lang w:val="sl-SI"/>
              </w:rPr>
              <w:t xml:space="preserve">(Ref. dok. št. </w:t>
            </w:r>
            <w:r w:rsidRPr="00D27DA9">
              <w:rPr>
                <w:rFonts w:cstheme="minorHAnsi"/>
                <w:lang w:val="sl-SI"/>
              </w:rPr>
              <w:t xml:space="preserve">84300-15/2020/4 </w:t>
            </w:r>
            <w:r w:rsidRPr="00D27DA9">
              <w:rPr>
                <w:rFonts w:eastAsia="Times New Roman" w:cstheme="minorHAnsi"/>
                <w:iCs/>
                <w:lang w:val="sl-SI" w:eastAsia="sl-SI"/>
              </w:rPr>
              <w:t>z dne 7. 1. 2021)</w:t>
            </w:r>
          </w:p>
          <w:p w14:paraId="141A2960" w14:textId="77777777" w:rsidR="00701148" w:rsidRPr="00D27DA9" w:rsidRDefault="00701148" w:rsidP="001C2D4A">
            <w:pPr>
              <w:pStyle w:val="Odstavekseznama"/>
              <w:numPr>
                <w:ilvl w:val="0"/>
                <w:numId w:val="15"/>
              </w:numPr>
              <w:spacing w:after="0" w:line="240" w:lineRule="auto"/>
              <w:ind w:left="276" w:hanging="142"/>
              <w:rPr>
                <w:rFonts w:eastAsia="Calibri" w:cstheme="minorHAnsi"/>
                <w:lang w:val="sl-SI"/>
              </w:rPr>
            </w:pPr>
            <w:r w:rsidRPr="00D27DA9">
              <w:rPr>
                <w:rFonts w:eastAsia="Calibri" w:cstheme="minorHAnsi"/>
                <w:lang w:val="sl-SI"/>
              </w:rPr>
              <w:t>MIC 21 - 1</w:t>
            </w:r>
            <w:r w:rsidRPr="00D27DA9">
              <w:rPr>
                <w:rFonts w:eastAsia="Calibri" w:cstheme="minorHAnsi"/>
                <w:vertAlign w:val="superscript"/>
                <w:lang w:val="sl-SI"/>
              </w:rPr>
              <w:t>st</w:t>
            </w:r>
            <w:r w:rsidRPr="00D27DA9">
              <w:rPr>
                <w:rFonts w:eastAsia="Calibri" w:cstheme="minorHAnsi"/>
                <w:lang w:val="sl-SI"/>
              </w:rPr>
              <w:t xml:space="preserve"> MilCERTs’ Interoperability Conference (konferenca in tehnična vaja - mednarodna)</w:t>
            </w:r>
          </w:p>
          <w:p w14:paraId="4AB20BE9" w14:textId="77777777" w:rsidR="00701148" w:rsidRPr="00D27DA9" w:rsidRDefault="00701148">
            <w:pPr>
              <w:rPr>
                <w:rFonts w:eastAsia="Calibri" w:cstheme="minorHAnsi"/>
                <w:lang w:val="sl-SI"/>
              </w:rPr>
            </w:pPr>
          </w:p>
          <w:p w14:paraId="65496256" w14:textId="77777777" w:rsidR="00172B3C" w:rsidRDefault="00172B3C" w:rsidP="00172B3C">
            <w:pPr>
              <w:jc w:val="both"/>
              <w:rPr>
                <w:rFonts w:cstheme="minorHAnsi"/>
                <w:lang w:val="sl-SI"/>
              </w:rPr>
            </w:pPr>
            <w:r w:rsidRPr="00D27DA9">
              <w:rPr>
                <w:rFonts w:cstheme="minorHAnsi"/>
                <w:lang w:val="sl-SI"/>
              </w:rPr>
              <w:t>V kolikor bo predsedujoča država v okviru Pobude za obrambno sodelovanje držav srednje Evrope (CEDC) izvajala aktivnosti na področju kibernetske varnosti, je Slovenija pripravljena aktivno sodelovati, v skladu z nacionalnimi prioritetami in zmogljivostmi</w:t>
            </w:r>
            <w:r>
              <w:rPr>
                <w:rFonts w:cstheme="minorHAnsi"/>
                <w:lang w:val="sl-SI"/>
              </w:rPr>
              <w:t xml:space="preserve">. </w:t>
            </w:r>
          </w:p>
          <w:p w14:paraId="5254C530" w14:textId="77777777" w:rsidR="00172B3C" w:rsidRDefault="00172B3C" w:rsidP="00172B3C">
            <w:pPr>
              <w:autoSpaceDE w:val="0"/>
              <w:autoSpaceDN w:val="0"/>
              <w:adjustRightInd w:val="0"/>
              <w:jc w:val="both"/>
              <w:rPr>
                <w:rFonts w:cstheme="minorHAnsi"/>
                <w:iCs/>
                <w:lang w:val="sl-SI"/>
              </w:rPr>
            </w:pPr>
          </w:p>
          <w:p w14:paraId="7975EF86" w14:textId="01F29542" w:rsidR="00172B3C" w:rsidRPr="00D27DA9" w:rsidRDefault="00172B3C" w:rsidP="00172B3C">
            <w:pPr>
              <w:autoSpaceDE w:val="0"/>
              <w:autoSpaceDN w:val="0"/>
              <w:adjustRightInd w:val="0"/>
              <w:jc w:val="both"/>
              <w:rPr>
                <w:rFonts w:cstheme="minorHAnsi"/>
                <w:iCs/>
                <w:lang w:val="sl-SI"/>
              </w:rPr>
            </w:pPr>
            <w:r w:rsidRPr="00D27DA9">
              <w:rPr>
                <w:rFonts w:cstheme="minorHAnsi"/>
                <w:iCs/>
                <w:lang w:val="sl-SI"/>
              </w:rPr>
              <w:t>Na področju Obveščevalno varn</w:t>
            </w:r>
            <w:r>
              <w:rPr>
                <w:rFonts w:cstheme="minorHAnsi"/>
                <w:iCs/>
                <w:lang w:val="sl-SI"/>
              </w:rPr>
              <w:t>o</w:t>
            </w:r>
            <w:r w:rsidRPr="00D27DA9">
              <w:rPr>
                <w:rFonts w:cstheme="minorHAnsi"/>
                <w:iCs/>
                <w:lang w:val="sl-SI"/>
              </w:rPr>
              <w:t>stne službe</w:t>
            </w:r>
            <w:r>
              <w:rPr>
                <w:rFonts w:cstheme="minorHAnsi"/>
                <w:iCs/>
                <w:lang w:val="sl-SI"/>
              </w:rPr>
              <w:t xml:space="preserve"> (OVS)</w:t>
            </w:r>
            <w:r w:rsidRPr="00D27DA9">
              <w:rPr>
                <w:rFonts w:cstheme="minorHAnsi"/>
                <w:iCs/>
                <w:lang w:val="sl-SI"/>
              </w:rPr>
              <w:t xml:space="preserve"> se načrtuje aktivno </w:t>
            </w:r>
            <w:r w:rsidRPr="00D27DA9">
              <w:rPr>
                <w:rFonts w:cstheme="minorHAnsi"/>
                <w:iCs/>
                <w:lang w:val="sl-SI"/>
              </w:rPr>
              <w:lastRenderedPageBreak/>
              <w:t>sodelovanje v projektu pametne obrambe Nata za izmenjavo informacij o škodljivih kodah (Malware Information Sharing Platform - MISP, CD Education&amp;Training), s sodelovanjem na sestankih in redno uporabo platform ter objavo informacij.</w:t>
            </w:r>
          </w:p>
          <w:p w14:paraId="3C72F12C" w14:textId="77777777" w:rsidR="00172B3C" w:rsidRPr="00D27DA9" w:rsidRDefault="00172B3C" w:rsidP="00172B3C">
            <w:pPr>
              <w:autoSpaceDE w:val="0"/>
              <w:autoSpaceDN w:val="0"/>
              <w:adjustRightInd w:val="0"/>
              <w:jc w:val="both"/>
              <w:rPr>
                <w:rFonts w:cstheme="minorHAnsi"/>
                <w:iCs/>
                <w:lang w:val="sl-SI"/>
              </w:rPr>
            </w:pPr>
            <w:r w:rsidRPr="00D27DA9">
              <w:rPr>
                <w:rFonts w:cstheme="minorHAnsi"/>
                <w:iCs/>
                <w:lang w:val="sl-SI"/>
              </w:rPr>
              <w:t>Na področju dela O</w:t>
            </w:r>
            <w:r>
              <w:rPr>
                <w:rFonts w:cstheme="minorHAnsi"/>
                <w:iCs/>
                <w:lang w:val="sl-SI"/>
              </w:rPr>
              <w:t xml:space="preserve">VS </w:t>
            </w:r>
            <w:r w:rsidRPr="00D27DA9">
              <w:rPr>
                <w:rFonts w:cstheme="minorHAnsi"/>
                <w:iCs/>
                <w:lang w:val="sl-SI"/>
              </w:rPr>
              <w:t xml:space="preserve">je predvideno </w:t>
            </w:r>
            <w:r>
              <w:rPr>
                <w:rFonts w:cstheme="minorHAnsi"/>
                <w:iCs/>
                <w:lang w:val="sl-SI"/>
              </w:rPr>
              <w:t xml:space="preserve">tudi </w:t>
            </w:r>
            <w:r w:rsidRPr="00D27DA9">
              <w:rPr>
                <w:rFonts w:cstheme="minorHAnsi"/>
                <w:iCs/>
                <w:lang w:val="sl-SI"/>
              </w:rPr>
              <w:t xml:space="preserve">intenziviranje sodelovanja </w:t>
            </w:r>
            <w:r>
              <w:rPr>
                <w:rFonts w:cstheme="minorHAnsi"/>
                <w:iCs/>
                <w:lang w:val="sl-SI"/>
              </w:rPr>
              <w:t>pri</w:t>
            </w:r>
            <w:r w:rsidRPr="00D27DA9">
              <w:rPr>
                <w:rFonts w:cstheme="minorHAnsi"/>
                <w:iCs/>
                <w:lang w:val="sl-SI"/>
              </w:rPr>
              <w:t xml:space="preserve"> mednarodnih vajah s področja kibernetske varnosti (na vsaj 85%).</w:t>
            </w:r>
          </w:p>
          <w:p w14:paraId="209B0AD0" w14:textId="0AD5062D" w:rsidR="00172B3C" w:rsidRPr="00D27DA9" w:rsidRDefault="00AE4BAC" w:rsidP="00172B3C">
            <w:pPr>
              <w:autoSpaceDE w:val="0"/>
              <w:autoSpaceDN w:val="0"/>
              <w:adjustRightInd w:val="0"/>
              <w:jc w:val="both"/>
              <w:rPr>
                <w:rFonts w:cstheme="minorHAnsi"/>
                <w:iCs/>
                <w:lang w:val="sl-SI"/>
              </w:rPr>
            </w:pPr>
            <w:r>
              <w:rPr>
                <w:rFonts w:cstheme="minorHAnsi"/>
                <w:iCs/>
                <w:lang w:val="sl-SI"/>
              </w:rPr>
              <w:t xml:space="preserve">Načrtovano je </w:t>
            </w:r>
            <w:r w:rsidR="00172B3C" w:rsidRPr="00D27DA9">
              <w:rPr>
                <w:rFonts w:cstheme="minorHAnsi"/>
                <w:iCs/>
                <w:lang w:val="sl-SI"/>
              </w:rPr>
              <w:t>povečanja uporabe orodij za deljenje informacij v okviru projekta pametne obrambe Nata za izmenjav</w:t>
            </w:r>
            <w:r>
              <w:rPr>
                <w:rFonts w:cstheme="minorHAnsi"/>
                <w:iCs/>
                <w:lang w:val="sl-SI"/>
              </w:rPr>
              <w:t>o informacij o škodljivih kodah ter n</w:t>
            </w:r>
            <w:r w:rsidR="00172B3C" w:rsidRPr="00D27DA9">
              <w:rPr>
                <w:rFonts w:cstheme="minorHAnsi"/>
                <w:iCs/>
                <w:lang w:val="sl-SI"/>
              </w:rPr>
              <w:t>adaljevanje vzpostavljanja zmogljivosti</w:t>
            </w:r>
            <w:r w:rsidR="00172B3C">
              <w:rPr>
                <w:rFonts w:cstheme="minorHAnsi"/>
                <w:iCs/>
                <w:lang w:val="sl-SI"/>
              </w:rPr>
              <w:t xml:space="preserve"> </w:t>
            </w:r>
            <w:r w:rsidR="00172B3C" w:rsidRPr="00D27DA9">
              <w:rPr>
                <w:rFonts w:cstheme="minorHAnsi"/>
                <w:iCs/>
                <w:lang w:val="sl-SI"/>
              </w:rPr>
              <w:t>kibernetske obrambe v okviru OVS.</w:t>
            </w:r>
          </w:p>
          <w:p w14:paraId="2B7FC0CA" w14:textId="77777777" w:rsidR="00701148" w:rsidRPr="00D27DA9" w:rsidRDefault="00701148">
            <w:pPr>
              <w:rPr>
                <w:rFonts w:eastAsia="Calibri" w:cstheme="minorHAnsi"/>
                <w:lang w:val="sl-SI"/>
              </w:rPr>
            </w:pPr>
          </w:p>
        </w:tc>
        <w:tc>
          <w:tcPr>
            <w:tcW w:w="3567" w:type="dxa"/>
            <w:tcBorders>
              <w:top w:val="single" w:sz="12" w:space="0" w:color="auto"/>
              <w:left w:val="single" w:sz="12" w:space="0" w:color="auto"/>
              <w:bottom w:val="single" w:sz="12" w:space="0" w:color="auto"/>
              <w:right w:val="single" w:sz="12" w:space="0" w:color="auto"/>
            </w:tcBorders>
            <w:shd w:val="clear" w:color="auto" w:fill="FFFFFF" w:themeFill="background1"/>
            <w:hideMark/>
          </w:tcPr>
          <w:p w14:paraId="5F13C25F" w14:textId="77777777" w:rsidR="00701148" w:rsidRPr="00D27DA9" w:rsidRDefault="00701148">
            <w:pPr>
              <w:rPr>
                <w:rFonts w:cstheme="minorHAnsi"/>
                <w:iCs/>
                <w:lang w:val="sl-SI"/>
              </w:rPr>
            </w:pPr>
            <w:r w:rsidRPr="00D27DA9">
              <w:rPr>
                <w:rFonts w:cstheme="minorHAnsi"/>
                <w:iCs/>
                <w:lang w:val="sl-SI"/>
              </w:rPr>
              <w:lastRenderedPageBreak/>
              <w:t>75% (6/8)</w:t>
            </w:r>
          </w:p>
          <w:p w14:paraId="1414B12C" w14:textId="77777777" w:rsidR="00701148" w:rsidRPr="00D27DA9" w:rsidRDefault="00701148">
            <w:pPr>
              <w:rPr>
                <w:rFonts w:cstheme="minorHAnsi"/>
                <w:lang w:val="sl-SI"/>
              </w:rPr>
            </w:pPr>
            <w:r w:rsidRPr="00D27DA9">
              <w:rPr>
                <w:rFonts w:cstheme="minorHAnsi"/>
                <w:lang w:val="sl-SI"/>
              </w:rPr>
              <w:t>Predvidoma:</w:t>
            </w:r>
          </w:p>
          <w:p w14:paraId="78DDA5B8" w14:textId="77777777" w:rsidR="00701148" w:rsidRPr="00D27DA9" w:rsidRDefault="00701148" w:rsidP="001C2D4A">
            <w:pPr>
              <w:pStyle w:val="Odstavekseznama"/>
              <w:numPr>
                <w:ilvl w:val="0"/>
                <w:numId w:val="16"/>
              </w:numPr>
              <w:spacing w:after="0" w:line="240" w:lineRule="auto"/>
              <w:ind w:left="108" w:hanging="142"/>
              <w:rPr>
                <w:rFonts w:eastAsia="Calibri" w:cstheme="minorHAnsi"/>
                <w:lang w:val="sl-SI"/>
              </w:rPr>
            </w:pPr>
            <w:r w:rsidRPr="00D27DA9">
              <w:rPr>
                <w:rFonts w:eastAsia="Calibri" w:cstheme="minorHAnsi"/>
                <w:lang w:val="sl-SI"/>
              </w:rPr>
              <w:t>Locked Shields  (mednarodna)</w:t>
            </w:r>
          </w:p>
          <w:p w14:paraId="6A2B81A5" w14:textId="77777777" w:rsidR="00701148" w:rsidRPr="00D27DA9" w:rsidRDefault="00701148" w:rsidP="001C2D4A">
            <w:pPr>
              <w:pStyle w:val="Odstavekseznama"/>
              <w:numPr>
                <w:ilvl w:val="0"/>
                <w:numId w:val="16"/>
              </w:numPr>
              <w:spacing w:after="0" w:line="240" w:lineRule="auto"/>
              <w:ind w:left="108" w:hanging="142"/>
              <w:rPr>
                <w:rFonts w:eastAsia="Calibri" w:cstheme="minorHAnsi"/>
                <w:lang w:val="sl-SI"/>
              </w:rPr>
            </w:pPr>
            <w:r w:rsidRPr="00D27DA9">
              <w:rPr>
                <w:rFonts w:eastAsia="Calibri" w:cstheme="minorHAnsi"/>
                <w:lang w:val="sl-SI"/>
              </w:rPr>
              <w:t>Cyber Coalition (mednarodna in domača)</w:t>
            </w:r>
          </w:p>
          <w:p w14:paraId="2219963F" w14:textId="77777777" w:rsidR="00701148" w:rsidRPr="00D27DA9" w:rsidRDefault="00701148" w:rsidP="001C2D4A">
            <w:pPr>
              <w:pStyle w:val="Odstavekseznama"/>
              <w:numPr>
                <w:ilvl w:val="0"/>
                <w:numId w:val="16"/>
              </w:numPr>
              <w:spacing w:after="0" w:line="240" w:lineRule="auto"/>
              <w:ind w:left="108" w:hanging="142"/>
              <w:rPr>
                <w:rFonts w:eastAsia="Calibri" w:cstheme="minorHAnsi"/>
                <w:lang w:val="sl-SI"/>
              </w:rPr>
            </w:pPr>
            <w:r w:rsidRPr="00D27DA9">
              <w:rPr>
                <w:rFonts w:eastAsia="Calibri" w:cstheme="minorHAnsi"/>
                <w:lang w:val="sl-SI"/>
              </w:rPr>
              <w:t>Cyber Endeavour (mednarodna)</w:t>
            </w:r>
          </w:p>
          <w:p w14:paraId="4AA5B9AA" w14:textId="77777777" w:rsidR="00701148" w:rsidRPr="00D27DA9" w:rsidRDefault="00701148" w:rsidP="001C2D4A">
            <w:pPr>
              <w:pStyle w:val="Odstavekseznama"/>
              <w:numPr>
                <w:ilvl w:val="0"/>
                <w:numId w:val="16"/>
              </w:numPr>
              <w:spacing w:after="0" w:line="240" w:lineRule="auto"/>
              <w:ind w:left="108" w:hanging="142"/>
              <w:rPr>
                <w:rFonts w:eastAsia="Calibri" w:cstheme="minorHAnsi"/>
                <w:lang w:val="sl-SI"/>
              </w:rPr>
            </w:pPr>
            <w:r w:rsidRPr="00D27DA9">
              <w:rPr>
                <w:rFonts w:eastAsia="Calibri" w:cstheme="minorHAnsi"/>
                <w:lang w:val="sl-SI"/>
              </w:rPr>
              <w:t>2 x vojaška vaja (mednarodna)</w:t>
            </w:r>
          </w:p>
          <w:p w14:paraId="52D0933C" w14:textId="77777777" w:rsidR="00701148" w:rsidRPr="00D27DA9" w:rsidRDefault="00701148" w:rsidP="001C2D4A">
            <w:pPr>
              <w:pStyle w:val="Odstavekseznama"/>
              <w:numPr>
                <w:ilvl w:val="0"/>
                <w:numId w:val="16"/>
              </w:numPr>
              <w:spacing w:after="0" w:line="240" w:lineRule="auto"/>
              <w:ind w:left="108" w:hanging="142"/>
              <w:rPr>
                <w:rFonts w:eastAsia="Calibri" w:cstheme="minorHAnsi"/>
                <w:lang w:val="sl-SI"/>
              </w:rPr>
            </w:pPr>
            <w:r w:rsidRPr="00D27DA9">
              <w:rPr>
                <w:rFonts w:eastAsia="Calibri" w:cstheme="minorHAnsi"/>
                <w:lang w:val="sl-SI"/>
              </w:rPr>
              <w:t>1 x tehnična  vaja na informacijskem poligonu MO (domača)</w:t>
            </w:r>
          </w:p>
          <w:p w14:paraId="26AD54E4" w14:textId="77777777" w:rsidR="00701148" w:rsidRPr="00D27DA9" w:rsidRDefault="00701148" w:rsidP="001C2D4A">
            <w:pPr>
              <w:pStyle w:val="Odstavekseznama"/>
              <w:numPr>
                <w:ilvl w:val="0"/>
                <w:numId w:val="16"/>
              </w:numPr>
              <w:spacing w:after="120" w:line="240" w:lineRule="auto"/>
              <w:ind w:left="108" w:hanging="142"/>
              <w:rPr>
                <w:rFonts w:eastAsia="Calibri" w:cstheme="minorHAnsi"/>
                <w:lang w:val="sl-SI"/>
              </w:rPr>
            </w:pPr>
            <w:r w:rsidRPr="00D27DA9">
              <w:rPr>
                <w:rFonts w:eastAsia="Calibri" w:cstheme="minorHAnsi"/>
                <w:lang w:val="sl-SI"/>
              </w:rPr>
              <w:t>1 x strateška vaja v organizaciji Uprave RS za informacijsko varnost (domača).</w:t>
            </w:r>
          </w:p>
          <w:p w14:paraId="238EFF23" w14:textId="77777777" w:rsidR="00701148" w:rsidRPr="00D27DA9" w:rsidRDefault="00701148" w:rsidP="001C2D4A">
            <w:pPr>
              <w:pStyle w:val="Odstavekseznama"/>
              <w:numPr>
                <w:ilvl w:val="0"/>
                <w:numId w:val="16"/>
              </w:numPr>
              <w:spacing w:after="0" w:line="240" w:lineRule="auto"/>
              <w:ind w:left="108" w:hanging="142"/>
              <w:rPr>
                <w:rFonts w:eastAsia="Calibri" w:cstheme="minorHAnsi"/>
                <w:lang w:val="sl-SI"/>
              </w:rPr>
            </w:pPr>
            <w:r w:rsidRPr="00D27DA9">
              <w:rPr>
                <w:rFonts w:eastAsia="Calibri" w:cstheme="minorHAnsi"/>
                <w:lang w:val="sl-SI"/>
              </w:rPr>
              <w:t>MIC 22 – 2</w:t>
            </w:r>
            <w:r w:rsidRPr="00D27DA9">
              <w:rPr>
                <w:rFonts w:eastAsia="Calibri" w:cstheme="minorHAnsi"/>
                <w:vertAlign w:val="superscript"/>
                <w:lang w:val="sl-SI"/>
              </w:rPr>
              <w:t>nd</w:t>
            </w:r>
            <w:r w:rsidRPr="00D27DA9">
              <w:rPr>
                <w:rFonts w:eastAsia="Calibri" w:cstheme="minorHAnsi"/>
                <w:lang w:val="sl-SI"/>
              </w:rPr>
              <w:t xml:space="preserve"> MilCERTs’ Interoperability Conference (konferenca in tehnična vaja - mednarodna) – pobuda na EU nivoju, da jo gosti Slovenija konec 2021</w:t>
            </w:r>
            <w:r w:rsidR="009D11D1" w:rsidRPr="00D27DA9">
              <w:rPr>
                <w:rFonts w:eastAsia="Calibri" w:cstheme="minorHAnsi"/>
                <w:lang w:val="sl-SI"/>
              </w:rPr>
              <w:t xml:space="preserve">. </w:t>
            </w:r>
          </w:p>
          <w:p w14:paraId="5AD7958D" w14:textId="77777777" w:rsidR="009D11D1" w:rsidRPr="00D27DA9" w:rsidRDefault="009D11D1" w:rsidP="009D11D1">
            <w:pPr>
              <w:rPr>
                <w:rFonts w:cstheme="minorHAnsi"/>
                <w:iCs/>
                <w:lang w:val="sl-SI"/>
              </w:rPr>
            </w:pPr>
          </w:p>
          <w:p w14:paraId="3F7C5966" w14:textId="455A71DC" w:rsidR="009D11D1" w:rsidRDefault="009D11D1" w:rsidP="009D11D1">
            <w:pPr>
              <w:rPr>
                <w:rFonts w:cstheme="minorHAnsi"/>
                <w:lang w:val="sl-SI"/>
              </w:rPr>
            </w:pPr>
          </w:p>
          <w:p w14:paraId="39CEEAFA" w14:textId="77777777" w:rsidR="008B1ECC" w:rsidRPr="00D27DA9" w:rsidRDefault="008B1ECC" w:rsidP="009D11D1">
            <w:pPr>
              <w:rPr>
                <w:rFonts w:cstheme="minorHAnsi"/>
                <w:lang w:val="sl-SI"/>
              </w:rPr>
            </w:pPr>
          </w:p>
          <w:p w14:paraId="198F2A54" w14:textId="77777777" w:rsidR="009D11D1" w:rsidRPr="00D27DA9" w:rsidRDefault="009D11D1" w:rsidP="009D11D1">
            <w:pPr>
              <w:rPr>
                <w:rFonts w:cstheme="minorHAnsi"/>
                <w:lang w:val="sl-SI"/>
              </w:rPr>
            </w:pPr>
          </w:p>
          <w:p w14:paraId="629E7E7A" w14:textId="525CD211" w:rsidR="009D11D1" w:rsidRPr="00D27DA9" w:rsidRDefault="009D11D1" w:rsidP="00F70C15">
            <w:pPr>
              <w:jc w:val="both"/>
              <w:rPr>
                <w:rFonts w:eastAsia="Calibri" w:cstheme="minorHAnsi"/>
                <w:lang w:val="sl-SI"/>
              </w:rPr>
            </w:pPr>
            <w:r w:rsidRPr="00D27DA9">
              <w:rPr>
                <w:rFonts w:cstheme="minorHAnsi"/>
                <w:lang w:val="sl-SI"/>
              </w:rPr>
              <w:t>V okviru Pobude za obrambno sodelovanje držav srednje Evrope (CEDC) smo, v skladu s prioritetami predsedujoč</w:t>
            </w:r>
            <w:r w:rsidR="00AE4BAC">
              <w:rPr>
                <w:rFonts w:cstheme="minorHAnsi"/>
                <w:lang w:val="sl-SI"/>
              </w:rPr>
              <w:t xml:space="preserve">ih držav, pripravljeni </w:t>
            </w:r>
            <w:r w:rsidR="00AE4BAC">
              <w:rPr>
                <w:rFonts w:cstheme="minorHAnsi"/>
                <w:lang w:val="sl-SI"/>
              </w:rPr>
              <w:lastRenderedPageBreak/>
              <w:t>sodelovat</w:t>
            </w:r>
            <w:r w:rsidRPr="00D27DA9">
              <w:rPr>
                <w:rFonts w:cstheme="minorHAnsi"/>
                <w:lang w:val="sl-SI"/>
              </w:rPr>
              <w:t>i v projektih s področja kibernetske varnosti.</w:t>
            </w:r>
          </w:p>
        </w:tc>
      </w:tr>
    </w:tbl>
    <w:p w14:paraId="0860D902" w14:textId="77777777" w:rsidR="00701148" w:rsidRPr="00D27DA9" w:rsidRDefault="00701148" w:rsidP="00701148">
      <w:pPr>
        <w:pStyle w:val="Odstavekseznama"/>
        <w:keepNext/>
        <w:numPr>
          <w:ilvl w:val="0"/>
          <w:numId w:val="11"/>
        </w:numPr>
        <w:spacing w:before="240" w:after="60" w:line="256" w:lineRule="auto"/>
        <w:ind w:left="714" w:hanging="357"/>
        <w:rPr>
          <w:rFonts w:cstheme="minorHAnsi"/>
          <w:lang w:val="sl-SI"/>
        </w:rPr>
      </w:pPr>
      <w:r w:rsidRPr="00D27DA9">
        <w:rPr>
          <w:rFonts w:cstheme="minorHAnsi"/>
          <w:lang w:val="sl-SI"/>
        </w:rPr>
        <w:lastRenderedPageBreak/>
        <w:t>Karierni model</w:t>
      </w:r>
    </w:p>
    <w:tbl>
      <w:tblPr>
        <w:tblStyle w:val="Tabelamrea"/>
        <w:tblW w:w="0"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3566"/>
        <w:gridCol w:w="3566"/>
        <w:gridCol w:w="3566"/>
        <w:gridCol w:w="3567"/>
      </w:tblGrid>
      <w:tr w:rsidR="00701148" w:rsidRPr="00D27DA9" w14:paraId="276BDA47" w14:textId="77777777" w:rsidTr="00701148">
        <w:trPr>
          <w:trHeight w:val="359"/>
        </w:trPr>
        <w:tc>
          <w:tcPr>
            <w:tcW w:w="3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671E371" w14:textId="77777777" w:rsidR="00701148" w:rsidRPr="00D27DA9" w:rsidRDefault="00701148">
            <w:pPr>
              <w:keepNext/>
              <w:jc w:val="center"/>
              <w:rPr>
                <w:rFonts w:eastAsia="Calibri" w:cstheme="minorHAnsi"/>
                <w:b/>
                <w:bCs/>
                <w:lang w:val="sl-SI"/>
              </w:rPr>
            </w:pPr>
          </w:p>
        </w:tc>
        <w:tc>
          <w:tcPr>
            <w:tcW w:w="3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5A2F24FD" w14:textId="77777777" w:rsidR="00701148" w:rsidRPr="00D27DA9" w:rsidRDefault="00701148">
            <w:pPr>
              <w:keepNext/>
              <w:jc w:val="center"/>
              <w:rPr>
                <w:rFonts w:eastAsia="Calibri" w:cstheme="minorHAnsi"/>
                <w:b/>
                <w:bCs/>
                <w:lang w:val="sl-SI"/>
              </w:rPr>
            </w:pPr>
            <w:r w:rsidRPr="00D27DA9">
              <w:rPr>
                <w:rFonts w:eastAsia="Calibri" w:cstheme="minorHAnsi"/>
                <w:b/>
                <w:bCs/>
                <w:lang w:val="sl-SI"/>
              </w:rPr>
              <w:t>2020</w:t>
            </w:r>
          </w:p>
          <w:p w14:paraId="5DAAEDED" w14:textId="77777777" w:rsidR="00701148" w:rsidRPr="00D27DA9" w:rsidRDefault="00701148">
            <w:pPr>
              <w:keepNext/>
              <w:jc w:val="center"/>
              <w:rPr>
                <w:rFonts w:eastAsia="Calibri" w:cstheme="minorHAnsi"/>
                <w:b/>
                <w:bCs/>
                <w:lang w:val="sl-SI"/>
              </w:rPr>
            </w:pPr>
            <w:r w:rsidRPr="00D27DA9">
              <w:rPr>
                <w:rFonts w:eastAsia="Calibri" w:cstheme="minorHAnsi"/>
                <w:b/>
                <w:bCs/>
                <w:lang w:val="sl-SI"/>
              </w:rPr>
              <w:t>(samoocena)</w:t>
            </w:r>
          </w:p>
        </w:tc>
        <w:tc>
          <w:tcPr>
            <w:tcW w:w="3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01768C25" w14:textId="77777777" w:rsidR="00701148" w:rsidRPr="00D27DA9" w:rsidRDefault="00701148">
            <w:pPr>
              <w:keepNext/>
              <w:jc w:val="center"/>
              <w:rPr>
                <w:rFonts w:eastAsia="Calibri" w:cstheme="minorHAnsi"/>
                <w:b/>
                <w:bCs/>
                <w:lang w:val="sl-SI"/>
              </w:rPr>
            </w:pPr>
            <w:r w:rsidRPr="00D27DA9">
              <w:rPr>
                <w:rFonts w:eastAsia="Calibri" w:cstheme="minorHAnsi"/>
                <w:b/>
                <w:bCs/>
                <w:lang w:val="sl-SI"/>
              </w:rPr>
              <w:t>2021</w:t>
            </w:r>
          </w:p>
          <w:p w14:paraId="3BEB2243" w14:textId="77777777" w:rsidR="00701148" w:rsidRPr="00D27DA9" w:rsidRDefault="00701148">
            <w:pPr>
              <w:keepNext/>
              <w:jc w:val="center"/>
              <w:rPr>
                <w:rFonts w:eastAsia="Calibri" w:cstheme="minorHAnsi"/>
                <w:b/>
                <w:lang w:val="sl-SI"/>
              </w:rPr>
            </w:pPr>
            <w:r w:rsidRPr="00D27DA9">
              <w:rPr>
                <w:rFonts w:eastAsia="Calibri" w:cstheme="minorHAnsi"/>
                <w:b/>
                <w:bCs/>
                <w:lang w:val="sl-SI"/>
              </w:rPr>
              <w:t>(predvideno)</w:t>
            </w:r>
          </w:p>
        </w:tc>
        <w:tc>
          <w:tcPr>
            <w:tcW w:w="356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468E2E5F" w14:textId="77777777" w:rsidR="00701148" w:rsidRPr="00D27DA9" w:rsidRDefault="00701148">
            <w:pPr>
              <w:keepNext/>
              <w:jc w:val="center"/>
              <w:rPr>
                <w:rFonts w:eastAsia="Calibri" w:cstheme="minorHAnsi"/>
                <w:b/>
                <w:bCs/>
                <w:lang w:val="sl-SI"/>
              </w:rPr>
            </w:pPr>
            <w:r w:rsidRPr="00D27DA9">
              <w:rPr>
                <w:rFonts w:eastAsia="Calibri" w:cstheme="minorHAnsi"/>
                <w:b/>
                <w:bCs/>
                <w:lang w:val="sl-SI"/>
              </w:rPr>
              <w:t xml:space="preserve">2022-2025 </w:t>
            </w:r>
          </w:p>
          <w:p w14:paraId="5795C322" w14:textId="77777777" w:rsidR="00701148" w:rsidRPr="00D27DA9" w:rsidRDefault="00701148">
            <w:pPr>
              <w:keepNext/>
              <w:jc w:val="center"/>
              <w:rPr>
                <w:rFonts w:eastAsia="Calibri" w:cstheme="minorHAnsi"/>
                <w:b/>
                <w:lang w:val="sl-SI"/>
              </w:rPr>
            </w:pPr>
            <w:r w:rsidRPr="00D27DA9">
              <w:rPr>
                <w:rFonts w:eastAsia="Calibri" w:cstheme="minorHAnsi"/>
                <w:b/>
                <w:bCs/>
                <w:lang w:val="sl-SI"/>
              </w:rPr>
              <w:t>(predvideno)</w:t>
            </w:r>
          </w:p>
        </w:tc>
      </w:tr>
      <w:tr w:rsidR="00701148" w:rsidRPr="00D27DA9" w14:paraId="1D8D33EE" w14:textId="77777777" w:rsidTr="00701148">
        <w:trPr>
          <w:trHeight w:val="546"/>
        </w:trPr>
        <w:tc>
          <w:tcPr>
            <w:tcW w:w="3566" w:type="dxa"/>
            <w:tcBorders>
              <w:top w:val="single" w:sz="12" w:space="0" w:color="auto"/>
              <w:left w:val="single" w:sz="12" w:space="0" w:color="auto"/>
              <w:bottom w:val="single" w:sz="12" w:space="0" w:color="auto"/>
              <w:right w:val="single" w:sz="12" w:space="0" w:color="auto"/>
            </w:tcBorders>
            <w:hideMark/>
          </w:tcPr>
          <w:p w14:paraId="6FA190FC" w14:textId="77777777" w:rsidR="00701148" w:rsidRPr="00D27DA9" w:rsidRDefault="00701148">
            <w:pPr>
              <w:keepNext/>
              <w:autoSpaceDE w:val="0"/>
              <w:autoSpaceDN w:val="0"/>
              <w:adjustRightInd w:val="0"/>
              <w:rPr>
                <w:rFonts w:cstheme="minorHAnsi"/>
                <w:lang w:val="sl-SI"/>
              </w:rPr>
            </w:pPr>
            <w:r w:rsidRPr="00D27DA9">
              <w:rPr>
                <w:rFonts w:cstheme="minorHAnsi"/>
                <w:lang w:val="sl-SI"/>
              </w:rPr>
              <w:t>Skladnost  nacionalnega kariernega modela z  večnacionalnimi kariernimi modeli na kibernetskem področju.</w:t>
            </w:r>
          </w:p>
        </w:tc>
        <w:tc>
          <w:tcPr>
            <w:tcW w:w="3566" w:type="dxa"/>
            <w:tcBorders>
              <w:top w:val="single" w:sz="12" w:space="0" w:color="auto"/>
              <w:left w:val="single" w:sz="12" w:space="0" w:color="auto"/>
              <w:bottom w:val="single" w:sz="12" w:space="0" w:color="auto"/>
              <w:right w:val="single" w:sz="12" w:space="0" w:color="auto"/>
            </w:tcBorders>
            <w:hideMark/>
          </w:tcPr>
          <w:p w14:paraId="2444006B" w14:textId="6D7D2A38" w:rsidR="00701148" w:rsidRPr="00D27DA9" w:rsidRDefault="00701148" w:rsidP="00F70C15">
            <w:pPr>
              <w:keepNext/>
              <w:jc w:val="both"/>
              <w:rPr>
                <w:rFonts w:cstheme="minorHAnsi"/>
                <w:iCs/>
                <w:lang w:val="sl-SI"/>
              </w:rPr>
            </w:pPr>
            <w:r w:rsidRPr="00D27DA9">
              <w:rPr>
                <w:rFonts w:cstheme="minorHAnsi"/>
                <w:iCs/>
                <w:lang w:val="sl-SI"/>
              </w:rPr>
              <w:t>Slovenija je aktivno sodeloval</w:t>
            </w:r>
            <w:r w:rsidR="001C2D4A" w:rsidRPr="00D27DA9">
              <w:rPr>
                <w:rFonts w:cstheme="minorHAnsi"/>
                <w:iCs/>
                <w:lang w:val="sl-SI"/>
              </w:rPr>
              <w:t>a</w:t>
            </w:r>
            <w:r w:rsidRPr="00D27DA9">
              <w:rPr>
                <w:rFonts w:cstheme="minorHAnsi"/>
                <w:iCs/>
                <w:lang w:val="sl-SI"/>
              </w:rPr>
              <w:t xml:space="preserve"> v  NATO  večnacionalnem projektu izobraževanja in usposabljanja na področju kibernetske obrambe (Multinational Cyber Defence E&amp;T Project).  </w:t>
            </w:r>
            <w:r w:rsidRPr="00D27DA9">
              <w:rPr>
                <w:rFonts w:cstheme="minorHAnsi"/>
                <w:color w:val="000000"/>
                <w:shd w:val="clear" w:color="auto" w:fill="FFFFFF"/>
                <w:lang w:val="sl-SI"/>
              </w:rPr>
              <w:t>Slovenija je tudi seznanjena s študijami EDA PT CD s področja kadrovske problematike. Vendar pa Slovenija še ni vzpostavila celovitega kadrovskega in kariernega modela za kibernetsko področje.</w:t>
            </w:r>
          </w:p>
        </w:tc>
        <w:tc>
          <w:tcPr>
            <w:tcW w:w="3566" w:type="dxa"/>
            <w:tcBorders>
              <w:top w:val="single" w:sz="12" w:space="0" w:color="auto"/>
              <w:left w:val="single" w:sz="12" w:space="0" w:color="auto"/>
              <w:bottom w:val="single" w:sz="12" w:space="0" w:color="auto"/>
              <w:right w:val="single" w:sz="12" w:space="0" w:color="auto"/>
            </w:tcBorders>
            <w:hideMark/>
          </w:tcPr>
          <w:p w14:paraId="5FD0DFDC" w14:textId="77777777" w:rsidR="00701148" w:rsidRPr="00D27DA9" w:rsidRDefault="00701148" w:rsidP="001C2D4A">
            <w:pPr>
              <w:keepNext/>
              <w:jc w:val="both"/>
              <w:rPr>
                <w:rFonts w:cstheme="minorHAnsi"/>
                <w:iCs/>
                <w:lang w:val="sl-SI"/>
              </w:rPr>
            </w:pPr>
            <w:r w:rsidRPr="00D27DA9">
              <w:rPr>
                <w:rFonts w:cstheme="minorHAnsi"/>
                <w:iCs/>
                <w:lang w:val="sl-SI"/>
              </w:rPr>
              <w:t>Slovenija namerava pristopiti k PESCO projektu Cyber Academy and Innovation Hub kot opazovalka z ambicijo, da morda že v letu 2021 postane aktivna članica projekta.</w:t>
            </w:r>
          </w:p>
        </w:tc>
        <w:tc>
          <w:tcPr>
            <w:tcW w:w="3567" w:type="dxa"/>
            <w:tcBorders>
              <w:top w:val="single" w:sz="12" w:space="0" w:color="auto"/>
              <w:left w:val="single" w:sz="12" w:space="0" w:color="auto"/>
              <w:bottom w:val="single" w:sz="12" w:space="0" w:color="auto"/>
              <w:right w:val="single" w:sz="12" w:space="0" w:color="auto"/>
            </w:tcBorders>
            <w:shd w:val="clear" w:color="auto" w:fill="FFFFFF" w:themeFill="background1"/>
            <w:hideMark/>
          </w:tcPr>
          <w:p w14:paraId="6B28F6B3" w14:textId="09A366C3" w:rsidR="00701148" w:rsidRPr="00D27DA9" w:rsidRDefault="00701148">
            <w:pPr>
              <w:keepNext/>
              <w:rPr>
                <w:rFonts w:cstheme="minorHAnsi"/>
                <w:iCs/>
                <w:lang w:val="sl-SI"/>
              </w:rPr>
            </w:pPr>
            <w:r w:rsidRPr="00D27DA9">
              <w:rPr>
                <w:rFonts w:cstheme="minorHAnsi"/>
                <w:iCs/>
                <w:lang w:val="sl-SI"/>
              </w:rPr>
              <w:t>Slovenija bo vzpostavila karierni model na kibernetskem področju, k</w:t>
            </w:r>
            <w:r w:rsidR="00AE4BAC">
              <w:rPr>
                <w:rFonts w:cstheme="minorHAnsi"/>
                <w:iCs/>
                <w:lang w:val="sl-SI"/>
              </w:rPr>
              <w:t>i bo skladen s kariernimi modeli</w:t>
            </w:r>
            <w:r w:rsidRPr="00D27DA9">
              <w:rPr>
                <w:rFonts w:cstheme="minorHAnsi"/>
                <w:iCs/>
                <w:lang w:val="sl-SI"/>
              </w:rPr>
              <w:t xml:space="preserve"> EU in NATO. </w:t>
            </w:r>
          </w:p>
        </w:tc>
      </w:tr>
    </w:tbl>
    <w:p w14:paraId="025B3D0A" w14:textId="77777777" w:rsidR="002F29E9" w:rsidRPr="002F29E9" w:rsidRDefault="002F29E9" w:rsidP="002F29E9">
      <w:pPr>
        <w:pStyle w:val="Odstavekseznama"/>
        <w:spacing w:before="240" w:after="60" w:line="256" w:lineRule="auto"/>
        <w:rPr>
          <w:rFonts w:cstheme="minorHAnsi"/>
          <w:lang w:val="sl-SI"/>
        </w:rPr>
      </w:pPr>
    </w:p>
    <w:p w14:paraId="291FE293" w14:textId="77777777" w:rsidR="002F29E9" w:rsidRPr="002F29E9" w:rsidRDefault="002F29E9" w:rsidP="002F29E9">
      <w:pPr>
        <w:pStyle w:val="Odstavekseznama"/>
        <w:spacing w:before="240" w:after="60" w:line="256" w:lineRule="auto"/>
        <w:rPr>
          <w:rFonts w:cstheme="minorHAnsi"/>
          <w:lang w:val="sl-SI"/>
        </w:rPr>
      </w:pPr>
    </w:p>
    <w:p w14:paraId="4D0DF186" w14:textId="5164F535" w:rsidR="00701148" w:rsidRPr="00D27DA9" w:rsidRDefault="00701148" w:rsidP="00701148">
      <w:pPr>
        <w:pStyle w:val="Odstavekseznama"/>
        <w:numPr>
          <w:ilvl w:val="0"/>
          <w:numId w:val="11"/>
        </w:numPr>
        <w:spacing w:before="240" w:after="60" w:line="256" w:lineRule="auto"/>
        <w:rPr>
          <w:rFonts w:cstheme="minorHAnsi"/>
          <w:lang w:val="sl-SI"/>
        </w:rPr>
      </w:pPr>
      <w:r w:rsidRPr="00D27DA9">
        <w:rPr>
          <w:rFonts w:cstheme="minorHAnsi"/>
          <w:color w:val="3C3C3C"/>
          <w:shd w:val="clear" w:color="auto" w:fill="FFFFFF"/>
          <w:lang w:val="sl-SI"/>
        </w:rPr>
        <w:t xml:space="preserve">Evropska akademija za varnost in obrambo (ang. </w:t>
      </w:r>
      <w:r w:rsidRPr="00D27DA9">
        <w:rPr>
          <w:rFonts w:cstheme="minorHAnsi"/>
          <w:lang w:val="sl-SI"/>
        </w:rPr>
        <w:t xml:space="preserve"> </w:t>
      </w:r>
      <w:r w:rsidRPr="00D27DA9">
        <w:rPr>
          <w:rFonts w:cstheme="minorHAnsi"/>
          <w:color w:val="3C3C3C"/>
          <w:shd w:val="clear" w:color="auto" w:fill="FFFFFF"/>
          <w:lang w:val="sl-SI"/>
        </w:rPr>
        <w:t xml:space="preserve">European Security and </w:t>
      </w:r>
      <w:r w:rsidRPr="00D27DA9">
        <w:rPr>
          <w:rFonts w:cstheme="minorHAnsi"/>
          <w:color w:val="3C3C3C"/>
          <w:lang w:val="sl-SI"/>
        </w:rPr>
        <w:t>Def</w:t>
      </w:r>
      <w:r w:rsidRPr="00D27DA9">
        <w:rPr>
          <w:rFonts w:cstheme="minorHAnsi"/>
          <w:color w:val="303030"/>
          <w:lang w:val="sl-SI"/>
        </w:rPr>
        <w:t>en</w:t>
      </w:r>
      <w:r w:rsidRPr="00D27DA9">
        <w:rPr>
          <w:rFonts w:cstheme="minorHAnsi"/>
          <w:color w:val="242424"/>
          <w:lang w:val="sl-SI"/>
        </w:rPr>
        <w:t>c</w:t>
      </w:r>
      <w:r w:rsidRPr="00D27DA9">
        <w:rPr>
          <w:rFonts w:cstheme="minorHAnsi"/>
          <w:color w:val="181818"/>
          <w:lang w:val="sl-SI"/>
        </w:rPr>
        <w:t>e</w:t>
      </w:r>
      <w:r w:rsidRPr="00D27DA9">
        <w:rPr>
          <w:rFonts w:cstheme="minorHAnsi"/>
          <w:color w:val="0C0C0C"/>
          <w:lang w:val="sl-SI"/>
        </w:rPr>
        <w:t> </w:t>
      </w:r>
      <w:r w:rsidRPr="00D27DA9">
        <w:rPr>
          <w:rFonts w:cstheme="minorHAnsi"/>
          <w:color w:val="000000"/>
          <w:lang w:val="sl-SI"/>
        </w:rPr>
        <w:t>College</w:t>
      </w:r>
      <w:r w:rsidRPr="00D27DA9">
        <w:rPr>
          <w:rFonts w:cstheme="minorHAnsi"/>
          <w:lang w:val="sl-SI"/>
        </w:rPr>
        <w:t xml:space="preserve"> - ESDC)</w:t>
      </w:r>
    </w:p>
    <w:tbl>
      <w:tblPr>
        <w:tblStyle w:val="Tabelamrea"/>
        <w:tblW w:w="0"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3566"/>
        <w:gridCol w:w="3566"/>
        <w:gridCol w:w="3566"/>
        <w:gridCol w:w="3567"/>
      </w:tblGrid>
      <w:tr w:rsidR="00701148" w:rsidRPr="00D27DA9" w14:paraId="415BED58" w14:textId="77777777" w:rsidTr="00701148">
        <w:trPr>
          <w:trHeight w:val="359"/>
        </w:trPr>
        <w:tc>
          <w:tcPr>
            <w:tcW w:w="3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AF78722" w14:textId="77777777" w:rsidR="00701148" w:rsidRPr="00D27DA9" w:rsidRDefault="00701148">
            <w:pPr>
              <w:jc w:val="center"/>
              <w:rPr>
                <w:rFonts w:eastAsia="Calibri" w:cstheme="minorHAnsi"/>
                <w:b/>
                <w:bCs/>
                <w:lang w:val="sl-SI"/>
              </w:rPr>
            </w:pPr>
          </w:p>
        </w:tc>
        <w:tc>
          <w:tcPr>
            <w:tcW w:w="3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7507FAF1" w14:textId="77777777" w:rsidR="00701148" w:rsidRPr="00D27DA9" w:rsidRDefault="00701148">
            <w:pPr>
              <w:jc w:val="center"/>
              <w:rPr>
                <w:rFonts w:eastAsia="Calibri" w:cstheme="minorHAnsi"/>
                <w:b/>
                <w:bCs/>
                <w:lang w:val="sl-SI"/>
              </w:rPr>
            </w:pPr>
            <w:r w:rsidRPr="00D27DA9">
              <w:rPr>
                <w:rFonts w:eastAsia="Calibri" w:cstheme="minorHAnsi"/>
                <w:b/>
                <w:bCs/>
                <w:lang w:val="sl-SI"/>
              </w:rPr>
              <w:t>2020</w:t>
            </w:r>
          </w:p>
          <w:p w14:paraId="4E32D65A" w14:textId="77777777" w:rsidR="00701148" w:rsidRPr="00D27DA9" w:rsidRDefault="00701148">
            <w:pPr>
              <w:jc w:val="center"/>
              <w:rPr>
                <w:rFonts w:eastAsia="Calibri" w:cstheme="minorHAnsi"/>
                <w:b/>
                <w:bCs/>
                <w:lang w:val="sl-SI"/>
              </w:rPr>
            </w:pPr>
            <w:r w:rsidRPr="00D27DA9">
              <w:rPr>
                <w:rFonts w:eastAsia="Calibri" w:cstheme="minorHAnsi"/>
                <w:b/>
                <w:bCs/>
                <w:lang w:val="sl-SI"/>
              </w:rPr>
              <w:t>(samoocena)</w:t>
            </w:r>
          </w:p>
        </w:tc>
        <w:tc>
          <w:tcPr>
            <w:tcW w:w="3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0F561CA1" w14:textId="77777777" w:rsidR="00701148" w:rsidRPr="00D27DA9" w:rsidRDefault="00701148">
            <w:pPr>
              <w:jc w:val="center"/>
              <w:rPr>
                <w:rFonts w:eastAsia="Calibri" w:cstheme="minorHAnsi"/>
                <w:b/>
                <w:bCs/>
                <w:lang w:val="sl-SI"/>
              </w:rPr>
            </w:pPr>
            <w:r w:rsidRPr="00D27DA9">
              <w:rPr>
                <w:rFonts w:eastAsia="Calibri" w:cstheme="minorHAnsi"/>
                <w:b/>
                <w:bCs/>
                <w:lang w:val="sl-SI"/>
              </w:rPr>
              <w:t>2021</w:t>
            </w:r>
          </w:p>
          <w:p w14:paraId="75950F79" w14:textId="77777777" w:rsidR="00701148" w:rsidRPr="00D27DA9" w:rsidRDefault="00701148">
            <w:pPr>
              <w:jc w:val="center"/>
              <w:rPr>
                <w:rFonts w:eastAsia="Calibri" w:cstheme="minorHAnsi"/>
                <w:b/>
                <w:lang w:val="sl-SI"/>
              </w:rPr>
            </w:pPr>
            <w:r w:rsidRPr="00D27DA9">
              <w:rPr>
                <w:rFonts w:eastAsia="Calibri" w:cstheme="minorHAnsi"/>
                <w:b/>
                <w:bCs/>
                <w:lang w:val="sl-SI"/>
              </w:rPr>
              <w:t>(predvideno)</w:t>
            </w:r>
          </w:p>
        </w:tc>
        <w:tc>
          <w:tcPr>
            <w:tcW w:w="356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727F7DA1" w14:textId="77777777" w:rsidR="00701148" w:rsidRPr="00D27DA9" w:rsidRDefault="00701148">
            <w:pPr>
              <w:jc w:val="center"/>
              <w:rPr>
                <w:rFonts w:eastAsia="Calibri" w:cstheme="minorHAnsi"/>
                <w:b/>
                <w:bCs/>
                <w:lang w:val="sl-SI"/>
              </w:rPr>
            </w:pPr>
            <w:r w:rsidRPr="00D27DA9">
              <w:rPr>
                <w:rFonts w:eastAsia="Calibri" w:cstheme="minorHAnsi"/>
                <w:b/>
                <w:bCs/>
                <w:lang w:val="sl-SI"/>
              </w:rPr>
              <w:t xml:space="preserve">2022-2025 </w:t>
            </w:r>
          </w:p>
          <w:p w14:paraId="20038040" w14:textId="77777777" w:rsidR="00701148" w:rsidRPr="00D27DA9" w:rsidRDefault="00701148">
            <w:pPr>
              <w:jc w:val="center"/>
              <w:rPr>
                <w:rFonts w:eastAsia="Calibri" w:cstheme="minorHAnsi"/>
                <w:b/>
                <w:lang w:val="sl-SI"/>
              </w:rPr>
            </w:pPr>
            <w:r w:rsidRPr="00D27DA9">
              <w:rPr>
                <w:rFonts w:eastAsia="Calibri" w:cstheme="minorHAnsi"/>
                <w:b/>
                <w:bCs/>
                <w:lang w:val="sl-SI"/>
              </w:rPr>
              <w:t>(predvideno)</w:t>
            </w:r>
          </w:p>
        </w:tc>
      </w:tr>
      <w:tr w:rsidR="00701148" w:rsidRPr="00D27DA9" w14:paraId="637663DD" w14:textId="77777777" w:rsidTr="00701148">
        <w:trPr>
          <w:trHeight w:val="953"/>
        </w:trPr>
        <w:tc>
          <w:tcPr>
            <w:tcW w:w="3566" w:type="dxa"/>
            <w:tcBorders>
              <w:top w:val="single" w:sz="12" w:space="0" w:color="auto"/>
              <w:left w:val="single" w:sz="12" w:space="0" w:color="auto"/>
              <w:bottom w:val="single" w:sz="12" w:space="0" w:color="auto"/>
              <w:right w:val="single" w:sz="12" w:space="0" w:color="auto"/>
            </w:tcBorders>
            <w:hideMark/>
          </w:tcPr>
          <w:p w14:paraId="7EAD177D" w14:textId="77777777" w:rsidR="00701148" w:rsidRPr="00D27DA9" w:rsidRDefault="00701148">
            <w:pPr>
              <w:rPr>
                <w:rFonts w:cstheme="minorHAnsi"/>
                <w:bCs/>
                <w:iCs/>
                <w:lang w:val="sl-SI"/>
              </w:rPr>
            </w:pPr>
            <w:r w:rsidRPr="00D27DA9">
              <w:rPr>
                <w:rFonts w:cstheme="minorHAnsi"/>
                <w:lang w:val="sl-SI"/>
              </w:rPr>
              <w:t>Aktivnosti v okviru ESDC platforme kibernetske varnosti.</w:t>
            </w:r>
          </w:p>
        </w:tc>
        <w:tc>
          <w:tcPr>
            <w:tcW w:w="3566" w:type="dxa"/>
            <w:tcBorders>
              <w:top w:val="single" w:sz="12" w:space="0" w:color="auto"/>
              <w:left w:val="single" w:sz="12" w:space="0" w:color="auto"/>
              <w:bottom w:val="single" w:sz="12" w:space="0" w:color="auto"/>
              <w:right w:val="single" w:sz="12" w:space="0" w:color="auto"/>
            </w:tcBorders>
            <w:hideMark/>
          </w:tcPr>
          <w:p w14:paraId="5C276274" w14:textId="77777777" w:rsidR="00701148" w:rsidRPr="00D27DA9" w:rsidRDefault="00701148" w:rsidP="00F70C15">
            <w:pPr>
              <w:jc w:val="both"/>
              <w:rPr>
                <w:rFonts w:cstheme="minorHAnsi"/>
                <w:iCs/>
                <w:lang w:val="sl-SI"/>
              </w:rPr>
            </w:pPr>
            <w:r w:rsidRPr="00D27DA9">
              <w:rPr>
                <w:rFonts w:cstheme="minorHAnsi"/>
                <w:iCs/>
                <w:lang w:val="sl-SI"/>
              </w:rPr>
              <w:t>V letu 2020 Slovenija ni uporabljala storitev platforme kibernetske varnosti ESDC.</w:t>
            </w:r>
          </w:p>
          <w:p w14:paraId="76CA1F5E" w14:textId="77777777" w:rsidR="001C2D4A" w:rsidRPr="00D27DA9" w:rsidRDefault="001C2D4A">
            <w:pPr>
              <w:rPr>
                <w:rFonts w:cstheme="minorHAnsi"/>
                <w:iCs/>
                <w:lang w:val="sl-SI"/>
              </w:rPr>
            </w:pPr>
          </w:p>
          <w:p w14:paraId="516B2466" w14:textId="2C239509" w:rsidR="001C2D4A" w:rsidRPr="00D27DA9" w:rsidRDefault="002F29E9" w:rsidP="002F29E9">
            <w:pPr>
              <w:jc w:val="both"/>
              <w:rPr>
                <w:rFonts w:cstheme="minorHAnsi"/>
                <w:iCs/>
                <w:lang w:val="sl-SI"/>
              </w:rPr>
            </w:pPr>
            <w:r w:rsidRPr="00D27DA9">
              <w:rPr>
                <w:rFonts w:cstheme="minorHAnsi"/>
                <w:iCs/>
                <w:lang w:val="sl-SI"/>
              </w:rPr>
              <w:t xml:space="preserve">Usposabljanj s področja kibernetske varnosti ESDC </w:t>
            </w:r>
            <w:r>
              <w:rPr>
                <w:rFonts w:cstheme="minorHAnsi"/>
                <w:iCs/>
                <w:lang w:val="sl-SI"/>
              </w:rPr>
              <w:t xml:space="preserve">so se in </w:t>
            </w:r>
            <w:r w:rsidRPr="00D27DA9">
              <w:rPr>
                <w:rFonts w:cstheme="minorHAnsi"/>
                <w:iCs/>
                <w:lang w:val="sl-SI"/>
              </w:rPr>
              <w:t>se bodo udeležili predstavniki drugih ministrstev in vladnih služb, odgovornih za kibernetsko varnost (Ministrstvo za javno upravo in URSIV).</w:t>
            </w:r>
          </w:p>
        </w:tc>
        <w:tc>
          <w:tcPr>
            <w:tcW w:w="3566" w:type="dxa"/>
            <w:tcBorders>
              <w:top w:val="single" w:sz="12" w:space="0" w:color="auto"/>
              <w:left w:val="single" w:sz="12" w:space="0" w:color="auto"/>
              <w:bottom w:val="single" w:sz="12" w:space="0" w:color="auto"/>
              <w:right w:val="single" w:sz="12" w:space="0" w:color="auto"/>
            </w:tcBorders>
            <w:hideMark/>
          </w:tcPr>
          <w:p w14:paraId="6F9D0B00" w14:textId="77777777" w:rsidR="00701148" w:rsidRPr="00D27DA9" w:rsidRDefault="00701148" w:rsidP="001C2D4A">
            <w:pPr>
              <w:rPr>
                <w:rFonts w:cstheme="minorHAnsi"/>
                <w:iCs/>
                <w:lang w:val="sl-SI"/>
              </w:rPr>
            </w:pPr>
            <w:r w:rsidRPr="00D27DA9">
              <w:rPr>
                <w:rFonts w:cstheme="minorHAnsi"/>
                <w:iCs/>
                <w:lang w:val="sl-SI"/>
              </w:rPr>
              <w:t>V letu 2021 Slovenija v svojih načrtih izobraževanj ne predvideva uporabe storitev platforma kibernetske varnosti ESDC.</w:t>
            </w:r>
          </w:p>
          <w:p w14:paraId="6D426E3C" w14:textId="77777777" w:rsidR="001C2D4A" w:rsidRPr="00D27DA9" w:rsidRDefault="001C2D4A" w:rsidP="001C2D4A">
            <w:pPr>
              <w:rPr>
                <w:rFonts w:cstheme="minorHAnsi"/>
                <w:iCs/>
                <w:lang w:val="sl-SI"/>
              </w:rPr>
            </w:pPr>
          </w:p>
          <w:p w14:paraId="16603EFD" w14:textId="566642F5" w:rsidR="001C2D4A" w:rsidRPr="00D27DA9" w:rsidRDefault="001C2D4A" w:rsidP="00F70C15">
            <w:pPr>
              <w:jc w:val="both"/>
              <w:rPr>
                <w:rFonts w:cstheme="minorHAnsi"/>
                <w:iCs/>
                <w:lang w:val="sl-SI"/>
              </w:rPr>
            </w:pPr>
          </w:p>
        </w:tc>
        <w:tc>
          <w:tcPr>
            <w:tcW w:w="3567" w:type="dxa"/>
            <w:tcBorders>
              <w:top w:val="single" w:sz="12" w:space="0" w:color="auto"/>
              <w:left w:val="single" w:sz="12" w:space="0" w:color="auto"/>
              <w:bottom w:val="single" w:sz="12" w:space="0" w:color="auto"/>
              <w:right w:val="single" w:sz="12" w:space="0" w:color="auto"/>
            </w:tcBorders>
            <w:shd w:val="clear" w:color="auto" w:fill="FFFFFF" w:themeFill="background1"/>
            <w:hideMark/>
          </w:tcPr>
          <w:p w14:paraId="055D32E6" w14:textId="5FBD7E2A" w:rsidR="00701148" w:rsidRPr="00D27DA9" w:rsidRDefault="00701148" w:rsidP="00F70C15">
            <w:pPr>
              <w:jc w:val="both"/>
              <w:rPr>
                <w:rFonts w:cstheme="minorHAnsi"/>
                <w:iCs/>
                <w:lang w:val="sl-SI"/>
              </w:rPr>
            </w:pPr>
            <w:r w:rsidRPr="00D27DA9">
              <w:rPr>
                <w:rFonts w:cstheme="minorHAnsi"/>
                <w:iCs/>
                <w:lang w:val="sl-SI"/>
              </w:rPr>
              <w:t>Slovenija bo ESDC platformo kibernetske varnosti vključila v svoje načrte izobraževanj, tako kot ima v svoje načrte vključena izobraževanja NATO in druga izobraževanj</w:t>
            </w:r>
            <w:r w:rsidR="00AE4BAC">
              <w:rPr>
                <w:rFonts w:cstheme="minorHAnsi"/>
                <w:iCs/>
                <w:lang w:val="sl-SI"/>
              </w:rPr>
              <w:t>a</w:t>
            </w:r>
            <w:r w:rsidRPr="00D27DA9">
              <w:rPr>
                <w:rFonts w:cstheme="minorHAnsi"/>
                <w:iCs/>
                <w:lang w:val="sl-SI"/>
              </w:rPr>
              <w:t>.</w:t>
            </w:r>
          </w:p>
        </w:tc>
      </w:tr>
    </w:tbl>
    <w:p w14:paraId="4FE20BF9" w14:textId="77777777" w:rsidR="00701148" w:rsidRPr="00D27DA9" w:rsidRDefault="00701148" w:rsidP="00701148">
      <w:pPr>
        <w:pStyle w:val="Odstavekseznama"/>
        <w:numPr>
          <w:ilvl w:val="0"/>
          <w:numId w:val="11"/>
        </w:numPr>
        <w:spacing w:before="240" w:after="60" w:line="256" w:lineRule="auto"/>
        <w:ind w:left="714" w:hanging="357"/>
        <w:rPr>
          <w:rFonts w:cstheme="minorHAnsi"/>
          <w:lang w:val="sl-SI"/>
        </w:rPr>
      </w:pPr>
      <w:r w:rsidRPr="00D27DA9">
        <w:rPr>
          <w:rFonts w:cstheme="minorHAnsi"/>
          <w:lang w:val="sl-SI"/>
        </w:rPr>
        <w:t>Sodelovanje  in nameravano sodelovanja v skupnih dejavnostih kibernetske obrambe, vključno s projekti PESCO</w:t>
      </w:r>
    </w:p>
    <w:tbl>
      <w:tblPr>
        <w:tblStyle w:val="Tabelamrea"/>
        <w:tblW w:w="0"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3566"/>
        <w:gridCol w:w="3566"/>
        <w:gridCol w:w="3566"/>
        <w:gridCol w:w="3567"/>
      </w:tblGrid>
      <w:tr w:rsidR="00701148" w:rsidRPr="00D27DA9" w14:paraId="72BABFB6" w14:textId="77777777" w:rsidTr="00701148">
        <w:trPr>
          <w:trHeight w:val="359"/>
        </w:trPr>
        <w:tc>
          <w:tcPr>
            <w:tcW w:w="3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DF21E82" w14:textId="77777777" w:rsidR="00701148" w:rsidRPr="00D27DA9" w:rsidRDefault="00701148">
            <w:pPr>
              <w:jc w:val="center"/>
              <w:rPr>
                <w:rFonts w:eastAsia="Calibri" w:cstheme="minorHAnsi"/>
                <w:b/>
                <w:bCs/>
                <w:lang w:val="sl-SI"/>
              </w:rPr>
            </w:pPr>
          </w:p>
        </w:tc>
        <w:tc>
          <w:tcPr>
            <w:tcW w:w="3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3C892CE8" w14:textId="77777777" w:rsidR="00701148" w:rsidRPr="00D27DA9" w:rsidRDefault="00701148">
            <w:pPr>
              <w:jc w:val="center"/>
              <w:rPr>
                <w:rFonts w:eastAsia="Calibri" w:cstheme="minorHAnsi"/>
                <w:b/>
                <w:bCs/>
                <w:lang w:val="sl-SI"/>
              </w:rPr>
            </w:pPr>
            <w:r w:rsidRPr="00D27DA9">
              <w:rPr>
                <w:rFonts w:eastAsia="Calibri" w:cstheme="minorHAnsi"/>
                <w:b/>
                <w:bCs/>
                <w:lang w:val="sl-SI"/>
              </w:rPr>
              <w:t>2020</w:t>
            </w:r>
          </w:p>
          <w:p w14:paraId="758C854A" w14:textId="77777777" w:rsidR="00701148" w:rsidRPr="00D27DA9" w:rsidRDefault="00701148">
            <w:pPr>
              <w:jc w:val="center"/>
              <w:rPr>
                <w:rFonts w:eastAsia="Calibri" w:cstheme="minorHAnsi"/>
                <w:b/>
                <w:bCs/>
                <w:lang w:val="sl-SI"/>
              </w:rPr>
            </w:pPr>
            <w:r w:rsidRPr="00D27DA9">
              <w:rPr>
                <w:rFonts w:eastAsia="Calibri" w:cstheme="minorHAnsi"/>
                <w:b/>
                <w:bCs/>
                <w:lang w:val="sl-SI"/>
              </w:rPr>
              <w:t>(samoocena)</w:t>
            </w:r>
          </w:p>
        </w:tc>
        <w:tc>
          <w:tcPr>
            <w:tcW w:w="3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2AE24CE3" w14:textId="77777777" w:rsidR="00701148" w:rsidRPr="00D27DA9" w:rsidRDefault="00701148">
            <w:pPr>
              <w:jc w:val="center"/>
              <w:rPr>
                <w:rFonts w:eastAsia="Calibri" w:cstheme="minorHAnsi"/>
                <w:b/>
                <w:bCs/>
                <w:lang w:val="sl-SI"/>
              </w:rPr>
            </w:pPr>
            <w:r w:rsidRPr="00D27DA9">
              <w:rPr>
                <w:rFonts w:eastAsia="Calibri" w:cstheme="minorHAnsi"/>
                <w:b/>
                <w:bCs/>
                <w:lang w:val="sl-SI"/>
              </w:rPr>
              <w:t>2021</w:t>
            </w:r>
          </w:p>
          <w:p w14:paraId="46AC749C" w14:textId="77777777" w:rsidR="00701148" w:rsidRPr="00D27DA9" w:rsidRDefault="00701148">
            <w:pPr>
              <w:jc w:val="center"/>
              <w:rPr>
                <w:rFonts w:eastAsia="Calibri" w:cstheme="minorHAnsi"/>
                <w:b/>
                <w:lang w:val="sl-SI"/>
              </w:rPr>
            </w:pPr>
            <w:r w:rsidRPr="00D27DA9">
              <w:rPr>
                <w:rFonts w:eastAsia="Calibri" w:cstheme="minorHAnsi"/>
                <w:b/>
                <w:bCs/>
                <w:lang w:val="sl-SI"/>
              </w:rPr>
              <w:t>(predvideno)</w:t>
            </w:r>
          </w:p>
        </w:tc>
        <w:tc>
          <w:tcPr>
            <w:tcW w:w="356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61025DD6" w14:textId="77777777" w:rsidR="00701148" w:rsidRPr="00D27DA9" w:rsidRDefault="00701148">
            <w:pPr>
              <w:jc w:val="center"/>
              <w:rPr>
                <w:rFonts w:eastAsia="Calibri" w:cstheme="minorHAnsi"/>
                <w:b/>
                <w:bCs/>
                <w:lang w:val="sl-SI"/>
              </w:rPr>
            </w:pPr>
            <w:r w:rsidRPr="00D27DA9">
              <w:rPr>
                <w:rFonts w:eastAsia="Calibri" w:cstheme="minorHAnsi"/>
                <w:b/>
                <w:bCs/>
                <w:lang w:val="sl-SI"/>
              </w:rPr>
              <w:t xml:space="preserve">2022-2025 </w:t>
            </w:r>
          </w:p>
          <w:p w14:paraId="32D6BA6D" w14:textId="77777777" w:rsidR="00701148" w:rsidRPr="00D27DA9" w:rsidRDefault="00701148">
            <w:pPr>
              <w:jc w:val="center"/>
              <w:rPr>
                <w:rFonts w:eastAsia="Calibri" w:cstheme="minorHAnsi"/>
                <w:b/>
                <w:lang w:val="sl-SI"/>
              </w:rPr>
            </w:pPr>
            <w:r w:rsidRPr="00D27DA9">
              <w:rPr>
                <w:rFonts w:eastAsia="Calibri" w:cstheme="minorHAnsi"/>
                <w:b/>
                <w:bCs/>
                <w:lang w:val="sl-SI"/>
              </w:rPr>
              <w:t>(predvideno)</w:t>
            </w:r>
          </w:p>
        </w:tc>
      </w:tr>
      <w:tr w:rsidR="00701148" w:rsidRPr="00D27DA9" w14:paraId="28436343" w14:textId="77777777" w:rsidTr="00701148">
        <w:trPr>
          <w:trHeight w:val="1246"/>
        </w:trPr>
        <w:tc>
          <w:tcPr>
            <w:tcW w:w="3566" w:type="dxa"/>
            <w:tcBorders>
              <w:top w:val="single" w:sz="12" w:space="0" w:color="auto"/>
              <w:left w:val="single" w:sz="12" w:space="0" w:color="auto"/>
              <w:bottom w:val="single" w:sz="12" w:space="0" w:color="auto"/>
              <w:right w:val="single" w:sz="12" w:space="0" w:color="auto"/>
            </w:tcBorders>
            <w:hideMark/>
          </w:tcPr>
          <w:p w14:paraId="01599A57" w14:textId="77777777" w:rsidR="00701148" w:rsidRPr="00D27DA9" w:rsidRDefault="00701148">
            <w:pPr>
              <w:rPr>
                <w:rFonts w:cstheme="minorHAnsi"/>
                <w:bCs/>
                <w:iCs/>
                <w:lang w:val="sl-SI"/>
              </w:rPr>
            </w:pPr>
            <w:r w:rsidRPr="00D27DA9">
              <w:rPr>
                <w:rFonts w:cstheme="minorHAnsi"/>
                <w:b/>
                <w:bCs/>
                <w:lang w:val="sl-SI"/>
              </w:rPr>
              <w:t>PESCO Skupine za hitro odzivanje in medsebojno pomoč pri kibernetski varnosti (</w:t>
            </w:r>
            <w:r w:rsidRPr="00D27DA9">
              <w:rPr>
                <w:rFonts w:cstheme="minorHAnsi"/>
                <w:lang w:val="sl-SI"/>
              </w:rPr>
              <w:t>Cyber Rapid Response Teams and Mutual Assistance in Cyber Security</w:t>
            </w:r>
            <w:r w:rsidRPr="00D27DA9">
              <w:rPr>
                <w:rFonts w:cstheme="minorHAnsi"/>
                <w:b/>
                <w:bCs/>
                <w:lang w:val="sl-SI"/>
              </w:rPr>
              <w:t>)</w:t>
            </w:r>
          </w:p>
        </w:tc>
        <w:tc>
          <w:tcPr>
            <w:tcW w:w="3566" w:type="dxa"/>
            <w:tcBorders>
              <w:top w:val="single" w:sz="12" w:space="0" w:color="auto"/>
              <w:left w:val="single" w:sz="12" w:space="0" w:color="auto"/>
              <w:bottom w:val="single" w:sz="12" w:space="0" w:color="auto"/>
              <w:right w:val="single" w:sz="12" w:space="0" w:color="auto"/>
            </w:tcBorders>
            <w:hideMark/>
          </w:tcPr>
          <w:p w14:paraId="65829A66" w14:textId="77777777" w:rsidR="00701148" w:rsidRPr="00D27DA9" w:rsidRDefault="00701148">
            <w:pPr>
              <w:rPr>
                <w:rFonts w:cstheme="minorHAnsi"/>
                <w:iCs/>
                <w:lang w:val="sl-SI"/>
              </w:rPr>
            </w:pPr>
            <w:r w:rsidRPr="00D27DA9">
              <w:rPr>
                <w:rFonts w:cstheme="minorHAnsi"/>
                <w:iCs/>
                <w:lang w:val="sl-SI"/>
              </w:rPr>
              <w:t>Status v projektu: opazovalec.</w:t>
            </w:r>
          </w:p>
        </w:tc>
        <w:tc>
          <w:tcPr>
            <w:tcW w:w="3566" w:type="dxa"/>
            <w:tcBorders>
              <w:top w:val="single" w:sz="12" w:space="0" w:color="auto"/>
              <w:left w:val="single" w:sz="12" w:space="0" w:color="auto"/>
              <w:bottom w:val="single" w:sz="12" w:space="0" w:color="auto"/>
              <w:right w:val="single" w:sz="12" w:space="0" w:color="auto"/>
            </w:tcBorders>
            <w:hideMark/>
          </w:tcPr>
          <w:p w14:paraId="5E6A2DFF" w14:textId="65723ED0" w:rsidR="00701148" w:rsidRPr="00D27DA9" w:rsidRDefault="001C2D4A" w:rsidP="001C2D4A">
            <w:pPr>
              <w:rPr>
                <w:rFonts w:cstheme="minorHAnsi"/>
                <w:iCs/>
                <w:lang w:val="sl-SI"/>
              </w:rPr>
            </w:pPr>
            <w:r w:rsidRPr="00D27DA9">
              <w:rPr>
                <w:rFonts w:cstheme="minorHAnsi"/>
                <w:iCs/>
                <w:lang w:val="sl-SI"/>
              </w:rPr>
              <w:t xml:space="preserve">Slovenija bo iz tega projekta izstopila kot opazovalka in se vključila v projekt </w:t>
            </w:r>
            <w:r w:rsidRPr="00D27DA9">
              <w:rPr>
                <w:rFonts w:cstheme="minorHAnsi"/>
                <w:bCs/>
                <w:lang w:val="sl-SI"/>
              </w:rPr>
              <w:t>EU Cyber Academia and Innovation Hub.</w:t>
            </w:r>
            <w:r w:rsidRPr="00D27DA9">
              <w:rPr>
                <w:rFonts w:cstheme="minorHAnsi"/>
                <w:b/>
                <w:bCs/>
                <w:lang w:val="sl-SI"/>
              </w:rPr>
              <w:t xml:space="preserve"> </w:t>
            </w:r>
          </w:p>
        </w:tc>
        <w:tc>
          <w:tcPr>
            <w:tcW w:w="3567" w:type="dxa"/>
            <w:tcBorders>
              <w:top w:val="single" w:sz="12" w:space="0" w:color="auto"/>
              <w:left w:val="single" w:sz="12" w:space="0" w:color="auto"/>
              <w:bottom w:val="single" w:sz="12" w:space="0" w:color="auto"/>
              <w:right w:val="single" w:sz="12" w:space="0" w:color="auto"/>
            </w:tcBorders>
            <w:shd w:val="clear" w:color="auto" w:fill="FFFFFF" w:themeFill="background1"/>
            <w:hideMark/>
          </w:tcPr>
          <w:p w14:paraId="2A736701" w14:textId="1C35B21D" w:rsidR="00701148" w:rsidRPr="00D27DA9" w:rsidRDefault="001C2D4A">
            <w:pPr>
              <w:rPr>
                <w:rFonts w:cstheme="minorHAnsi"/>
                <w:iCs/>
                <w:lang w:val="sl-SI"/>
              </w:rPr>
            </w:pPr>
            <w:r w:rsidRPr="00D27DA9">
              <w:rPr>
                <w:rFonts w:cstheme="minorHAnsi"/>
                <w:iCs/>
                <w:lang w:val="sl-SI"/>
              </w:rPr>
              <w:t>/</w:t>
            </w:r>
          </w:p>
        </w:tc>
      </w:tr>
      <w:tr w:rsidR="00701148" w:rsidRPr="00D27DA9" w14:paraId="3D80B010" w14:textId="77777777" w:rsidTr="00701148">
        <w:trPr>
          <w:trHeight w:val="1246"/>
        </w:trPr>
        <w:tc>
          <w:tcPr>
            <w:tcW w:w="3566" w:type="dxa"/>
            <w:tcBorders>
              <w:top w:val="single" w:sz="12" w:space="0" w:color="auto"/>
              <w:left w:val="single" w:sz="12" w:space="0" w:color="auto"/>
              <w:bottom w:val="single" w:sz="12" w:space="0" w:color="auto"/>
              <w:right w:val="single" w:sz="12" w:space="0" w:color="auto"/>
            </w:tcBorders>
            <w:hideMark/>
          </w:tcPr>
          <w:p w14:paraId="3C43C946" w14:textId="77777777" w:rsidR="00701148" w:rsidRPr="00D27DA9" w:rsidRDefault="00701148">
            <w:pPr>
              <w:rPr>
                <w:rFonts w:cstheme="minorHAnsi"/>
                <w:b/>
                <w:bCs/>
                <w:lang w:val="sl-SI"/>
              </w:rPr>
            </w:pPr>
            <w:r w:rsidRPr="00D27DA9">
              <w:rPr>
                <w:rFonts w:cstheme="minorHAnsi"/>
                <w:b/>
                <w:bCs/>
                <w:lang w:val="sl-SI"/>
              </w:rPr>
              <w:t>PESCO Kibernetske grožnje in platforma za odzive na incidente in izmenjavo informacij (</w:t>
            </w:r>
            <w:r w:rsidRPr="00D27DA9">
              <w:rPr>
                <w:rFonts w:cstheme="minorHAnsi"/>
                <w:lang w:val="sl-SI"/>
              </w:rPr>
              <w:t>Cyber Threats and Incident Response Information Sharing Platform</w:t>
            </w:r>
            <w:r w:rsidRPr="00D27DA9">
              <w:rPr>
                <w:rFonts w:cstheme="minorHAnsi"/>
                <w:b/>
                <w:bCs/>
                <w:lang w:val="sl-SI"/>
              </w:rPr>
              <w:t>)</w:t>
            </w:r>
          </w:p>
        </w:tc>
        <w:tc>
          <w:tcPr>
            <w:tcW w:w="3566" w:type="dxa"/>
            <w:tcBorders>
              <w:top w:val="single" w:sz="12" w:space="0" w:color="auto"/>
              <w:left w:val="single" w:sz="12" w:space="0" w:color="auto"/>
              <w:bottom w:val="single" w:sz="12" w:space="0" w:color="auto"/>
              <w:right w:val="single" w:sz="12" w:space="0" w:color="auto"/>
            </w:tcBorders>
            <w:hideMark/>
          </w:tcPr>
          <w:p w14:paraId="0F8D444C" w14:textId="77777777" w:rsidR="00701148" w:rsidRPr="00D27DA9" w:rsidRDefault="00701148">
            <w:pPr>
              <w:rPr>
                <w:rFonts w:cstheme="minorHAnsi"/>
                <w:iCs/>
                <w:lang w:val="sl-SI"/>
              </w:rPr>
            </w:pPr>
            <w:r w:rsidRPr="00D27DA9">
              <w:rPr>
                <w:rFonts w:cstheme="minorHAnsi"/>
                <w:iCs/>
                <w:lang w:val="sl-SI"/>
              </w:rPr>
              <w:t>Status v projektu: opazovalec.</w:t>
            </w:r>
          </w:p>
        </w:tc>
        <w:tc>
          <w:tcPr>
            <w:tcW w:w="3566" w:type="dxa"/>
            <w:tcBorders>
              <w:top w:val="single" w:sz="12" w:space="0" w:color="auto"/>
              <w:left w:val="single" w:sz="12" w:space="0" w:color="auto"/>
              <w:bottom w:val="single" w:sz="12" w:space="0" w:color="auto"/>
              <w:right w:val="single" w:sz="12" w:space="0" w:color="auto"/>
            </w:tcBorders>
            <w:hideMark/>
          </w:tcPr>
          <w:p w14:paraId="3981BE20" w14:textId="77777777" w:rsidR="00701148" w:rsidRPr="00D27DA9" w:rsidRDefault="00701148">
            <w:pPr>
              <w:rPr>
                <w:rFonts w:cstheme="minorHAnsi"/>
                <w:iCs/>
                <w:lang w:val="sl-SI"/>
              </w:rPr>
            </w:pPr>
            <w:r w:rsidRPr="00D27DA9">
              <w:rPr>
                <w:rFonts w:cstheme="minorHAnsi"/>
                <w:iCs/>
                <w:lang w:val="sl-SI"/>
              </w:rPr>
              <w:t>Predvidevamo, da ne bomo več sodelovali v projektu.</w:t>
            </w:r>
          </w:p>
        </w:tc>
        <w:tc>
          <w:tcPr>
            <w:tcW w:w="3567" w:type="dxa"/>
            <w:tcBorders>
              <w:top w:val="single" w:sz="12" w:space="0" w:color="auto"/>
              <w:left w:val="single" w:sz="12" w:space="0" w:color="auto"/>
              <w:bottom w:val="single" w:sz="12" w:space="0" w:color="auto"/>
              <w:right w:val="single" w:sz="12" w:space="0" w:color="auto"/>
            </w:tcBorders>
            <w:shd w:val="clear" w:color="auto" w:fill="FFFFFF" w:themeFill="background1"/>
            <w:hideMark/>
          </w:tcPr>
          <w:p w14:paraId="4167930A" w14:textId="77777777" w:rsidR="00701148" w:rsidRPr="00D27DA9" w:rsidRDefault="00701148">
            <w:pPr>
              <w:rPr>
                <w:rFonts w:cstheme="minorHAnsi"/>
                <w:iCs/>
                <w:lang w:val="sl-SI"/>
              </w:rPr>
            </w:pPr>
            <w:r w:rsidRPr="00D27DA9">
              <w:rPr>
                <w:rFonts w:cstheme="minorHAnsi"/>
                <w:iCs/>
                <w:lang w:val="sl-SI"/>
              </w:rPr>
              <w:t>Predvidevamo, da ne bomo več sodelovali v projektu.</w:t>
            </w:r>
          </w:p>
        </w:tc>
      </w:tr>
      <w:tr w:rsidR="00701148" w:rsidRPr="00D27DA9" w14:paraId="76A9C483" w14:textId="77777777" w:rsidTr="00701148">
        <w:trPr>
          <w:trHeight w:val="964"/>
        </w:trPr>
        <w:tc>
          <w:tcPr>
            <w:tcW w:w="3566" w:type="dxa"/>
            <w:tcBorders>
              <w:top w:val="single" w:sz="12" w:space="0" w:color="auto"/>
              <w:left w:val="single" w:sz="12" w:space="0" w:color="auto"/>
              <w:bottom w:val="single" w:sz="12" w:space="0" w:color="auto"/>
              <w:right w:val="single" w:sz="12" w:space="0" w:color="auto"/>
            </w:tcBorders>
            <w:hideMark/>
          </w:tcPr>
          <w:p w14:paraId="0CEF2FF4" w14:textId="77777777" w:rsidR="00701148" w:rsidRPr="00D27DA9" w:rsidRDefault="00701148">
            <w:pPr>
              <w:rPr>
                <w:rFonts w:cstheme="minorHAnsi"/>
                <w:b/>
                <w:bCs/>
                <w:lang w:val="sl-SI"/>
              </w:rPr>
            </w:pPr>
            <w:r w:rsidRPr="00D27DA9">
              <w:rPr>
                <w:rFonts w:cstheme="minorHAnsi"/>
                <w:b/>
                <w:bCs/>
                <w:lang w:val="sl-SI"/>
              </w:rPr>
              <w:t>PESCO EU Cyber Academia and Innovation Hub</w:t>
            </w:r>
          </w:p>
        </w:tc>
        <w:tc>
          <w:tcPr>
            <w:tcW w:w="3566" w:type="dxa"/>
            <w:tcBorders>
              <w:top w:val="single" w:sz="12" w:space="0" w:color="auto"/>
              <w:left w:val="single" w:sz="12" w:space="0" w:color="auto"/>
              <w:bottom w:val="single" w:sz="12" w:space="0" w:color="auto"/>
              <w:right w:val="single" w:sz="12" w:space="0" w:color="auto"/>
            </w:tcBorders>
            <w:hideMark/>
          </w:tcPr>
          <w:p w14:paraId="4F0F6AD2" w14:textId="77777777" w:rsidR="00701148" w:rsidRPr="00D27DA9" w:rsidRDefault="00701148">
            <w:pPr>
              <w:rPr>
                <w:rFonts w:cstheme="minorHAnsi"/>
                <w:iCs/>
                <w:lang w:val="sl-SI"/>
              </w:rPr>
            </w:pPr>
            <w:r w:rsidRPr="00D27DA9">
              <w:rPr>
                <w:rFonts w:cstheme="minorHAnsi"/>
                <w:iCs/>
                <w:lang w:val="sl-SI"/>
              </w:rPr>
              <w:t>Ne sodelujemo.</w:t>
            </w:r>
          </w:p>
        </w:tc>
        <w:tc>
          <w:tcPr>
            <w:tcW w:w="3566" w:type="dxa"/>
            <w:tcBorders>
              <w:top w:val="single" w:sz="12" w:space="0" w:color="auto"/>
              <w:left w:val="single" w:sz="12" w:space="0" w:color="auto"/>
              <w:bottom w:val="single" w:sz="12" w:space="0" w:color="auto"/>
              <w:right w:val="single" w:sz="12" w:space="0" w:color="auto"/>
            </w:tcBorders>
            <w:hideMark/>
          </w:tcPr>
          <w:p w14:paraId="1D81E98F" w14:textId="77777777" w:rsidR="00701148" w:rsidRPr="00D27DA9" w:rsidRDefault="00701148" w:rsidP="00F70C15">
            <w:pPr>
              <w:jc w:val="both"/>
              <w:rPr>
                <w:rFonts w:cstheme="minorHAnsi"/>
                <w:iCs/>
                <w:lang w:val="sl-SI"/>
              </w:rPr>
            </w:pPr>
            <w:r w:rsidRPr="00D27DA9">
              <w:rPr>
                <w:rFonts w:cstheme="minorHAnsi"/>
                <w:iCs/>
                <w:lang w:val="sl-SI"/>
              </w:rPr>
              <w:t>Pričakovan status v projektu: opazovalec.</w:t>
            </w:r>
          </w:p>
        </w:tc>
        <w:tc>
          <w:tcPr>
            <w:tcW w:w="3567" w:type="dxa"/>
            <w:tcBorders>
              <w:top w:val="single" w:sz="12" w:space="0" w:color="auto"/>
              <w:left w:val="single" w:sz="12" w:space="0" w:color="auto"/>
              <w:bottom w:val="single" w:sz="12" w:space="0" w:color="auto"/>
              <w:right w:val="single" w:sz="12" w:space="0" w:color="auto"/>
            </w:tcBorders>
            <w:shd w:val="clear" w:color="auto" w:fill="FFFFFF" w:themeFill="background1"/>
            <w:hideMark/>
          </w:tcPr>
          <w:p w14:paraId="1BE9E2AD" w14:textId="77777777" w:rsidR="00701148" w:rsidRPr="00D27DA9" w:rsidRDefault="00701148" w:rsidP="00F70C15">
            <w:pPr>
              <w:jc w:val="both"/>
              <w:rPr>
                <w:rFonts w:cstheme="minorHAnsi"/>
                <w:iCs/>
                <w:lang w:val="sl-SI"/>
              </w:rPr>
            </w:pPr>
            <w:r w:rsidRPr="00D27DA9">
              <w:rPr>
                <w:rFonts w:cstheme="minorHAnsi"/>
                <w:iCs/>
                <w:lang w:val="sl-SI"/>
              </w:rPr>
              <w:t>Predvidevamo, da bomo aktivni član projekta in da bomo sodelovali pri zagotavljanju zmogljivost ter da bomo hkrati tudi njen uporabnik.</w:t>
            </w:r>
          </w:p>
        </w:tc>
      </w:tr>
      <w:tr w:rsidR="00701148" w:rsidRPr="00D27DA9" w14:paraId="11A8939B" w14:textId="77777777" w:rsidTr="00701148">
        <w:trPr>
          <w:trHeight w:val="624"/>
        </w:trPr>
        <w:tc>
          <w:tcPr>
            <w:tcW w:w="3566" w:type="dxa"/>
            <w:tcBorders>
              <w:top w:val="single" w:sz="12" w:space="0" w:color="auto"/>
              <w:left w:val="single" w:sz="12" w:space="0" w:color="auto"/>
              <w:bottom w:val="single" w:sz="12" w:space="0" w:color="auto"/>
              <w:right w:val="single" w:sz="12" w:space="0" w:color="auto"/>
            </w:tcBorders>
            <w:hideMark/>
          </w:tcPr>
          <w:p w14:paraId="69E4C23C" w14:textId="77777777" w:rsidR="00701148" w:rsidRPr="00D27DA9" w:rsidRDefault="00701148">
            <w:pPr>
              <w:keepNext/>
              <w:rPr>
                <w:rFonts w:cstheme="minorHAnsi"/>
                <w:b/>
                <w:bCs/>
                <w:lang w:val="sl-SI"/>
              </w:rPr>
            </w:pPr>
            <w:r w:rsidRPr="00D27DA9">
              <w:rPr>
                <w:rFonts w:cstheme="minorHAnsi"/>
                <w:b/>
                <w:bCs/>
                <w:lang w:val="sl-SI"/>
              </w:rPr>
              <w:t>CapTech Cyber</w:t>
            </w:r>
          </w:p>
        </w:tc>
        <w:tc>
          <w:tcPr>
            <w:tcW w:w="3566" w:type="dxa"/>
            <w:tcBorders>
              <w:top w:val="single" w:sz="12" w:space="0" w:color="auto"/>
              <w:left w:val="single" w:sz="12" w:space="0" w:color="auto"/>
              <w:bottom w:val="single" w:sz="12" w:space="0" w:color="auto"/>
              <w:right w:val="single" w:sz="12" w:space="0" w:color="auto"/>
            </w:tcBorders>
            <w:hideMark/>
          </w:tcPr>
          <w:p w14:paraId="07FC6053" w14:textId="77777777" w:rsidR="00701148" w:rsidRPr="00D27DA9" w:rsidRDefault="00701148" w:rsidP="00F70C15">
            <w:pPr>
              <w:keepNext/>
              <w:jc w:val="both"/>
              <w:rPr>
                <w:rFonts w:cstheme="minorHAnsi"/>
                <w:iCs/>
                <w:lang w:val="sl-SI"/>
              </w:rPr>
            </w:pPr>
            <w:r w:rsidRPr="00D27DA9">
              <w:rPr>
                <w:rFonts w:cstheme="minorHAnsi"/>
                <w:iCs/>
                <w:lang w:val="sl-SI"/>
              </w:rPr>
              <w:t>Slovenija sodeluje v CapTech Cyber od njegove vzpostavitve v drugi polovici leta 2020.</w:t>
            </w:r>
          </w:p>
        </w:tc>
        <w:tc>
          <w:tcPr>
            <w:tcW w:w="3566" w:type="dxa"/>
            <w:tcBorders>
              <w:top w:val="single" w:sz="12" w:space="0" w:color="auto"/>
              <w:left w:val="single" w:sz="12" w:space="0" w:color="auto"/>
              <w:bottom w:val="single" w:sz="12" w:space="0" w:color="auto"/>
              <w:right w:val="single" w:sz="12" w:space="0" w:color="auto"/>
            </w:tcBorders>
            <w:hideMark/>
          </w:tcPr>
          <w:p w14:paraId="78081289" w14:textId="77777777" w:rsidR="00701148" w:rsidRPr="00D27DA9" w:rsidRDefault="00701148" w:rsidP="00F70C15">
            <w:pPr>
              <w:keepNext/>
              <w:jc w:val="both"/>
              <w:rPr>
                <w:rFonts w:cstheme="minorHAnsi"/>
                <w:iCs/>
                <w:lang w:val="sl-SI"/>
              </w:rPr>
            </w:pPr>
            <w:r w:rsidRPr="00D27DA9">
              <w:rPr>
                <w:rFonts w:cstheme="minorHAnsi"/>
                <w:iCs/>
                <w:lang w:val="sl-SI"/>
              </w:rPr>
              <w:t>Slovenija bo sodelovala pri pripravi projektov v CapTec Cyber in v pripravi projektov drugih CapTech za vsebine, ki se navezujejo na področje dela CapTech Cyber.</w:t>
            </w:r>
          </w:p>
        </w:tc>
        <w:tc>
          <w:tcPr>
            <w:tcW w:w="3567" w:type="dxa"/>
            <w:tcBorders>
              <w:top w:val="single" w:sz="12" w:space="0" w:color="auto"/>
              <w:left w:val="single" w:sz="12" w:space="0" w:color="auto"/>
              <w:bottom w:val="single" w:sz="12" w:space="0" w:color="auto"/>
              <w:right w:val="single" w:sz="12" w:space="0" w:color="auto"/>
            </w:tcBorders>
            <w:shd w:val="clear" w:color="auto" w:fill="FFFFFF" w:themeFill="background1"/>
            <w:hideMark/>
          </w:tcPr>
          <w:p w14:paraId="68BC0F6C" w14:textId="260E4DFE" w:rsidR="00701148" w:rsidRPr="00D27DA9" w:rsidRDefault="00701148" w:rsidP="00F70C15">
            <w:pPr>
              <w:keepNext/>
              <w:jc w:val="both"/>
              <w:rPr>
                <w:rFonts w:cstheme="minorHAnsi"/>
                <w:iCs/>
                <w:lang w:val="sl-SI"/>
              </w:rPr>
            </w:pPr>
            <w:r w:rsidRPr="00D27DA9">
              <w:rPr>
                <w:rFonts w:cstheme="minorHAnsi"/>
                <w:iCs/>
                <w:lang w:val="sl-SI"/>
              </w:rPr>
              <w:t>Slovenija bo v letu 2022 sodelovala v enem projektu CapTec Cyber ali v projektu drugih CapTech, ki se bo navezoval na področje dela CapTech Cyber. Slovenija bo sodelovali pri pripravi projektov CapTech Cyber z ambicijo, da vsako leto sodeluje v vsaj enem novem projektu.</w:t>
            </w:r>
          </w:p>
        </w:tc>
      </w:tr>
      <w:tr w:rsidR="00701148" w:rsidRPr="00D27DA9" w14:paraId="66CCD738" w14:textId="77777777" w:rsidTr="00701148">
        <w:trPr>
          <w:trHeight w:val="881"/>
        </w:trPr>
        <w:tc>
          <w:tcPr>
            <w:tcW w:w="3566" w:type="dxa"/>
            <w:tcBorders>
              <w:top w:val="single" w:sz="12" w:space="0" w:color="auto"/>
              <w:left w:val="single" w:sz="12" w:space="0" w:color="auto"/>
              <w:bottom w:val="single" w:sz="12" w:space="0" w:color="auto"/>
              <w:right w:val="single" w:sz="12" w:space="0" w:color="auto"/>
            </w:tcBorders>
            <w:hideMark/>
          </w:tcPr>
          <w:p w14:paraId="0B334DF8" w14:textId="77777777" w:rsidR="00701148" w:rsidRPr="00D27DA9" w:rsidRDefault="00701148">
            <w:pPr>
              <w:rPr>
                <w:rFonts w:cstheme="minorHAnsi"/>
                <w:b/>
                <w:bCs/>
                <w:lang w:val="sl-SI"/>
              </w:rPr>
            </w:pPr>
            <w:r w:rsidRPr="00D27DA9">
              <w:rPr>
                <w:rFonts w:cstheme="minorHAnsi"/>
                <w:b/>
                <w:bCs/>
                <w:lang w:val="sl-SI"/>
              </w:rPr>
              <w:t>NATO: MN MISP (</w:t>
            </w:r>
            <w:r w:rsidRPr="00D27DA9">
              <w:rPr>
                <w:rFonts w:cstheme="minorHAnsi"/>
                <w:lang w:val="sl-SI"/>
              </w:rPr>
              <w:t>Malware Infromation Sharing Platform</w:t>
            </w:r>
            <w:r w:rsidRPr="00D27DA9">
              <w:rPr>
                <w:rFonts w:cstheme="minorHAnsi"/>
                <w:b/>
                <w:bCs/>
                <w:lang w:val="sl-SI"/>
              </w:rPr>
              <w:t>) in CSCH (</w:t>
            </w:r>
            <w:r w:rsidRPr="00D27DA9">
              <w:rPr>
                <w:rFonts w:cstheme="minorHAnsi"/>
                <w:lang w:val="sl-SI"/>
              </w:rPr>
              <w:t>Cyber Security Collaboration Hub</w:t>
            </w:r>
            <w:r w:rsidRPr="00D27DA9">
              <w:rPr>
                <w:rFonts w:cstheme="minorHAnsi"/>
                <w:b/>
                <w:bCs/>
                <w:lang w:val="sl-SI"/>
              </w:rPr>
              <w:t>)</w:t>
            </w:r>
          </w:p>
        </w:tc>
        <w:tc>
          <w:tcPr>
            <w:tcW w:w="3566" w:type="dxa"/>
            <w:tcBorders>
              <w:top w:val="single" w:sz="12" w:space="0" w:color="auto"/>
              <w:left w:val="single" w:sz="12" w:space="0" w:color="auto"/>
              <w:bottom w:val="single" w:sz="12" w:space="0" w:color="auto"/>
              <w:right w:val="single" w:sz="12" w:space="0" w:color="auto"/>
            </w:tcBorders>
            <w:hideMark/>
          </w:tcPr>
          <w:p w14:paraId="4A42E076" w14:textId="77777777" w:rsidR="00701148" w:rsidRPr="00D27DA9" w:rsidRDefault="00701148">
            <w:pPr>
              <w:rPr>
                <w:rFonts w:cstheme="minorHAnsi"/>
                <w:iCs/>
                <w:lang w:val="sl-SI"/>
              </w:rPr>
            </w:pPr>
            <w:r w:rsidRPr="00D27DA9">
              <w:rPr>
                <w:rFonts w:cstheme="minorHAnsi"/>
                <w:iCs/>
                <w:lang w:val="sl-SI"/>
              </w:rPr>
              <w:t>Aktivno sodelovanje na sestankih in redno uporaba platform ter objava informacij</w:t>
            </w:r>
          </w:p>
        </w:tc>
        <w:tc>
          <w:tcPr>
            <w:tcW w:w="3566" w:type="dxa"/>
            <w:tcBorders>
              <w:top w:val="single" w:sz="12" w:space="0" w:color="auto"/>
              <w:left w:val="single" w:sz="12" w:space="0" w:color="auto"/>
              <w:bottom w:val="single" w:sz="12" w:space="0" w:color="auto"/>
              <w:right w:val="single" w:sz="12" w:space="0" w:color="auto"/>
            </w:tcBorders>
            <w:hideMark/>
          </w:tcPr>
          <w:p w14:paraId="02A9DFA5" w14:textId="77777777" w:rsidR="00701148" w:rsidRPr="00D27DA9" w:rsidRDefault="00701148">
            <w:pPr>
              <w:rPr>
                <w:rFonts w:cstheme="minorHAnsi"/>
                <w:iCs/>
                <w:lang w:val="sl-SI"/>
              </w:rPr>
            </w:pPr>
            <w:r w:rsidRPr="00D27DA9">
              <w:rPr>
                <w:rFonts w:cstheme="minorHAnsi"/>
                <w:iCs/>
                <w:lang w:val="sl-SI"/>
              </w:rPr>
              <w:t>Povečanje uporabe orodij za deljenje informacij.</w:t>
            </w:r>
          </w:p>
        </w:tc>
        <w:tc>
          <w:tcPr>
            <w:tcW w:w="3567" w:type="dxa"/>
            <w:tcBorders>
              <w:top w:val="single" w:sz="12" w:space="0" w:color="auto"/>
              <w:left w:val="single" w:sz="12" w:space="0" w:color="auto"/>
              <w:bottom w:val="single" w:sz="12" w:space="0" w:color="auto"/>
              <w:right w:val="single" w:sz="12" w:space="0" w:color="auto"/>
            </w:tcBorders>
            <w:shd w:val="clear" w:color="auto" w:fill="FFFFFF" w:themeFill="background1"/>
            <w:hideMark/>
          </w:tcPr>
          <w:p w14:paraId="49F56913" w14:textId="77777777" w:rsidR="00701148" w:rsidRPr="00D27DA9" w:rsidRDefault="00701148">
            <w:pPr>
              <w:rPr>
                <w:rFonts w:cstheme="minorHAnsi"/>
                <w:iCs/>
                <w:lang w:val="sl-SI"/>
              </w:rPr>
            </w:pPr>
            <w:r w:rsidRPr="00D27DA9">
              <w:rPr>
                <w:rFonts w:cstheme="minorHAnsi"/>
                <w:iCs/>
                <w:lang w:val="sl-SI"/>
              </w:rPr>
              <w:t>Povečanje uporabe orodij za deljenje informacij.</w:t>
            </w:r>
          </w:p>
        </w:tc>
      </w:tr>
    </w:tbl>
    <w:p w14:paraId="5B695D9A" w14:textId="77777777" w:rsidR="00701148" w:rsidRPr="00D27DA9" w:rsidRDefault="00701148" w:rsidP="00701148">
      <w:pPr>
        <w:spacing w:after="0"/>
        <w:rPr>
          <w:rFonts w:cstheme="minorHAnsi"/>
        </w:rPr>
      </w:pPr>
    </w:p>
    <w:p w14:paraId="7438CA1D" w14:textId="77777777" w:rsidR="00701148" w:rsidRPr="00D27DA9" w:rsidRDefault="00701148" w:rsidP="00701148">
      <w:pPr>
        <w:spacing w:after="0"/>
        <w:rPr>
          <w:rFonts w:cstheme="minorHAnsi"/>
        </w:rPr>
      </w:pPr>
    </w:p>
    <w:p w14:paraId="41AEAD53" w14:textId="77777777" w:rsidR="00701148" w:rsidRPr="00D27DA9" w:rsidRDefault="00701148" w:rsidP="00701148">
      <w:pPr>
        <w:spacing w:after="0"/>
        <w:rPr>
          <w:rFonts w:cstheme="minorHAnsi"/>
          <w:b/>
        </w:rPr>
      </w:pPr>
    </w:p>
    <w:p w14:paraId="653C2D7B" w14:textId="77777777" w:rsidR="00701148" w:rsidRPr="00D27DA9" w:rsidRDefault="00701148" w:rsidP="00701148">
      <w:pPr>
        <w:spacing w:after="0"/>
        <w:rPr>
          <w:rFonts w:cstheme="minorHAnsi"/>
          <w:b/>
        </w:rPr>
      </w:pPr>
    </w:p>
    <w:p w14:paraId="7FC281B0" w14:textId="38280577" w:rsidR="0020179A" w:rsidRPr="00D27DA9" w:rsidRDefault="0020179A" w:rsidP="0020179A">
      <w:pPr>
        <w:pBdr>
          <w:top w:val="single" w:sz="4" w:space="1" w:color="auto"/>
          <w:left w:val="single" w:sz="4" w:space="4" w:color="auto"/>
          <w:bottom w:val="single" w:sz="4" w:space="1" w:color="auto"/>
          <w:right w:val="single" w:sz="4" w:space="4" w:color="auto"/>
        </w:pBdr>
        <w:shd w:val="clear" w:color="auto" w:fill="DBE5F1" w:themeFill="accent1" w:themeFillTint="33"/>
        <w:spacing w:after="0"/>
        <w:jc w:val="center"/>
        <w:rPr>
          <w:rFonts w:cstheme="minorHAnsi"/>
          <w:b/>
        </w:rPr>
      </w:pPr>
      <w:r w:rsidRPr="00D27DA9">
        <w:rPr>
          <w:rFonts w:cstheme="minorHAnsi"/>
          <w:b/>
        </w:rPr>
        <w:lastRenderedPageBreak/>
        <w:t>“(c) spreje</w:t>
      </w:r>
      <w:r w:rsidR="00EF4848" w:rsidRPr="00D27DA9">
        <w:rPr>
          <w:rFonts w:cstheme="minorHAnsi"/>
          <w:b/>
        </w:rPr>
        <w:t>le</w:t>
      </w:r>
      <w:r w:rsidRPr="00D27DA9">
        <w:rPr>
          <w:rFonts w:cstheme="minorHAnsi"/>
          <w:b/>
        </w:rPr>
        <w:t xml:space="preserve"> konkretne ukrepe za krepitev razpoložljivosti, interoperabilnosti</w:t>
      </w:r>
      <w:r w:rsidR="00F41D00">
        <w:rPr>
          <w:rFonts w:cstheme="minorHAnsi"/>
          <w:b/>
        </w:rPr>
        <w:t xml:space="preserve"> (povezljivosti)</w:t>
      </w:r>
      <w:r w:rsidRPr="00D27DA9">
        <w:rPr>
          <w:rFonts w:cstheme="minorHAnsi"/>
          <w:b/>
        </w:rPr>
        <w:t>, prožnosti in sposobnosti razmeščanja sil, zlasti z oblikovanjem skupnih ciljev glede uporabe sil, vključno z morebitnim preverjanjem nacionalnih postopkov odločanja.”</w:t>
      </w:r>
    </w:p>
    <w:p w14:paraId="63F638DE" w14:textId="77777777" w:rsidR="0020179A" w:rsidRPr="00D27DA9" w:rsidRDefault="0020179A" w:rsidP="00BA2C8D">
      <w:pPr>
        <w:spacing w:after="0"/>
        <w:rPr>
          <w:rFonts w:cstheme="minorHAnsi"/>
          <w:b/>
        </w:rPr>
      </w:pPr>
    </w:p>
    <w:p w14:paraId="77F08745" w14:textId="77777777" w:rsidR="0020179A" w:rsidRPr="00D27DA9" w:rsidRDefault="0020179A" w:rsidP="0020179A">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cstheme="minorHAnsi"/>
          <w:b/>
        </w:rPr>
      </w:pPr>
      <w:r w:rsidRPr="00D27DA9">
        <w:rPr>
          <w:rFonts w:cstheme="minorHAnsi"/>
          <w:b/>
        </w:rPr>
        <w:t xml:space="preserve">Zaveza 12: </w:t>
      </w:r>
    </w:p>
    <w:p w14:paraId="5EFB85AD" w14:textId="44D168A0" w:rsidR="00E65B9D" w:rsidRPr="00D27DA9" w:rsidRDefault="00A11185" w:rsidP="0020179A">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cstheme="minorHAnsi"/>
          <w:b/>
        </w:rPr>
      </w:pPr>
      <w:r w:rsidRPr="00D27DA9">
        <w:rPr>
          <w:rFonts w:cstheme="minorHAnsi"/>
        </w:rPr>
        <w:t>G</w:t>
      </w:r>
      <w:r w:rsidR="00EF4848" w:rsidRPr="00D27DA9">
        <w:rPr>
          <w:rFonts w:cstheme="minorHAnsi"/>
        </w:rPr>
        <w:t>lede razpoložljivosti in razmeščanja sil:</w:t>
      </w:r>
    </w:p>
    <w:p w14:paraId="72442133" w14:textId="51DDF3E5" w:rsidR="00E65B9D" w:rsidRPr="00D27DA9" w:rsidRDefault="00E6282A" w:rsidP="00E65B9D">
      <w:pPr>
        <w:pStyle w:val="Odstavekseznama"/>
        <w:numPr>
          <w:ilvl w:val="0"/>
          <w:numId w:val="6"/>
        </w:num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cstheme="minorHAnsi"/>
          <w:b/>
          <w:lang w:val="sl-SI"/>
        </w:rPr>
      </w:pPr>
      <w:r w:rsidRPr="00D27DA9">
        <w:rPr>
          <w:rFonts w:cstheme="minorHAnsi"/>
          <w:lang w:val="sl-SI"/>
        </w:rPr>
        <w:t xml:space="preserve">12.1 </w:t>
      </w:r>
      <w:r w:rsidR="00EF4848" w:rsidRPr="00D27DA9">
        <w:rPr>
          <w:rFonts w:cstheme="minorHAnsi"/>
          <w:lang w:val="sl-SI"/>
        </w:rPr>
        <w:t>hkrati z morebitno razmestitvijo bojnih skupin EU dale na razpolago formacije, ki jih je mogoče strateško razmestiti, da bi uresničili raven ambicij EU. Ta obveznost ne vključuje sil v pripravljenosti, stalnih sil in dežurnih sil</w:t>
      </w:r>
      <w:r w:rsidR="00484299" w:rsidRPr="00D27DA9">
        <w:rPr>
          <w:rFonts w:cstheme="minorHAnsi"/>
          <w:lang w:val="sl-SI"/>
        </w:rPr>
        <w:t>;</w:t>
      </w:r>
      <w:r w:rsidR="00E65B9D" w:rsidRPr="00D27DA9">
        <w:rPr>
          <w:rFonts w:cstheme="minorHAnsi"/>
          <w:lang w:val="sl-SI"/>
        </w:rPr>
        <w:t xml:space="preserve"> </w:t>
      </w:r>
    </w:p>
    <w:p w14:paraId="2CF1DBA9" w14:textId="34B85669" w:rsidR="0020179A" w:rsidRPr="00D27DA9" w:rsidRDefault="00E6282A" w:rsidP="00F7530A">
      <w:pPr>
        <w:pStyle w:val="Odstavekseznama"/>
        <w:numPr>
          <w:ilvl w:val="0"/>
          <w:numId w:val="6"/>
        </w:num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cstheme="minorHAnsi"/>
          <w:b/>
          <w:lang w:val="sl-SI"/>
        </w:rPr>
      </w:pPr>
      <w:r w:rsidRPr="00D27DA9">
        <w:rPr>
          <w:rFonts w:cstheme="minorHAnsi"/>
          <w:lang w:val="sl-SI"/>
        </w:rPr>
        <w:t xml:space="preserve">12. 2 </w:t>
      </w:r>
      <w:r w:rsidR="00EF4848" w:rsidRPr="00D27DA9">
        <w:rPr>
          <w:rFonts w:cstheme="minorHAnsi"/>
          <w:lang w:val="sl-SI"/>
        </w:rPr>
        <w:t xml:space="preserve">oblikovale stabilen instrument (npr. bazo podatkov), ki bo dostopen le vključenim državam članicam in prispevajočim državam, da bi evidentirali razpoložljive zmogljivosti in zmogljivosti za hitro razmeščanje ter olajšali in pospešili proces oblikovanja sil; </w:t>
      </w:r>
    </w:p>
    <w:p w14:paraId="5F72A443" w14:textId="4AD58432" w:rsidR="0020179A" w:rsidRPr="00D27DA9" w:rsidRDefault="00E6282A" w:rsidP="00F7530A">
      <w:pPr>
        <w:pStyle w:val="Odstavekseznama"/>
        <w:numPr>
          <w:ilvl w:val="0"/>
          <w:numId w:val="6"/>
        </w:num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cstheme="minorHAnsi"/>
          <w:b/>
          <w:lang w:val="sl-SI"/>
        </w:rPr>
      </w:pPr>
      <w:r w:rsidRPr="00D27DA9">
        <w:rPr>
          <w:rFonts w:cstheme="minorHAnsi"/>
          <w:lang w:val="sl-SI"/>
        </w:rPr>
        <w:t xml:space="preserve">12. 3 </w:t>
      </w:r>
      <w:r w:rsidR="00EF4848" w:rsidRPr="00D27DA9">
        <w:rPr>
          <w:rFonts w:cstheme="minorHAnsi"/>
          <w:lang w:val="sl-SI"/>
        </w:rPr>
        <w:t>prizadevale za pospešitev političnih prizadevanj na nacionalni ravni, med drugim tudi z možnostjo pregleda nacionalnih postopkov za sprejemanje odločitev</w:t>
      </w:r>
    </w:p>
    <w:p w14:paraId="5C34EA97" w14:textId="7952072F" w:rsidR="00F7530A" w:rsidRPr="00D27DA9" w:rsidRDefault="00E6282A" w:rsidP="00F7530A">
      <w:pPr>
        <w:pStyle w:val="Odstavekseznama"/>
        <w:numPr>
          <w:ilvl w:val="0"/>
          <w:numId w:val="6"/>
        </w:num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cstheme="minorHAnsi"/>
          <w:b/>
          <w:lang w:val="sl-SI"/>
        </w:rPr>
      </w:pPr>
      <w:r w:rsidRPr="00D27DA9">
        <w:rPr>
          <w:rFonts w:cstheme="minorHAnsi"/>
          <w:lang w:val="sl-SI"/>
        </w:rPr>
        <w:t xml:space="preserve">12. 4 </w:t>
      </w:r>
      <w:r w:rsidR="00EF4848" w:rsidRPr="00D27DA9">
        <w:rPr>
          <w:rFonts w:cstheme="minorHAnsi"/>
          <w:lang w:val="sl-SI"/>
        </w:rPr>
        <w:t>v okviru sredstev in zmogljivosti za operacije SVOP (npr. EUFOR) in misij (npr. misije EU za usposabljanje) zagotavljale znatno podporo – z osebjem, opremo, usposabljanji, pomočjo pri vajah, infrastrukturo ali drugače – o kateri je soglasno odločil Svet, brez poseganja v odločitve glede operacij v okviru SVOP in brez poseganja v morebitne ustavne ovire;</w:t>
      </w:r>
      <w:r w:rsidR="00F7530A" w:rsidRPr="00D27DA9">
        <w:rPr>
          <w:rFonts w:cstheme="minorHAnsi"/>
          <w:b/>
          <w:lang w:val="sl-SI"/>
        </w:rPr>
        <w:t>.</w:t>
      </w:r>
    </w:p>
    <w:p w14:paraId="1DC033A2" w14:textId="50D7FDE4" w:rsidR="00F7530A" w:rsidRPr="00D27DA9" w:rsidRDefault="00E6282A" w:rsidP="00F7530A">
      <w:pPr>
        <w:pStyle w:val="Odstavekseznama"/>
        <w:numPr>
          <w:ilvl w:val="0"/>
          <w:numId w:val="6"/>
        </w:num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cstheme="minorHAnsi"/>
          <w:b/>
          <w:lang w:val="sl-SI"/>
        </w:rPr>
      </w:pPr>
      <w:r w:rsidRPr="00D27DA9">
        <w:rPr>
          <w:rFonts w:cstheme="minorHAnsi"/>
          <w:lang w:val="sl-SI"/>
        </w:rPr>
        <w:t xml:space="preserve">12. 5 </w:t>
      </w:r>
      <w:r w:rsidR="00EF4848" w:rsidRPr="00D27DA9">
        <w:rPr>
          <w:rFonts w:cstheme="minorHAnsi"/>
          <w:lang w:val="sl-SI"/>
        </w:rPr>
        <w:t>bistveno prispevale k bojnim silam EU z načelno potrditvijo prispevkov vsaj štiri leta vnaprej, z obdobjem pripravljenosti v skladu s konceptom bojnih sil EU, ter obveznostjo, da izvajajo vaje bojnih sil EU za skupne bojne sile EU (država nosilka) in/ali sodelujejo pri teh vajah (vse države članice EU, ki sodelujejo v bojnih silah EU);</w:t>
      </w:r>
    </w:p>
    <w:p w14:paraId="52F8DC3F" w14:textId="31A0ECF8" w:rsidR="006F0EBD" w:rsidRPr="00D27DA9" w:rsidRDefault="00E6282A" w:rsidP="006F0EBD">
      <w:pPr>
        <w:pStyle w:val="Odstavekseznama"/>
        <w:numPr>
          <w:ilvl w:val="0"/>
          <w:numId w:val="6"/>
        </w:num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cstheme="minorHAnsi"/>
          <w:b/>
          <w:lang w:val="sl-SI"/>
        </w:rPr>
      </w:pPr>
      <w:r w:rsidRPr="00D27DA9">
        <w:rPr>
          <w:rFonts w:cstheme="minorHAnsi"/>
          <w:lang w:val="sl-SI"/>
        </w:rPr>
        <w:t xml:space="preserve">12. 6 </w:t>
      </w:r>
      <w:r w:rsidR="00EF4848" w:rsidRPr="00D27DA9">
        <w:rPr>
          <w:rFonts w:cstheme="minorHAnsi"/>
          <w:lang w:val="sl-SI"/>
        </w:rPr>
        <w:t xml:space="preserve">poenostavile in standardizirale čezmejni vojaški promet v Evropi, da bi omogočili hitro napotitev vojaške opreme in osebja; </w:t>
      </w:r>
    </w:p>
    <w:p w14:paraId="40A59565" w14:textId="260E2075" w:rsidR="00D67684" w:rsidRDefault="00D67684" w:rsidP="00D67684">
      <w:pPr>
        <w:spacing w:after="0"/>
        <w:rPr>
          <w:rFonts w:cstheme="minorHAnsi"/>
        </w:rPr>
      </w:pPr>
    </w:p>
    <w:p w14:paraId="070001AC" w14:textId="77777777" w:rsidR="002F29E9" w:rsidRPr="00D27DA9" w:rsidRDefault="002F29E9" w:rsidP="00D67684">
      <w:pPr>
        <w:spacing w:after="0"/>
        <w:rPr>
          <w:rFonts w:cstheme="minorHAnsi"/>
        </w:rPr>
      </w:pPr>
    </w:p>
    <w:tbl>
      <w:tblPr>
        <w:tblStyle w:val="Tabelamrea"/>
        <w:tblW w:w="13750"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1701"/>
        <w:gridCol w:w="3686"/>
        <w:gridCol w:w="4110"/>
        <w:gridCol w:w="4253"/>
      </w:tblGrid>
      <w:tr w:rsidR="0020179A" w:rsidRPr="00D27DA9" w14:paraId="4708279F" w14:textId="77777777" w:rsidTr="00547AD3">
        <w:trPr>
          <w:trHeight w:val="359"/>
        </w:trPr>
        <w:tc>
          <w:tcPr>
            <w:tcW w:w="1701" w:type="dxa"/>
            <w:shd w:val="clear" w:color="auto" w:fill="F2F2F2" w:themeFill="background1" w:themeFillShade="F2"/>
            <w:vAlign w:val="center"/>
          </w:tcPr>
          <w:p w14:paraId="2688445A" w14:textId="77777777" w:rsidR="006F0EBD" w:rsidRPr="00D27DA9" w:rsidRDefault="006F0EBD" w:rsidP="00D362DB">
            <w:pPr>
              <w:jc w:val="center"/>
              <w:rPr>
                <w:rFonts w:eastAsia="Calibri" w:cstheme="minorHAnsi"/>
                <w:b/>
                <w:bCs/>
                <w:lang w:val="sl-SI"/>
              </w:rPr>
            </w:pPr>
          </w:p>
          <w:p w14:paraId="0808F1F3" w14:textId="53B6CAA0" w:rsidR="006F0EBD" w:rsidRPr="00D27DA9" w:rsidRDefault="006F0EBD" w:rsidP="00D362DB">
            <w:pPr>
              <w:jc w:val="center"/>
              <w:rPr>
                <w:rFonts w:eastAsia="Calibri" w:cstheme="minorHAnsi"/>
                <w:b/>
                <w:bCs/>
                <w:lang w:val="sl-SI"/>
              </w:rPr>
            </w:pPr>
          </w:p>
        </w:tc>
        <w:tc>
          <w:tcPr>
            <w:tcW w:w="3686" w:type="dxa"/>
            <w:shd w:val="clear" w:color="auto" w:fill="F2F2F2" w:themeFill="background1" w:themeFillShade="F2"/>
            <w:vAlign w:val="center"/>
          </w:tcPr>
          <w:p w14:paraId="5A36B757" w14:textId="42CFA318" w:rsidR="0020179A" w:rsidRPr="00D27DA9" w:rsidRDefault="00BE0FBA" w:rsidP="00D362DB">
            <w:pPr>
              <w:jc w:val="center"/>
              <w:rPr>
                <w:rFonts w:eastAsia="Calibri" w:cstheme="minorHAnsi"/>
                <w:b/>
                <w:bCs/>
                <w:lang w:val="sl-SI"/>
              </w:rPr>
            </w:pPr>
            <w:r w:rsidRPr="00D27DA9">
              <w:rPr>
                <w:rFonts w:eastAsia="Calibri" w:cstheme="minorHAnsi"/>
                <w:b/>
                <w:bCs/>
                <w:lang w:val="sl-SI"/>
              </w:rPr>
              <w:t>2020</w:t>
            </w:r>
          </w:p>
          <w:p w14:paraId="00246A10" w14:textId="77777777" w:rsidR="0020179A" w:rsidRPr="00D27DA9" w:rsidRDefault="0020179A" w:rsidP="00D362DB">
            <w:pPr>
              <w:jc w:val="center"/>
              <w:rPr>
                <w:rFonts w:eastAsia="Calibri" w:cstheme="minorHAnsi"/>
                <w:b/>
                <w:bCs/>
                <w:lang w:val="sl-SI"/>
              </w:rPr>
            </w:pPr>
            <w:r w:rsidRPr="00D27DA9">
              <w:rPr>
                <w:rFonts w:eastAsia="Calibri" w:cstheme="minorHAnsi"/>
                <w:b/>
                <w:bCs/>
                <w:lang w:val="sl-SI"/>
              </w:rPr>
              <w:t>(samoocena)</w:t>
            </w:r>
          </w:p>
        </w:tc>
        <w:tc>
          <w:tcPr>
            <w:tcW w:w="4110" w:type="dxa"/>
            <w:shd w:val="clear" w:color="auto" w:fill="F2F2F2" w:themeFill="background1" w:themeFillShade="F2"/>
            <w:vAlign w:val="center"/>
          </w:tcPr>
          <w:p w14:paraId="1005990B" w14:textId="4A5EF3FB" w:rsidR="0020179A" w:rsidRPr="00D27DA9" w:rsidRDefault="00BE0FBA" w:rsidP="00D362DB">
            <w:pPr>
              <w:jc w:val="center"/>
              <w:rPr>
                <w:rFonts w:eastAsia="Calibri" w:cstheme="minorHAnsi"/>
                <w:b/>
                <w:bCs/>
                <w:lang w:val="sl-SI"/>
              </w:rPr>
            </w:pPr>
            <w:r w:rsidRPr="00D27DA9">
              <w:rPr>
                <w:rFonts w:eastAsia="Calibri" w:cstheme="minorHAnsi"/>
                <w:b/>
                <w:bCs/>
                <w:lang w:val="sl-SI"/>
              </w:rPr>
              <w:t>2021</w:t>
            </w:r>
            <w:r w:rsidR="0020179A" w:rsidRPr="00D27DA9">
              <w:rPr>
                <w:rFonts w:eastAsia="Calibri" w:cstheme="minorHAnsi"/>
                <w:b/>
                <w:bCs/>
                <w:lang w:val="sl-SI"/>
              </w:rPr>
              <w:t xml:space="preserve"> </w:t>
            </w:r>
          </w:p>
          <w:p w14:paraId="41CCFB70" w14:textId="77777777" w:rsidR="0020179A" w:rsidRPr="00D27DA9" w:rsidRDefault="0020179A" w:rsidP="00D362DB">
            <w:pPr>
              <w:jc w:val="center"/>
              <w:rPr>
                <w:rFonts w:eastAsia="Calibri" w:cstheme="minorHAnsi"/>
                <w:b/>
                <w:lang w:val="sl-SI"/>
              </w:rPr>
            </w:pPr>
            <w:r w:rsidRPr="00D27DA9">
              <w:rPr>
                <w:rFonts w:eastAsia="Calibri" w:cstheme="minorHAnsi"/>
                <w:b/>
                <w:bCs/>
                <w:lang w:val="sl-SI"/>
              </w:rPr>
              <w:t>(predvideno)</w:t>
            </w:r>
          </w:p>
        </w:tc>
        <w:tc>
          <w:tcPr>
            <w:tcW w:w="4253" w:type="dxa"/>
            <w:shd w:val="clear" w:color="auto" w:fill="F2F2F2" w:themeFill="background1" w:themeFillShade="F2"/>
            <w:vAlign w:val="center"/>
          </w:tcPr>
          <w:p w14:paraId="6FD6C19F" w14:textId="09152530" w:rsidR="0020179A" w:rsidRPr="00D27DA9" w:rsidRDefault="00BE0FBA" w:rsidP="00D362DB">
            <w:pPr>
              <w:jc w:val="center"/>
              <w:rPr>
                <w:rFonts w:eastAsia="Calibri" w:cstheme="minorHAnsi"/>
                <w:b/>
                <w:bCs/>
                <w:lang w:val="sl-SI"/>
              </w:rPr>
            </w:pPr>
            <w:r w:rsidRPr="00D27DA9">
              <w:rPr>
                <w:rFonts w:eastAsia="Calibri" w:cstheme="minorHAnsi"/>
                <w:b/>
                <w:bCs/>
                <w:lang w:val="sl-SI"/>
              </w:rPr>
              <w:t>2022</w:t>
            </w:r>
            <w:r w:rsidR="0020179A" w:rsidRPr="00D27DA9">
              <w:rPr>
                <w:rFonts w:eastAsia="Calibri" w:cstheme="minorHAnsi"/>
                <w:b/>
                <w:bCs/>
                <w:lang w:val="sl-SI"/>
              </w:rPr>
              <w:t xml:space="preserve">-2025 </w:t>
            </w:r>
          </w:p>
          <w:p w14:paraId="1CCEDD2F" w14:textId="77777777" w:rsidR="0020179A" w:rsidRPr="00D27DA9" w:rsidRDefault="0020179A" w:rsidP="00D362DB">
            <w:pPr>
              <w:jc w:val="center"/>
              <w:rPr>
                <w:rFonts w:eastAsia="Calibri" w:cstheme="minorHAnsi"/>
                <w:b/>
                <w:lang w:val="sl-SI"/>
              </w:rPr>
            </w:pPr>
            <w:r w:rsidRPr="00D27DA9">
              <w:rPr>
                <w:rFonts w:eastAsia="Calibri" w:cstheme="minorHAnsi"/>
                <w:b/>
                <w:bCs/>
                <w:lang w:val="sl-SI"/>
              </w:rPr>
              <w:t>(predvideno)</w:t>
            </w:r>
          </w:p>
        </w:tc>
      </w:tr>
      <w:tr w:rsidR="007F0B36" w:rsidRPr="00D27DA9" w14:paraId="215F449B" w14:textId="77777777" w:rsidTr="002F29E9">
        <w:trPr>
          <w:trHeight w:val="1246"/>
        </w:trPr>
        <w:tc>
          <w:tcPr>
            <w:tcW w:w="1701" w:type="dxa"/>
            <w:vAlign w:val="center"/>
          </w:tcPr>
          <w:p w14:paraId="1EE4C68C" w14:textId="77777777" w:rsidR="007F0B36" w:rsidRPr="00D27DA9" w:rsidRDefault="007F0B36" w:rsidP="007F0B36">
            <w:pPr>
              <w:rPr>
                <w:rFonts w:eastAsia="Calibri" w:cstheme="minorHAnsi"/>
                <w:b/>
                <w:lang w:val="sl-SI"/>
              </w:rPr>
            </w:pPr>
            <w:r w:rsidRPr="00D27DA9">
              <w:rPr>
                <w:rFonts w:eastAsia="Calibri" w:cstheme="minorHAnsi"/>
                <w:b/>
                <w:lang w:val="sl-SI"/>
              </w:rPr>
              <w:t>Zaveza 12.1</w:t>
            </w:r>
          </w:p>
        </w:tc>
        <w:tc>
          <w:tcPr>
            <w:tcW w:w="3686" w:type="dxa"/>
            <w:vAlign w:val="center"/>
          </w:tcPr>
          <w:p w14:paraId="6660A000" w14:textId="5FDC75E4" w:rsidR="00231165" w:rsidRPr="006307AB" w:rsidRDefault="00231165" w:rsidP="00231165">
            <w:pPr>
              <w:autoSpaceDE w:val="0"/>
              <w:autoSpaceDN w:val="0"/>
              <w:adjustRightInd w:val="0"/>
              <w:jc w:val="both"/>
              <w:rPr>
                <w:rFonts w:cstheme="minorHAnsi"/>
                <w:iCs/>
                <w:lang w:val="sl-SI"/>
              </w:rPr>
            </w:pPr>
            <w:r w:rsidRPr="006307AB">
              <w:rPr>
                <w:rFonts w:cstheme="minorHAnsi"/>
                <w:iCs/>
              </w:rPr>
              <w:t>Kljub zahtevnim razmeram, povezanim s pandemijo koronavirusa</w:t>
            </w:r>
            <w:r w:rsidR="008747C4">
              <w:rPr>
                <w:rFonts w:cstheme="minorHAnsi"/>
                <w:iCs/>
              </w:rPr>
              <w:t xml:space="preserve"> </w:t>
            </w:r>
            <w:r w:rsidRPr="006307AB">
              <w:rPr>
                <w:rFonts w:cstheme="minorHAnsi"/>
                <w:iCs/>
              </w:rPr>
              <w:t>ter povečanju potreb po vojaških zmogljivostih za zagotavljanje nacionalne varnosti je Slovenija v operacijah in misijah EU v letu 2020 ohranila obseg sodelovanja na približno enaki ravni kot v preteklih</w:t>
            </w:r>
          </w:p>
          <w:p w14:paraId="49A19CC9" w14:textId="165AA537" w:rsidR="007F0B36" w:rsidRPr="00D27DA9" w:rsidRDefault="00231165" w:rsidP="00F70C15">
            <w:pPr>
              <w:jc w:val="both"/>
              <w:rPr>
                <w:rFonts w:eastAsia="Calibri" w:cstheme="minorHAnsi"/>
                <w:lang w:val="sl-SI"/>
              </w:rPr>
            </w:pPr>
            <w:r w:rsidRPr="006307AB">
              <w:rPr>
                <w:rFonts w:cstheme="minorHAnsi"/>
                <w:iCs/>
              </w:rPr>
              <w:t>letih.</w:t>
            </w:r>
          </w:p>
        </w:tc>
        <w:tc>
          <w:tcPr>
            <w:tcW w:w="4110" w:type="dxa"/>
            <w:vAlign w:val="center"/>
          </w:tcPr>
          <w:p w14:paraId="335C7725" w14:textId="77777777" w:rsidR="00231165" w:rsidRPr="00076348" w:rsidRDefault="00231165" w:rsidP="00231165">
            <w:pPr>
              <w:jc w:val="both"/>
              <w:rPr>
                <w:lang w:val="sl-SI"/>
              </w:rPr>
            </w:pPr>
            <w:r w:rsidRPr="00076348">
              <w:t>SIovenija na podlagi svojih strateških in planskih dokumentov razvija premestljive in vzdržljive sile, ki se lahko po načelu enotnega nabora sil uporabijo za mednarodne operacije in misije bodisi v okviru OZN, Nata</w:t>
            </w:r>
            <w:r>
              <w:t>,</w:t>
            </w:r>
            <w:r w:rsidRPr="00076348">
              <w:t xml:space="preserve"> EU </w:t>
            </w:r>
            <w:r>
              <w:t>ali v drugih mednarodnih okvirih (npr. Globalna koalicija zoper Daesh)</w:t>
            </w:r>
            <w:r w:rsidRPr="00076348">
              <w:t>.</w:t>
            </w:r>
          </w:p>
          <w:p w14:paraId="7D53A42C" w14:textId="77777777" w:rsidR="00231165" w:rsidRPr="00076348" w:rsidRDefault="00231165" w:rsidP="00231165">
            <w:pPr>
              <w:jc w:val="both"/>
              <w:rPr>
                <w:lang w:val="sl-SI"/>
              </w:rPr>
            </w:pPr>
          </w:p>
          <w:p w14:paraId="0CCE351B" w14:textId="77777777" w:rsidR="00231165" w:rsidRPr="00076348" w:rsidRDefault="00231165" w:rsidP="00231165">
            <w:pPr>
              <w:jc w:val="both"/>
              <w:rPr>
                <w:lang w:val="sl-SI"/>
              </w:rPr>
            </w:pPr>
            <w:r w:rsidRPr="00076348">
              <w:lastRenderedPageBreak/>
              <w:t xml:space="preserve">Slovenija bo v prihodnje nadaljevala z usklajenim razvojem strateško premestljivih  zmogljivosti in s tem prispevala tudi k uresničitvi ravni ambicij EU. </w:t>
            </w:r>
          </w:p>
          <w:p w14:paraId="148C291B" w14:textId="2BD33934" w:rsidR="007F0B36" w:rsidRPr="00D27DA9" w:rsidRDefault="007F0B36" w:rsidP="00F90357">
            <w:pPr>
              <w:rPr>
                <w:rFonts w:cstheme="minorHAnsi"/>
                <w:lang w:val="sl-SI"/>
              </w:rPr>
            </w:pPr>
          </w:p>
        </w:tc>
        <w:tc>
          <w:tcPr>
            <w:tcW w:w="4253" w:type="dxa"/>
            <w:shd w:val="clear" w:color="auto" w:fill="FFFFFF" w:themeFill="background1"/>
            <w:vAlign w:val="center"/>
          </w:tcPr>
          <w:p w14:paraId="6011AE79" w14:textId="090FCE81" w:rsidR="007F0B36" w:rsidRPr="00D27DA9" w:rsidRDefault="00F90357" w:rsidP="00231165">
            <w:pPr>
              <w:autoSpaceDE w:val="0"/>
              <w:autoSpaceDN w:val="0"/>
              <w:adjustRightInd w:val="0"/>
              <w:jc w:val="both"/>
              <w:rPr>
                <w:rFonts w:cstheme="minorHAnsi"/>
                <w:lang w:val="sl-SI"/>
              </w:rPr>
            </w:pPr>
            <w:r w:rsidRPr="00D27DA9">
              <w:rPr>
                <w:rFonts w:cstheme="minorHAnsi"/>
                <w:iCs/>
                <w:lang w:val="sl-SI"/>
              </w:rPr>
              <w:lastRenderedPageBreak/>
              <w:t>Slovenija bo nadaljevala z usklajenim</w:t>
            </w:r>
            <w:r w:rsidR="00F70C15">
              <w:rPr>
                <w:rFonts w:cstheme="minorHAnsi"/>
                <w:iCs/>
                <w:lang w:val="sl-SI"/>
              </w:rPr>
              <w:t xml:space="preserve"> </w:t>
            </w:r>
            <w:r w:rsidRPr="00D27DA9">
              <w:rPr>
                <w:rFonts w:cstheme="minorHAnsi"/>
                <w:iCs/>
                <w:lang w:val="sl-SI"/>
              </w:rPr>
              <w:t>razvojem premestljivih in vzdržljivih</w:t>
            </w:r>
            <w:r w:rsidR="00F70C15">
              <w:rPr>
                <w:rFonts w:cstheme="minorHAnsi"/>
                <w:iCs/>
                <w:lang w:val="sl-SI"/>
              </w:rPr>
              <w:t xml:space="preserve"> </w:t>
            </w:r>
            <w:r w:rsidRPr="00D27DA9">
              <w:rPr>
                <w:rFonts w:cstheme="minorHAnsi"/>
                <w:iCs/>
                <w:lang w:val="sl-SI"/>
              </w:rPr>
              <w:t>zmogljivosti in s tem prispevala tudi k</w:t>
            </w:r>
            <w:r w:rsidR="00F70C15">
              <w:rPr>
                <w:rFonts w:cstheme="minorHAnsi"/>
                <w:iCs/>
                <w:lang w:val="sl-SI"/>
              </w:rPr>
              <w:t xml:space="preserve"> </w:t>
            </w:r>
            <w:r w:rsidRPr="00D27DA9">
              <w:rPr>
                <w:rFonts w:cstheme="minorHAnsi"/>
                <w:iCs/>
                <w:lang w:val="sl-SI"/>
              </w:rPr>
              <w:t>doseganju ravni ambicij EU.</w:t>
            </w:r>
          </w:p>
        </w:tc>
      </w:tr>
      <w:tr w:rsidR="001B69FD" w:rsidRPr="00D27DA9" w14:paraId="217EA2B6" w14:textId="77777777" w:rsidTr="00547AD3">
        <w:trPr>
          <w:trHeight w:val="1907"/>
        </w:trPr>
        <w:tc>
          <w:tcPr>
            <w:tcW w:w="1701" w:type="dxa"/>
            <w:vAlign w:val="center"/>
          </w:tcPr>
          <w:p w14:paraId="5ED7B052" w14:textId="77777777" w:rsidR="001B69FD" w:rsidRPr="00D27DA9" w:rsidRDefault="001B69FD" w:rsidP="00D362DB">
            <w:pPr>
              <w:rPr>
                <w:rFonts w:eastAsia="Calibri" w:cstheme="minorHAnsi"/>
                <w:b/>
                <w:lang w:val="sl-SI"/>
              </w:rPr>
            </w:pPr>
            <w:r w:rsidRPr="00D27DA9">
              <w:rPr>
                <w:rFonts w:eastAsia="Calibri" w:cstheme="minorHAnsi"/>
                <w:b/>
                <w:lang w:val="sl-SI"/>
              </w:rPr>
              <w:t>Zaveza 12.2</w:t>
            </w:r>
          </w:p>
        </w:tc>
        <w:tc>
          <w:tcPr>
            <w:tcW w:w="3686" w:type="dxa"/>
            <w:vAlign w:val="center"/>
          </w:tcPr>
          <w:p w14:paraId="32E7377B" w14:textId="352059C8" w:rsidR="001B69FD" w:rsidRPr="00D27DA9" w:rsidRDefault="00F90357" w:rsidP="00231165">
            <w:pPr>
              <w:autoSpaceDE w:val="0"/>
              <w:autoSpaceDN w:val="0"/>
              <w:adjustRightInd w:val="0"/>
              <w:jc w:val="both"/>
              <w:rPr>
                <w:rFonts w:eastAsia="Calibri" w:cstheme="minorHAnsi"/>
                <w:lang w:val="sl-SI"/>
              </w:rPr>
            </w:pPr>
            <w:r w:rsidRPr="00D27DA9">
              <w:rPr>
                <w:rFonts w:cstheme="minorHAnsi"/>
                <w:iCs/>
                <w:lang w:val="sl-SI"/>
              </w:rPr>
              <w:t xml:space="preserve">Slovenija </w:t>
            </w:r>
            <w:r w:rsidR="00231165">
              <w:rPr>
                <w:rFonts w:cstheme="minorHAnsi"/>
                <w:iCs/>
                <w:lang w:val="sl-SI"/>
              </w:rPr>
              <w:t xml:space="preserve">je </w:t>
            </w:r>
            <w:r w:rsidRPr="00D27DA9">
              <w:rPr>
                <w:rFonts w:cstheme="minorHAnsi"/>
                <w:iCs/>
                <w:lang w:val="sl-SI"/>
              </w:rPr>
              <w:t>v bazo podatkov hitrega</w:t>
            </w:r>
            <w:r w:rsidR="00F70C15">
              <w:rPr>
                <w:rFonts w:cstheme="minorHAnsi"/>
                <w:iCs/>
                <w:lang w:val="sl-SI"/>
              </w:rPr>
              <w:t xml:space="preserve"> </w:t>
            </w:r>
            <w:r w:rsidRPr="00D27DA9">
              <w:rPr>
                <w:rFonts w:cstheme="minorHAnsi"/>
                <w:iCs/>
                <w:lang w:val="sl-SI"/>
              </w:rPr>
              <w:t>odzivanja poleg zmogljivosti iz</w:t>
            </w:r>
            <w:r w:rsidR="00F70C15">
              <w:rPr>
                <w:rFonts w:cstheme="minorHAnsi"/>
                <w:iCs/>
                <w:lang w:val="sl-SI"/>
              </w:rPr>
              <w:t xml:space="preserve"> </w:t>
            </w:r>
            <w:r w:rsidRPr="00D27DA9">
              <w:rPr>
                <w:rFonts w:cstheme="minorHAnsi"/>
                <w:iCs/>
                <w:lang w:val="sl-SI"/>
              </w:rPr>
              <w:t>seznama sil za bojne skupine EU</w:t>
            </w:r>
            <w:r w:rsidR="00F70C15">
              <w:rPr>
                <w:rFonts w:cstheme="minorHAnsi"/>
                <w:iCs/>
                <w:lang w:val="sl-SI"/>
              </w:rPr>
              <w:t xml:space="preserve"> </w:t>
            </w:r>
            <w:r w:rsidRPr="00D27DA9">
              <w:rPr>
                <w:rFonts w:cstheme="minorHAnsi"/>
                <w:iCs/>
                <w:lang w:val="sl-SI"/>
              </w:rPr>
              <w:t>(EUBG) dodatno ponudila še</w:t>
            </w:r>
            <w:r w:rsidR="00F70C15">
              <w:rPr>
                <w:rFonts w:cstheme="minorHAnsi"/>
                <w:iCs/>
                <w:lang w:val="sl-SI"/>
              </w:rPr>
              <w:t xml:space="preserve"> </w:t>
            </w:r>
            <w:r w:rsidRPr="00D27DA9">
              <w:rPr>
                <w:rFonts w:cstheme="minorHAnsi"/>
                <w:iCs/>
                <w:lang w:val="sl-SI"/>
              </w:rPr>
              <w:t>zmogljivosti JRKBO.</w:t>
            </w:r>
          </w:p>
        </w:tc>
        <w:tc>
          <w:tcPr>
            <w:tcW w:w="4110" w:type="dxa"/>
            <w:vAlign w:val="center"/>
          </w:tcPr>
          <w:p w14:paraId="6B4833DC" w14:textId="5ABCA0AC" w:rsidR="001B69FD" w:rsidRPr="00D27DA9" w:rsidRDefault="00F90357" w:rsidP="00F70C15">
            <w:pPr>
              <w:autoSpaceDE w:val="0"/>
              <w:autoSpaceDN w:val="0"/>
              <w:adjustRightInd w:val="0"/>
              <w:jc w:val="both"/>
              <w:rPr>
                <w:rFonts w:cstheme="minorHAnsi"/>
                <w:lang w:val="sl-SI"/>
              </w:rPr>
            </w:pPr>
            <w:r w:rsidRPr="00D27DA9">
              <w:rPr>
                <w:rFonts w:cstheme="minorHAnsi"/>
                <w:iCs/>
                <w:lang w:val="sl-SI"/>
              </w:rPr>
              <w:t>Slovenija bo v drugem semestru 2021</w:t>
            </w:r>
            <w:r w:rsidR="00F70C15">
              <w:rPr>
                <w:rFonts w:cstheme="minorHAnsi"/>
                <w:iCs/>
                <w:lang w:val="sl-SI"/>
              </w:rPr>
              <w:t xml:space="preserve"> </w:t>
            </w:r>
            <w:r w:rsidRPr="00D27DA9">
              <w:rPr>
                <w:rFonts w:cstheme="minorHAnsi"/>
                <w:iCs/>
                <w:lang w:val="sl-SI"/>
              </w:rPr>
              <w:t>prispevala zmogljivosti v kopenski del hitro</w:t>
            </w:r>
            <w:r w:rsidR="00F70C15">
              <w:rPr>
                <w:rFonts w:cstheme="minorHAnsi"/>
                <w:iCs/>
                <w:lang w:val="sl-SI"/>
              </w:rPr>
              <w:t xml:space="preserve"> </w:t>
            </w:r>
            <w:r w:rsidRPr="00D27DA9">
              <w:rPr>
                <w:rFonts w:cstheme="minorHAnsi"/>
                <w:iCs/>
                <w:lang w:val="sl-SI"/>
              </w:rPr>
              <w:t>odzivnih sil. (Land Rapid Response)</w:t>
            </w:r>
            <w:r w:rsidR="00231165">
              <w:rPr>
                <w:rFonts w:cstheme="minorHAnsi"/>
                <w:iCs/>
                <w:lang w:val="sl-SI"/>
              </w:rPr>
              <w:t>.</w:t>
            </w:r>
          </w:p>
        </w:tc>
        <w:tc>
          <w:tcPr>
            <w:tcW w:w="4253" w:type="dxa"/>
            <w:shd w:val="clear" w:color="auto" w:fill="FFFFFF" w:themeFill="background1"/>
            <w:vAlign w:val="center"/>
          </w:tcPr>
          <w:p w14:paraId="62E90C02" w14:textId="1F85679D" w:rsidR="001B69FD" w:rsidRPr="00D27DA9" w:rsidRDefault="00F90357" w:rsidP="00F70C15">
            <w:pPr>
              <w:autoSpaceDE w:val="0"/>
              <w:autoSpaceDN w:val="0"/>
              <w:adjustRightInd w:val="0"/>
              <w:jc w:val="both"/>
              <w:rPr>
                <w:rFonts w:cstheme="minorHAnsi"/>
                <w:lang w:val="sl-SI"/>
              </w:rPr>
            </w:pPr>
            <w:r w:rsidRPr="00D27DA9">
              <w:rPr>
                <w:rFonts w:cstheme="minorHAnsi"/>
                <w:iCs/>
                <w:lang w:val="sl-SI"/>
              </w:rPr>
              <w:t>Slovenija bo še naprej redno sodelovala na</w:t>
            </w:r>
            <w:r w:rsidR="00F70C15">
              <w:rPr>
                <w:rFonts w:cstheme="minorHAnsi"/>
                <w:iCs/>
                <w:lang w:val="sl-SI"/>
              </w:rPr>
              <w:t xml:space="preserve"> </w:t>
            </w:r>
            <w:r w:rsidRPr="00D27DA9">
              <w:rPr>
                <w:rFonts w:cstheme="minorHAnsi"/>
                <w:iCs/>
                <w:lang w:val="sl-SI"/>
              </w:rPr>
              <w:t>koordinacijskih konferencah vojaškega</w:t>
            </w:r>
            <w:r w:rsidR="00F70C15">
              <w:rPr>
                <w:rFonts w:cstheme="minorHAnsi"/>
                <w:iCs/>
                <w:lang w:val="sl-SI"/>
              </w:rPr>
              <w:t xml:space="preserve"> </w:t>
            </w:r>
            <w:r w:rsidRPr="00D27DA9">
              <w:rPr>
                <w:rFonts w:cstheme="minorHAnsi"/>
                <w:iCs/>
                <w:lang w:val="sl-SI"/>
              </w:rPr>
              <w:t>hitrega odzivanja (MilRRCC) ter prispevala</w:t>
            </w:r>
            <w:r w:rsidR="00F70C15">
              <w:rPr>
                <w:rFonts w:cstheme="minorHAnsi"/>
                <w:iCs/>
                <w:lang w:val="sl-SI"/>
              </w:rPr>
              <w:t xml:space="preserve"> </w:t>
            </w:r>
            <w:r w:rsidRPr="00D27DA9">
              <w:rPr>
                <w:rFonts w:cstheme="minorHAnsi"/>
                <w:iCs/>
                <w:lang w:val="sl-SI"/>
              </w:rPr>
              <w:t>zmogljivosti v bazo podatkov hitrega</w:t>
            </w:r>
            <w:r w:rsidR="00F70C15">
              <w:rPr>
                <w:rFonts w:cstheme="minorHAnsi"/>
                <w:iCs/>
                <w:lang w:val="sl-SI"/>
              </w:rPr>
              <w:t xml:space="preserve"> </w:t>
            </w:r>
            <w:r w:rsidRPr="00D27DA9">
              <w:rPr>
                <w:rFonts w:cstheme="minorHAnsi"/>
                <w:iCs/>
                <w:lang w:val="sl-SI"/>
              </w:rPr>
              <w:t>odzivanja.</w:t>
            </w:r>
          </w:p>
        </w:tc>
      </w:tr>
      <w:tr w:rsidR="00B047DE" w:rsidRPr="00D27DA9" w14:paraId="7A52CFCD" w14:textId="77777777" w:rsidTr="00547AD3">
        <w:trPr>
          <w:trHeight w:val="1907"/>
        </w:trPr>
        <w:tc>
          <w:tcPr>
            <w:tcW w:w="1701" w:type="dxa"/>
            <w:vAlign w:val="center"/>
          </w:tcPr>
          <w:p w14:paraId="1234EEDF" w14:textId="77777777" w:rsidR="00B047DE" w:rsidRPr="00D27DA9" w:rsidRDefault="00B047DE" w:rsidP="00B047DE">
            <w:pPr>
              <w:rPr>
                <w:rFonts w:eastAsia="Calibri" w:cstheme="minorHAnsi"/>
                <w:b/>
                <w:lang w:val="sl-SI"/>
              </w:rPr>
            </w:pPr>
            <w:r w:rsidRPr="00D27DA9">
              <w:rPr>
                <w:rFonts w:eastAsia="Calibri" w:cstheme="minorHAnsi"/>
                <w:b/>
                <w:lang w:val="sl-SI"/>
              </w:rPr>
              <w:t>Zaveza 12.3</w:t>
            </w:r>
          </w:p>
        </w:tc>
        <w:tc>
          <w:tcPr>
            <w:tcW w:w="3686" w:type="dxa"/>
            <w:vAlign w:val="center"/>
          </w:tcPr>
          <w:p w14:paraId="631BD0FC" w14:textId="77777777" w:rsidR="00B047DE" w:rsidRPr="00D27DA9" w:rsidRDefault="00B047DE" w:rsidP="009D11D1">
            <w:pPr>
              <w:jc w:val="both"/>
              <w:rPr>
                <w:rFonts w:eastAsia="Calibri" w:cstheme="minorHAnsi"/>
                <w:lang w:val="sl-SI"/>
              </w:rPr>
            </w:pPr>
            <w:r w:rsidRPr="00D27DA9">
              <w:rPr>
                <w:rFonts w:eastAsia="Calibri" w:cstheme="minorHAnsi"/>
                <w:lang w:val="sl-SI"/>
              </w:rPr>
              <w:t xml:space="preserve">Odločanje o sodelovanju Slovenije v mednarodnih operacijah in misijah (MOM) poteka skladno z veljavno zakonodajo (Zakon o obrambi), Strategijo sodelovanja v mednarodnih operacijah in misijah, vladnimi sklepi in resorskim pravilnikom za področje mednarodnih operacij in misij. Tovrstna ureditev omogoča ustrezno odzivnost in prožnost ter hkrati transparentnost in legitimnost sprejemanja političnih odločitev o sodelovanju Slovenije v MOM in hitro odzivnih silah. Odločanje o aktiviranju deklariranih vojaških zmogljivosti Slovenije v hitro odzivnih silah je v pristojnosti Vlade RS. Strategija MOM ob potrebi po hitrem sprejemu odločitve v primeru napotitve sil za hitro odzivanje v okviru EU omogoča krajši in hitrejši postopek odločanja. </w:t>
            </w:r>
          </w:p>
          <w:p w14:paraId="76C1CEB7" w14:textId="2B4A4D2A" w:rsidR="00B047DE" w:rsidRPr="00D27DA9" w:rsidRDefault="00B047DE" w:rsidP="009D11D1">
            <w:pPr>
              <w:jc w:val="both"/>
              <w:rPr>
                <w:rFonts w:eastAsia="Calibri" w:cstheme="minorHAnsi"/>
                <w:lang w:val="sl-SI"/>
              </w:rPr>
            </w:pPr>
            <w:r w:rsidRPr="00D27DA9">
              <w:rPr>
                <w:rFonts w:eastAsia="Calibri" w:cstheme="minorHAnsi"/>
                <w:lang w:val="sl-SI"/>
              </w:rPr>
              <w:lastRenderedPageBreak/>
              <w:t xml:space="preserve">Sodelovanje na vajah s področja kriznega odzivanja je bilo v tem letu zaradi razmer, povezanih z epidemijo koronavirusa, delno onemogočeno, saj so bile odpovedane, preložene ali delno izvedene. </w:t>
            </w:r>
          </w:p>
          <w:p w14:paraId="5C7F10AF" w14:textId="1B729974" w:rsidR="00F90357" w:rsidRPr="00D27DA9" w:rsidRDefault="00F90357" w:rsidP="009D11D1">
            <w:pPr>
              <w:jc w:val="both"/>
              <w:rPr>
                <w:rFonts w:eastAsia="Calibri" w:cstheme="minorHAnsi"/>
                <w:lang w:val="sl-SI"/>
              </w:rPr>
            </w:pPr>
          </w:p>
          <w:p w14:paraId="55CD480C" w14:textId="73B64A7E" w:rsidR="004E3C82" w:rsidRPr="00D27DA9" w:rsidRDefault="004E3C82" w:rsidP="004E3C82">
            <w:pPr>
              <w:autoSpaceDE w:val="0"/>
              <w:autoSpaceDN w:val="0"/>
              <w:adjustRightInd w:val="0"/>
              <w:jc w:val="both"/>
              <w:rPr>
                <w:rFonts w:cstheme="minorHAnsi"/>
                <w:iCs/>
                <w:lang w:val="sl-SI"/>
              </w:rPr>
            </w:pPr>
            <w:r w:rsidRPr="00D27DA9">
              <w:rPr>
                <w:rFonts w:cstheme="minorHAnsi"/>
                <w:iCs/>
                <w:lang w:val="sl-SI"/>
              </w:rPr>
              <w:t xml:space="preserve">Na nacionalni ravni je </w:t>
            </w:r>
            <w:r>
              <w:rPr>
                <w:rFonts w:cstheme="minorHAnsi"/>
                <w:iCs/>
                <w:lang w:val="sl-SI"/>
              </w:rPr>
              <w:t xml:space="preserve">bilo </w:t>
            </w:r>
            <w:r w:rsidRPr="00D27DA9">
              <w:rPr>
                <w:rFonts w:cstheme="minorHAnsi"/>
                <w:iCs/>
                <w:lang w:val="sl-SI"/>
              </w:rPr>
              <w:t>predvideno sodelovanje v vaji HIBRID2020</w:t>
            </w:r>
            <w:r>
              <w:rPr>
                <w:rFonts w:cstheme="minorHAnsi"/>
                <w:iCs/>
                <w:lang w:val="sl-SI"/>
              </w:rPr>
              <w:t>,</w:t>
            </w:r>
            <w:r w:rsidRPr="00D27DA9">
              <w:rPr>
                <w:rFonts w:cstheme="minorHAnsi"/>
                <w:iCs/>
                <w:lang w:val="sl-SI"/>
              </w:rPr>
              <w:t xml:space="preserve"> preigravanje</w:t>
            </w:r>
            <w:r>
              <w:rPr>
                <w:rFonts w:cstheme="minorHAnsi"/>
                <w:iCs/>
                <w:lang w:val="sl-SI"/>
              </w:rPr>
              <w:t xml:space="preserve"> </w:t>
            </w:r>
            <w:r w:rsidRPr="00D27DA9">
              <w:rPr>
                <w:rFonts w:cstheme="minorHAnsi"/>
                <w:iCs/>
                <w:lang w:val="sl-SI"/>
              </w:rPr>
              <w:t>nacionalnih procedur k</w:t>
            </w:r>
            <w:r>
              <w:rPr>
                <w:rFonts w:cstheme="minorHAnsi"/>
                <w:iCs/>
                <w:lang w:val="sl-SI"/>
              </w:rPr>
              <w:t>riznega odzivanja</w:t>
            </w:r>
            <w:r w:rsidRPr="00D27DA9">
              <w:rPr>
                <w:rFonts w:cstheme="minorHAnsi"/>
                <w:iCs/>
                <w:lang w:val="sl-SI"/>
              </w:rPr>
              <w:t>, ki naj bi</w:t>
            </w:r>
            <w:r w:rsidR="00EA7391">
              <w:rPr>
                <w:rFonts w:cstheme="minorHAnsi"/>
                <w:iCs/>
                <w:lang w:val="sl-SI"/>
              </w:rPr>
              <w:t xml:space="preserve"> jim</w:t>
            </w:r>
            <w:r w:rsidRPr="00D27DA9">
              <w:rPr>
                <w:rFonts w:cstheme="minorHAnsi"/>
                <w:iCs/>
                <w:lang w:val="sl-SI"/>
              </w:rPr>
              <w:t xml:space="preserve"> priključili tudi regionalni vidik CEDC skozi organizacijo vaje v času ministrskega</w:t>
            </w:r>
            <w:r w:rsidR="00EA7391">
              <w:rPr>
                <w:rFonts w:cstheme="minorHAnsi"/>
                <w:iCs/>
                <w:lang w:val="sl-SI"/>
              </w:rPr>
              <w:t xml:space="preserve"> </w:t>
            </w:r>
            <w:r>
              <w:rPr>
                <w:rFonts w:cstheme="minorHAnsi"/>
                <w:iCs/>
                <w:lang w:val="sl-SI"/>
              </w:rPr>
              <w:t>srečanja</w:t>
            </w:r>
            <w:r w:rsidR="00EA7391">
              <w:rPr>
                <w:rFonts w:cstheme="minorHAnsi"/>
                <w:iCs/>
                <w:lang w:val="sl-SI"/>
              </w:rPr>
              <w:t xml:space="preserve">. Vaja je bila zaradi </w:t>
            </w:r>
            <w:r>
              <w:rPr>
                <w:rFonts w:cstheme="minorHAnsi"/>
                <w:iCs/>
                <w:lang w:val="sl-SI"/>
              </w:rPr>
              <w:t xml:space="preserve">krize odpovedana. </w:t>
            </w:r>
          </w:p>
          <w:p w14:paraId="2A49701C" w14:textId="60B79481" w:rsidR="004E7BDC" w:rsidRPr="00D27DA9" w:rsidRDefault="004E7BDC" w:rsidP="004E3C82">
            <w:pPr>
              <w:jc w:val="both"/>
              <w:rPr>
                <w:rFonts w:eastAsia="Calibri" w:cstheme="minorHAnsi"/>
                <w:lang w:val="sl-SI"/>
              </w:rPr>
            </w:pPr>
          </w:p>
        </w:tc>
        <w:tc>
          <w:tcPr>
            <w:tcW w:w="4110" w:type="dxa"/>
            <w:vAlign w:val="center"/>
          </w:tcPr>
          <w:p w14:paraId="712A7C0D" w14:textId="2BA19C88" w:rsidR="004E7BDC" w:rsidRPr="00D27DA9" w:rsidRDefault="00B047DE" w:rsidP="00B047DE">
            <w:pPr>
              <w:jc w:val="both"/>
              <w:rPr>
                <w:rFonts w:eastAsia="Calibri" w:cstheme="minorHAnsi"/>
                <w:lang w:val="sl-SI"/>
              </w:rPr>
            </w:pPr>
            <w:r w:rsidRPr="00D27DA9">
              <w:rPr>
                <w:rFonts w:eastAsia="Calibri" w:cstheme="minorHAnsi"/>
                <w:lang w:val="sl-SI"/>
              </w:rPr>
              <w:lastRenderedPageBreak/>
              <w:t>V okviru celovitih vaj obrambnega sistema se bo izvajalo preverjanje načrtovanih postopkov, skladno z zakonskimi, podzakonskimi in drugimi formal</w:t>
            </w:r>
            <w:r w:rsidR="009D11D1" w:rsidRPr="00D27DA9">
              <w:rPr>
                <w:rFonts w:eastAsia="Calibri" w:cstheme="minorHAnsi"/>
                <w:lang w:val="sl-SI"/>
              </w:rPr>
              <w:t>no-pravnimi podlagami in načrti</w:t>
            </w:r>
            <w:r w:rsidRPr="00D27DA9">
              <w:rPr>
                <w:rFonts w:eastAsia="Calibri" w:cstheme="minorHAnsi"/>
                <w:lang w:val="sl-SI"/>
              </w:rPr>
              <w:t xml:space="preserve"> ter odzivanja ministrstev, vladnih služb in drugih deležnikov, vključenih v obrambne aktivnosti ter krizno upravljanje in odzivanje, v primeru zaostrovanja razmer v ožjem in širšem mednarodnem okolju, v primeru hibridnih in kibernetskih groženj ter kompleksnih ali drugih kriz, ki bi pomenile tveganja nacionalni varnosti Slovenije. Ob tem se bo na nacionalni ravni preverjalo tudi postopke v okviru kriznega upravljanja v EU. POLEX ni predvidena, saj se nacionalne procedure odločanja, tudi za primer aktivacije odzivnih sil, preverja v sklopu širših EU idr. vaj kriznega upravljanja oz. odzivanja. </w:t>
            </w:r>
          </w:p>
          <w:p w14:paraId="63EC7065" w14:textId="77777777" w:rsidR="00B047DE" w:rsidRPr="00D27DA9" w:rsidRDefault="00B047DE" w:rsidP="00B047DE">
            <w:pPr>
              <w:jc w:val="both"/>
              <w:rPr>
                <w:rFonts w:eastAsia="Calibri" w:cstheme="minorHAnsi"/>
                <w:lang w:val="sl-SI"/>
              </w:rPr>
            </w:pPr>
          </w:p>
          <w:p w14:paraId="7EA94091" w14:textId="7F784E33" w:rsidR="00F90357" w:rsidRPr="00D27DA9" w:rsidRDefault="00F90357" w:rsidP="009D11D1">
            <w:pPr>
              <w:autoSpaceDE w:val="0"/>
              <w:autoSpaceDN w:val="0"/>
              <w:adjustRightInd w:val="0"/>
              <w:jc w:val="both"/>
              <w:rPr>
                <w:rFonts w:cstheme="minorHAnsi"/>
                <w:iCs/>
                <w:lang w:val="sl-SI"/>
              </w:rPr>
            </w:pPr>
            <w:r w:rsidRPr="00D27DA9">
              <w:rPr>
                <w:rFonts w:cstheme="minorHAnsi"/>
                <w:iCs/>
                <w:lang w:val="sl-SI"/>
              </w:rPr>
              <w:lastRenderedPageBreak/>
              <w:t xml:space="preserve">Na nacionalni ravni je </w:t>
            </w:r>
            <w:r w:rsidR="004E3C82">
              <w:rPr>
                <w:rFonts w:cstheme="minorHAnsi"/>
                <w:iCs/>
                <w:lang w:val="sl-SI"/>
              </w:rPr>
              <w:t xml:space="preserve">bilo </w:t>
            </w:r>
            <w:r w:rsidRPr="00D27DA9">
              <w:rPr>
                <w:rFonts w:cstheme="minorHAnsi"/>
                <w:iCs/>
                <w:lang w:val="sl-SI"/>
              </w:rPr>
              <w:t>predvideno</w:t>
            </w:r>
            <w:r w:rsidR="009D11D1" w:rsidRPr="00D27DA9">
              <w:rPr>
                <w:rFonts w:cstheme="minorHAnsi"/>
                <w:iCs/>
                <w:lang w:val="sl-SI"/>
              </w:rPr>
              <w:t xml:space="preserve"> </w:t>
            </w:r>
            <w:r w:rsidRPr="00D27DA9">
              <w:rPr>
                <w:rFonts w:cstheme="minorHAnsi"/>
                <w:iCs/>
                <w:lang w:val="sl-SI"/>
              </w:rPr>
              <w:t>sodelovanje v vaji HIBRID2020 preigravanje</w:t>
            </w:r>
          </w:p>
          <w:p w14:paraId="0683F72D" w14:textId="2596DB8D" w:rsidR="00F90357" w:rsidRPr="00D27DA9" w:rsidRDefault="00F90357" w:rsidP="009D11D1">
            <w:pPr>
              <w:autoSpaceDE w:val="0"/>
              <w:autoSpaceDN w:val="0"/>
              <w:adjustRightInd w:val="0"/>
              <w:jc w:val="both"/>
              <w:rPr>
                <w:rFonts w:cstheme="minorHAnsi"/>
                <w:iCs/>
                <w:lang w:val="sl-SI"/>
              </w:rPr>
            </w:pPr>
            <w:r w:rsidRPr="00D27DA9">
              <w:rPr>
                <w:rFonts w:cstheme="minorHAnsi"/>
                <w:iCs/>
                <w:lang w:val="sl-SI"/>
              </w:rPr>
              <w:t>nacionalnih procedur k</w:t>
            </w:r>
            <w:r w:rsidR="004E3C82">
              <w:rPr>
                <w:rFonts w:cstheme="minorHAnsi"/>
                <w:iCs/>
                <w:lang w:val="sl-SI"/>
              </w:rPr>
              <w:t>riznega odzivanja</w:t>
            </w:r>
            <w:r w:rsidRPr="00D27DA9">
              <w:rPr>
                <w:rFonts w:cstheme="minorHAnsi"/>
                <w:iCs/>
                <w:lang w:val="sl-SI"/>
              </w:rPr>
              <w:t>, ki</w:t>
            </w:r>
            <w:r w:rsidR="009D11D1" w:rsidRPr="00D27DA9">
              <w:rPr>
                <w:rFonts w:cstheme="minorHAnsi"/>
                <w:iCs/>
                <w:lang w:val="sl-SI"/>
              </w:rPr>
              <w:t xml:space="preserve"> </w:t>
            </w:r>
            <w:r w:rsidRPr="00D27DA9">
              <w:rPr>
                <w:rFonts w:cstheme="minorHAnsi"/>
                <w:iCs/>
                <w:lang w:val="sl-SI"/>
              </w:rPr>
              <w:t>ji naj bi priklju</w:t>
            </w:r>
            <w:r w:rsidR="009D11D1" w:rsidRPr="00D27DA9">
              <w:rPr>
                <w:rFonts w:cstheme="minorHAnsi"/>
                <w:iCs/>
                <w:lang w:val="sl-SI"/>
              </w:rPr>
              <w:t xml:space="preserve">čili tudi regionalni vidik CEDC </w:t>
            </w:r>
            <w:r w:rsidRPr="00D27DA9">
              <w:rPr>
                <w:rFonts w:cstheme="minorHAnsi"/>
                <w:iCs/>
                <w:lang w:val="sl-SI"/>
              </w:rPr>
              <w:t>skozi organizacijo vaje v času ministrskega</w:t>
            </w:r>
          </w:p>
          <w:p w14:paraId="0FAE29FB" w14:textId="1D84E8E2" w:rsidR="00F90357" w:rsidRPr="00D27DA9" w:rsidRDefault="004E3C82" w:rsidP="009D11D1">
            <w:pPr>
              <w:autoSpaceDE w:val="0"/>
              <w:autoSpaceDN w:val="0"/>
              <w:adjustRightInd w:val="0"/>
              <w:jc w:val="both"/>
              <w:rPr>
                <w:rFonts w:cstheme="minorHAnsi"/>
                <w:iCs/>
                <w:lang w:val="sl-SI"/>
              </w:rPr>
            </w:pPr>
            <w:r>
              <w:rPr>
                <w:rFonts w:cstheme="minorHAnsi"/>
                <w:iCs/>
                <w:lang w:val="sl-SI"/>
              </w:rPr>
              <w:t xml:space="preserve">srečanja, ki pa je bilo zaradi krize odpovedana. </w:t>
            </w:r>
          </w:p>
          <w:p w14:paraId="2788C3E3" w14:textId="77777777" w:rsidR="009D11D1" w:rsidRPr="00D27DA9" w:rsidRDefault="009D11D1" w:rsidP="00F90357">
            <w:pPr>
              <w:autoSpaceDE w:val="0"/>
              <w:autoSpaceDN w:val="0"/>
              <w:adjustRightInd w:val="0"/>
              <w:rPr>
                <w:rFonts w:cstheme="minorHAnsi"/>
                <w:iCs/>
                <w:lang w:val="sl-SI"/>
              </w:rPr>
            </w:pPr>
          </w:p>
          <w:p w14:paraId="0FBAD56E" w14:textId="7596E9BA" w:rsidR="00F90357" w:rsidRPr="00D27DA9" w:rsidRDefault="00F90357" w:rsidP="00E51346">
            <w:pPr>
              <w:autoSpaceDE w:val="0"/>
              <w:autoSpaceDN w:val="0"/>
              <w:adjustRightInd w:val="0"/>
              <w:jc w:val="both"/>
              <w:rPr>
                <w:rFonts w:eastAsia="Calibri" w:cstheme="minorHAnsi"/>
                <w:lang w:val="sl-SI"/>
              </w:rPr>
            </w:pPr>
          </w:p>
        </w:tc>
        <w:tc>
          <w:tcPr>
            <w:tcW w:w="4253" w:type="dxa"/>
            <w:shd w:val="clear" w:color="auto" w:fill="FFFFFF" w:themeFill="background1"/>
            <w:vAlign w:val="center"/>
          </w:tcPr>
          <w:p w14:paraId="2D76C7B2" w14:textId="77777777" w:rsidR="00B047DE" w:rsidRPr="00D27DA9" w:rsidRDefault="00B047DE" w:rsidP="00B047DE">
            <w:pPr>
              <w:jc w:val="both"/>
              <w:rPr>
                <w:rFonts w:eastAsia="Calibri" w:cstheme="minorHAnsi"/>
                <w:lang w:val="sl-SI"/>
              </w:rPr>
            </w:pPr>
            <w:r w:rsidRPr="00D27DA9">
              <w:rPr>
                <w:rFonts w:eastAsia="Calibri" w:cstheme="minorHAnsi"/>
                <w:lang w:val="sl-SI"/>
              </w:rPr>
              <w:lastRenderedPageBreak/>
              <w:t>Predvideno je sodelovanje na različnih vajah s področja kriznega upravljanja/odzivanja, v katerih se preizkušajo nacionalni postopki sprejemanja političnih odločitev. Pri tem bomo usmerjeni v ohranjanje odzivnosti, transparentnosti in legitimnosti postopkov sprejemanja odločitev o sodelovanju Slovenije v mednarodnih operacijah in misijah ter hitro odzivnih silah in implementaciji morebitnih, pri tem ugotovljenih, možnosti za izboljšave postopkov odločanja.</w:t>
            </w:r>
          </w:p>
          <w:p w14:paraId="7CD0807C" w14:textId="77777777" w:rsidR="00B047DE" w:rsidRPr="00D27DA9" w:rsidRDefault="00B047DE" w:rsidP="00B047DE">
            <w:pPr>
              <w:jc w:val="both"/>
              <w:rPr>
                <w:rFonts w:eastAsia="Calibri" w:cstheme="minorHAnsi"/>
                <w:lang w:val="sl-SI"/>
              </w:rPr>
            </w:pPr>
          </w:p>
          <w:p w14:paraId="3D81AF44" w14:textId="6D283535" w:rsidR="00F90357" w:rsidRPr="00D27DA9" w:rsidRDefault="00F90357" w:rsidP="009D11D1">
            <w:pPr>
              <w:autoSpaceDE w:val="0"/>
              <w:autoSpaceDN w:val="0"/>
              <w:adjustRightInd w:val="0"/>
              <w:jc w:val="both"/>
              <w:rPr>
                <w:rFonts w:cstheme="minorHAnsi"/>
                <w:iCs/>
                <w:lang w:val="sl-SI"/>
              </w:rPr>
            </w:pPr>
            <w:r w:rsidRPr="00D27DA9">
              <w:rPr>
                <w:rFonts w:cstheme="minorHAnsi"/>
                <w:iCs/>
                <w:lang w:val="sl-SI"/>
              </w:rPr>
              <w:t>Republika Slovenija se bo tudi v prihodnje</w:t>
            </w:r>
            <w:r w:rsidR="009D11D1" w:rsidRPr="00D27DA9">
              <w:rPr>
                <w:rFonts w:cstheme="minorHAnsi"/>
                <w:iCs/>
                <w:lang w:val="sl-SI"/>
              </w:rPr>
              <w:t xml:space="preserve"> </w:t>
            </w:r>
            <w:r w:rsidRPr="00D27DA9">
              <w:rPr>
                <w:rFonts w:cstheme="minorHAnsi"/>
                <w:iCs/>
                <w:lang w:val="sl-SI"/>
              </w:rPr>
              <w:t>udeleževala različnih mednarodnih in</w:t>
            </w:r>
            <w:r w:rsidR="009D11D1" w:rsidRPr="00D27DA9">
              <w:rPr>
                <w:rFonts w:cstheme="minorHAnsi"/>
                <w:iCs/>
                <w:lang w:val="sl-SI"/>
              </w:rPr>
              <w:t xml:space="preserve"> </w:t>
            </w:r>
            <w:r w:rsidRPr="00D27DA9">
              <w:rPr>
                <w:rFonts w:cstheme="minorHAnsi"/>
                <w:iCs/>
                <w:lang w:val="sl-SI"/>
              </w:rPr>
              <w:t>nacionalnih vaj kriznega odzivanja za</w:t>
            </w:r>
            <w:r w:rsidR="009D11D1" w:rsidRPr="00D27DA9">
              <w:rPr>
                <w:rFonts w:cstheme="minorHAnsi"/>
                <w:iCs/>
                <w:lang w:val="sl-SI"/>
              </w:rPr>
              <w:t xml:space="preserve"> </w:t>
            </w:r>
            <w:r w:rsidRPr="00D27DA9">
              <w:rPr>
                <w:rFonts w:cstheme="minorHAnsi"/>
                <w:iCs/>
                <w:lang w:val="sl-SI"/>
              </w:rPr>
              <w:t>vzpostavitev, verificiranje in izboljšanje</w:t>
            </w:r>
            <w:r w:rsidR="009D11D1" w:rsidRPr="00D27DA9">
              <w:rPr>
                <w:rFonts w:cstheme="minorHAnsi"/>
                <w:iCs/>
                <w:lang w:val="sl-SI"/>
              </w:rPr>
              <w:t xml:space="preserve"> </w:t>
            </w:r>
            <w:r w:rsidRPr="00D27DA9">
              <w:rPr>
                <w:rFonts w:cstheme="minorHAnsi"/>
                <w:iCs/>
                <w:lang w:val="sl-SI"/>
              </w:rPr>
              <w:t>procesa sprejemanja političnih odločitev z</w:t>
            </w:r>
            <w:r w:rsidR="009D11D1" w:rsidRPr="00D27DA9">
              <w:rPr>
                <w:rFonts w:cstheme="minorHAnsi"/>
                <w:iCs/>
                <w:lang w:val="sl-SI"/>
              </w:rPr>
              <w:t xml:space="preserve"> </w:t>
            </w:r>
            <w:r w:rsidRPr="00D27DA9">
              <w:rPr>
                <w:rFonts w:cstheme="minorHAnsi"/>
                <w:iCs/>
                <w:lang w:val="sl-SI"/>
              </w:rPr>
              <w:t>upoštevanjem izkušenj, dobrih praks in rešitev</w:t>
            </w:r>
            <w:r w:rsidR="009D11D1" w:rsidRPr="00D27DA9">
              <w:rPr>
                <w:rFonts w:cstheme="minorHAnsi"/>
                <w:iCs/>
                <w:lang w:val="sl-SI"/>
              </w:rPr>
              <w:t xml:space="preserve"> </w:t>
            </w:r>
            <w:r w:rsidRPr="00D27DA9">
              <w:rPr>
                <w:rFonts w:cstheme="minorHAnsi"/>
                <w:iCs/>
                <w:lang w:val="sl-SI"/>
              </w:rPr>
              <w:t>iz vaj kriznega upravljanja.</w:t>
            </w:r>
          </w:p>
          <w:p w14:paraId="3A8E1396" w14:textId="77777777" w:rsidR="009D11D1" w:rsidRPr="00D27DA9" w:rsidRDefault="009D11D1" w:rsidP="009D11D1">
            <w:pPr>
              <w:autoSpaceDE w:val="0"/>
              <w:autoSpaceDN w:val="0"/>
              <w:adjustRightInd w:val="0"/>
              <w:jc w:val="both"/>
              <w:rPr>
                <w:rFonts w:cstheme="minorHAnsi"/>
                <w:iCs/>
                <w:lang w:val="sl-SI"/>
              </w:rPr>
            </w:pPr>
          </w:p>
          <w:p w14:paraId="332DA376" w14:textId="77777777" w:rsidR="00F90357" w:rsidRPr="00D27DA9" w:rsidRDefault="00F90357" w:rsidP="004E3C82">
            <w:pPr>
              <w:autoSpaceDE w:val="0"/>
              <w:autoSpaceDN w:val="0"/>
              <w:adjustRightInd w:val="0"/>
              <w:rPr>
                <w:rFonts w:cstheme="minorHAnsi"/>
                <w:iCs/>
                <w:lang w:val="sl-SI"/>
              </w:rPr>
            </w:pPr>
            <w:r w:rsidRPr="00D27DA9">
              <w:rPr>
                <w:rFonts w:cstheme="minorHAnsi"/>
                <w:iCs/>
                <w:lang w:val="sl-SI"/>
              </w:rPr>
              <w:lastRenderedPageBreak/>
              <w:t>Še naprej si bomo prizadevali za ohranjanje</w:t>
            </w:r>
          </w:p>
          <w:p w14:paraId="78E4C4F3" w14:textId="77777777" w:rsidR="00F90357" w:rsidRPr="00D27DA9" w:rsidRDefault="00F90357" w:rsidP="004E3C82">
            <w:pPr>
              <w:autoSpaceDE w:val="0"/>
              <w:autoSpaceDN w:val="0"/>
              <w:adjustRightInd w:val="0"/>
              <w:rPr>
                <w:rFonts w:cstheme="minorHAnsi"/>
                <w:iCs/>
                <w:lang w:val="sl-SI"/>
              </w:rPr>
            </w:pPr>
            <w:r w:rsidRPr="00D27DA9">
              <w:rPr>
                <w:rFonts w:cstheme="minorHAnsi"/>
                <w:iCs/>
                <w:lang w:val="sl-SI"/>
              </w:rPr>
              <w:t>odzivnosti, transparentnosti in legitimnosti</w:t>
            </w:r>
          </w:p>
          <w:p w14:paraId="5B43A755" w14:textId="2EEC367F" w:rsidR="00F90357" w:rsidRPr="00D27DA9" w:rsidRDefault="00F90357" w:rsidP="004E3C82">
            <w:pPr>
              <w:autoSpaceDE w:val="0"/>
              <w:autoSpaceDN w:val="0"/>
              <w:adjustRightInd w:val="0"/>
              <w:rPr>
                <w:rFonts w:cstheme="minorHAnsi"/>
                <w:iCs/>
                <w:lang w:val="sl-SI"/>
              </w:rPr>
            </w:pPr>
            <w:r w:rsidRPr="00D27DA9">
              <w:rPr>
                <w:rFonts w:cstheme="minorHAnsi"/>
                <w:iCs/>
                <w:lang w:val="sl-SI"/>
              </w:rPr>
              <w:t>postopkov prejemanja odločitev o</w:t>
            </w:r>
            <w:r w:rsidR="004E3C82">
              <w:rPr>
                <w:rFonts w:cstheme="minorHAnsi"/>
                <w:iCs/>
                <w:lang w:val="sl-SI"/>
              </w:rPr>
              <w:t xml:space="preserve"> </w:t>
            </w:r>
            <w:r w:rsidRPr="00D27DA9">
              <w:rPr>
                <w:rFonts w:cstheme="minorHAnsi"/>
                <w:iCs/>
                <w:lang w:val="sl-SI"/>
              </w:rPr>
              <w:t>sodelovanju Slovenije v mednarodnih</w:t>
            </w:r>
          </w:p>
          <w:p w14:paraId="0069EA6C" w14:textId="4D775067" w:rsidR="00F90357" w:rsidRPr="00D27DA9" w:rsidRDefault="00F90357" w:rsidP="004E3C82">
            <w:pPr>
              <w:rPr>
                <w:rFonts w:eastAsia="Calibri" w:cstheme="minorHAnsi"/>
                <w:lang w:val="sl-SI"/>
              </w:rPr>
            </w:pPr>
            <w:r w:rsidRPr="00D27DA9">
              <w:rPr>
                <w:rFonts w:cstheme="minorHAnsi"/>
                <w:iCs/>
                <w:lang w:val="sl-SI"/>
              </w:rPr>
              <w:t>operacijah in misijah.</w:t>
            </w:r>
          </w:p>
        </w:tc>
      </w:tr>
      <w:tr w:rsidR="00231165" w:rsidRPr="00D27DA9" w14:paraId="2DC95C61" w14:textId="77777777" w:rsidTr="002F29E9">
        <w:trPr>
          <w:trHeight w:val="1241"/>
        </w:trPr>
        <w:tc>
          <w:tcPr>
            <w:tcW w:w="1701" w:type="dxa"/>
            <w:tcBorders>
              <w:bottom w:val="single" w:sz="12" w:space="0" w:color="auto"/>
            </w:tcBorders>
            <w:vAlign w:val="center"/>
          </w:tcPr>
          <w:p w14:paraId="55FAEFDF" w14:textId="77777777" w:rsidR="00231165" w:rsidRPr="00D27DA9" w:rsidRDefault="00231165" w:rsidP="00231165">
            <w:pPr>
              <w:rPr>
                <w:rFonts w:eastAsia="Calibri" w:cstheme="minorHAnsi"/>
                <w:b/>
                <w:lang w:val="sl-SI"/>
              </w:rPr>
            </w:pPr>
            <w:r w:rsidRPr="00D27DA9">
              <w:rPr>
                <w:rFonts w:eastAsia="Calibri" w:cstheme="minorHAnsi"/>
                <w:b/>
                <w:lang w:val="sl-SI"/>
              </w:rPr>
              <w:lastRenderedPageBreak/>
              <w:t>Zaveza 12.4</w:t>
            </w:r>
          </w:p>
        </w:tc>
        <w:tc>
          <w:tcPr>
            <w:tcW w:w="3686" w:type="dxa"/>
            <w:tcBorders>
              <w:bottom w:val="single" w:sz="12" w:space="0" w:color="auto"/>
            </w:tcBorders>
            <w:vAlign w:val="center"/>
          </w:tcPr>
          <w:p w14:paraId="613E036F" w14:textId="77777777" w:rsidR="00231165" w:rsidRDefault="00231165" w:rsidP="00231165">
            <w:pPr>
              <w:autoSpaceDE w:val="0"/>
              <w:autoSpaceDN w:val="0"/>
              <w:adjustRightInd w:val="0"/>
              <w:jc w:val="both"/>
              <w:rPr>
                <w:rFonts w:cstheme="minorHAnsi"/>
                <w:iCs/>
                <w:lang w:val="sl-SI"/>
              </w:rPr>
            </w:pPr>
          </w:p>
          <w:p w14:paraId="2316B555" w14:textId="77777777" w:rsidR="00231165" w:rsidRDefault="00231165" w:rsidP="00231165">
            <w:pPr>
              <w:autoSpaceDE w:val="0"/>
              <w:autoSpaceDN w:val="0"/>
              <w:adjustRightInd w:val="0"/>
              <w:jc w:val="both"/>
              <w:rPr>
                <w:rFonts w:cstheme="minorHAnsi"/>
                <w:iCs/>
                <w:lang w:val="sl-SI"/>
              </w:rPr>
            </w:pPr>
            <w:r w:rsidRPr="00D27DA9">
              <w:rPr>
                <w:rFonts w:cstheme="minorHAnsi"/>
                <w:iCs/>
                <w:lang w:val="sl-SI"/>
              </w:rPr>
              <w:t>V letu 2020 je RS ohranjala</w:t>
            </w:r>
            <w:r>
              <w:rPr>
                <w:rFonts w:cstheme="minorHAnsi"/>
                <w:iCs/>
                <w:lang w:val="sl-SI"/>
              </w:rPr>
              <w:t xml:space="preserve"> </w:t>
            </w:r>
            <w:r w:rsidRPr="00D27DA9">
              <w:rPr>
                <w:rFonts w:cstheme="minorHAnsi"/>
                <w:iCs/>
                <w:lang w:val="sl-SI"/>
              </w:rPr>
              <w:t>sodelovanje v operaciji EUFOR Althea</w:t>
            </w:r>
            <w:r>
              <w:rPr>
                <w:rFonts w:cstheme="minorHAnsi"/>
                <w:iCs/>
                <w:lang w:val="sl-SI"/>
              </w:rPr>
              <w:t xml:space="preserve"> (9 pripadnikov SV), </w:t>
            </w:r>
            <w:r w:rsidRPr="00076348">
              <w:rPr>
                <w:rFonts w:cstheme="minorHAnsi"/>
                <w:iCs/>
              </w:rPr>
              <w:t>v pomorski operaciji EUNAVFOR</w:t>
            </w:r>
            <w:r>
              <w:rPr>
                <w:rFonts w:cstheme="minorHAnsi"/>
                <w:iCs/>
                <w:lang w:val="sl-SI"/>
              </w:rPr>
              <w:t xml:space="preserve"> </w:t>
            </w:r>
            <w:r w:rsidRPr="00076348">
              <w:rPr>
                <w:rFonts w:cstheme="minorHAnsi"/>
                <w:iCs/>
              </w:rPr>
              <w:t>MED Sophia</w:t>
            </w:r>
            <w:r>
              <w:rPr>
                <w:rFonts w:cstheme="minorHAnsi"/>
                <w:iCs/>
                <w:lang w:val="sl-SI"/>
              </w:rPr>
              <w:t xml:space="preserve"> (3 pripadniki SV)</w:t>
            </w:r>
            <w:r w:rsidRPr="00076348">
              <w:rPr>
                <w:rFonts w:cstheme="minorHAnsi"/>
                <w:iCs/>
              </w:rPr>
              <w:t>, se vključila v EUNAVFOR MED Irini</w:t>
            </w:r>
            <w:r>
              <w:rPr>
                <w:rFonts w:cstheme="minorHAnsi"/>
                <w:iCs/>
                <w:lang w:val="sl-SI"/>
              </w:rPr>
              <w:t xml:space="preserve"> (3 pripadniki SV)</w:t>
            </w:r>
            <w:r w:rsidRPr="00076348">
              <w:rPr>
                <w:rFonts w:cstheme="minorHAnsi"/>
                <w:iCs/>
              </w:rPr>
              <w:t xml:space="preserve"> </w:t>
            </w:r>
            <w:r w:rsidRPr="00C743CD">
              <w:rPr>
                <w:rFonts w:cstheme="minorHAnsi"/>
                <w:iCs/>
                <w:lang w:val="sl-SI"/>
              </w:rPr>
              <w:t>ter</w:t>
            </w:r>
            <w:r>
              <w:rPr>
                <w:rFonts w:cstheme="minorHAnsi"/>
                <w:iCs/>
                <w:lang w:val="sl-SI"/>
              </w:rPr>
              <w:t xml:space="preserve"> nadaljevala sodelovanje v </w:t>
            </w:r>
            <w:r w:rsidRPr="00D27DA9">
              <w:rPr>
                <w:rFonts w:cstheme="minorHAnsi"/>
                <w:iCs/>
                <w:lang w:val="sl-SI"/>
              </w:rPr>
              <w:t>misiji EUTM</w:t>
            </w:r>
            <w:r>
              <w:rPr>
                <w:rFonts w:cstheme="minorHAnsi"/>
                <w:iCs/>
                <w:lang w:val="sl-SI"/>
              </w:rPr>
              <w:t xml:space="preserve"> </w:t>
            </w:r>
            <w:r w:rsidRPr="00D27DA9">
              <w:rPr>
                <w:rFonts w:cstheme="minorHAnsi"/>
                <w:iCs/>
                <w:lang w:val="sl-SI"/>
              </w:rPr>
              <w:t>Mali</w:t>
            </w:r>
            <w:r>
              <w:rPr>
                <w:rFonts w:cstheme="minorHAnsi"/>
                <w:iCs/>
                <w:lang w:val="sl-SI"/>
              </w:rPr>
              <w:t xml:space="preserve"> (8 pripadikov SV)</w:t>
            </w:r>
            <w:r w:rsidRPr="00D27DA9">
              <w:rPr>
                <w:rFonts w:cstheme="minorHAnsi"/>
                <w:iCs/>
                <w:lang w:val="sl-SI"/>
              </w:rPr>
              <w:t>.</w:t>
            </w:r>
          </w:p>
          <w:p w14:paraId="393748F5" w14:textId="77777777" w:rsidR="00231165" w:rsidRDefault="00231165" w:rsidP="00231165">
            <w:pPr>
              <w:autoSpaceDE w:val="0"/>
              <w:autoSpaceDN w:val="0"/>
              <w:adjustRightInd w:val="0"/>
              <w:jc w:val="both"/>
              <w:rPr>
                <w:rFonts w:cstheme="minorHAnsi"/>
                <w:iCs/>
                <w:lang w:val="sl-SI"/>
              </w:rPr>
            </w:pPr>
          </w:p>
          <w:p w14:paraId="18F6B8FF" w14:textId="77777777" w:rsidR="00231165" w:rsidRDefault="00231165" w:rsidP="00231165">
            <w:pPr>
              <w:autoSpaceDE w:val="0"/>
              <w:autoSpaceDN w:val="0"/>
              <w:adjustRightInd w:val="0"/>
              <w:jc w:val="both"/>
              <w:rPr>
                <w:rFonts w:cstheme="minorHAnsi"/>
                <w:iCs/>
                <w:lang w:val="sl-SI"/>
              </w:rPr>
            </w:pPr>
            <w:r>
              <w:rPr>
                <w:rFonts w:cstheme="minorHAnsi"/>
                <w:iCs/>
                <w:lang w:val="sl-SI"/>
              </w:rPr>
              <w:t>Slovenija je poleg tega znatno prispevala tudi v operacije in misije Nata, mirovne operacije OZN, operacijo Globalne koalicije ter v misijo OVSE.</w:t>
            </w:r>
          </w:p>
          <w:p w14:paraId="4C23C7E2" w14:textId="77777777" w:rsidR="00231165" w:rsidRDefault="00231165" w:rsidP="00231165">
            <w:pPr>
              <w:autoSpaceDE w:val="0"/>
              <w:autoSpaceDN w:val="0"/>
              <w:adjustRightInd w:val="0"/>
              <w:jc w:val="both"/>
              <w:rPr>
                <w:rFonts w:cstheme="minorHAnsi"/>
                <w:iCs/>
                <w:lang w:val="sl-SI"/>
              </w:rPr>
            </w:pPr>
          </w:p>
          <w:p w14:paraId="13B7FA40" w14:textId="46230BE3" w:rsidR="00231165" w:rsidRDefault="00231165" w:rsidP="00231165">
            <w:pPr>
              <w:autoSpaceDE w:val="0"/>
              <w:autoSpaceDN w:val="0"/>
              <w:adjustRightInd w:val="0"/>
              <w:jc w:val="both"/>
              <w:rPr>
                <w:rFonts w:cstheme="minorHAnsi"/>
                <w:iCs/>
                <w:lang w:val="sl-SI"/>
              </w:rPr>
            </w:pPr>
            <w:r>
              <w:rPr>
                <w:rFonts w:cstheme="minorHAnsi"/>
                <w:iCs/>
                <w:lang w:val="sl-SI"/>
              </w:rPr>
              <w:lastRenderedPageBreak/>
              <w:t xml:space="preserve">Prioritizacija </w:t>
            </w:r>
            <w:r w:rsidR="00EA7391">
              <w:rPr>
                <w:rFonts w:cstheme="minorHAnsi"/>
                <w:iCs/>
                <w:lang w:val="sl-SI"/>
              </w:rPr>
              <w:t>prispevkov</w:t>
            </w:r>
            <w:r>
              <w:rPr>
                <w:rFonts w:cstheme="minorHAnsi"/>
                <w:iCs/>
                <w:lang w:val="sl-SI"/>
              </w:rPr>
              <w:t xml:space="preserve"> v mednarodne operacije in misije je v pristojnosti politične ravni. </w:t>
            </w:r>
          </w:p>
          <w:p w14:paraId="1408383A" w14:textId="77777777" w:rsidR="00231165" w:rsidRDefault="00231165" w:rsidP="00231165">
            <w:pPr>
              <w:autoSpaceDE w:val="0"/>
              <w:autoSpaceDN w:val="0"/>
              <w:adjustRightInd w:val="0"/>
              <w:jc w:val="both"/>
              <w:rPr>
                <w:rFonts w:cstheme="minorHAnsi"/>
                <w:iCs/>
                <w:lang w:val="sl-SI"/>
              </w:rPr>
            </w:pPr>
          </w:p>
          <w:p w14:paraId="2DF51104" w14:textId="04C4F60D" w:rsidR="00231165" w:rsidRPr="00D27DA9" w:rsidRDefault="00231165" w:rsidP="00231165">
            <w:pPr>
              <w:jc w:val="both"/>
              <w:rPr>
                <w:rFonts w:eastAsia="Calibri" w:cstheme="minorHAnsi"/>
                <w:lang w:val="sl-SI"/>
              </w:rPr>
            </w:pPr>
          </w:p>
        </w:tc>
        <w:tc>
          <w:tcPr>
            <w:tcW w:w="4110" w:type="dxa"/>
            <w:tcBorders>
              <w:bottom w:val="single" w:sz="12" w:space="0" w:color="auto"/>
            </w:tcBorders>
            <w:vAlign w:val="center"/>
          </w:tcPr>
          <w:p w14:paraId="41F0D571" w14:textId="77777777" w:rsidR="00231165" w:rsidRPr="00076348" w:rsidRDefault="00231165" w:rsidP="00231165">
            <w:pPr>
              <w:autoSpaceDE w:val="0"/>
              <w:autoSpaceDN w:val="0"/>
              <w:adjustRightInd w:val="0"/>
              <w:jc w:val="both"/>
              <w:rPr>
                <w:rFonts w:ascii="Calibri" w:eastAsia="Calibri" w:hAnsi="Calibri" w:cs="Calibri"/>
                <w:lang w:val="sl-SI"/>
              </w:rPr>
            </w:pPr>
            <w:r w:rsidRPr="00076348">
              <w:rPr>
                <w:rFonts w:ascii="Calibri" w:eastAsia="Calibri" w:hAnsi="Calibri" w:cs="Calibri"/>
              </w:rPr>
              <w:lastRenderedPageBreak/>
              <w:t xml:space="preserve">Skupni obseg sodelovanja sil SV v mednarodnih operacijah in misijah ter </w:t>
            </w:r>
            <w:r>
              <w:rPr>
                <w:rFonts w:ascii="Calibri" w:eastAsia="Calibri" w:hAnsi="Calibri" w:cs="Calibri"/>
              </w:rPr>
              <w:t xml:space="preserve">v </w:t>
            </w:r>
            <w:r w:rsidRPr="00076348">
              <w:rPr>
                <w:rFonts w:ascii="Calibri" w:eastAsia="Calibri" w:hAnsi="Calibri" w:cs="Calibri"/>
              </w:rPr>
              <w:t xml:space="preserve">odzivnih silah oz. silah v pripravljenost </w:t>
            </w:r>
            <w:r>
              <w:rPr>
                <w:rFonts w:ascii="Calibri" w:eastAsia="Calibri" w:hAnsi="Calibri" w:cs="Calibri"/>
                <w:lang w:val="sl-SI"/>
              </w:rPr>
              <w:t xml:space="preserve">v vseh medarodnih okvirih </w:t>
            </w:r>
            <w:r w:rsidRPr="00076348">
              <w:rPr>
                <w:rFonts w:ascii="Calibri" w:eastAsia="Calibri" w:hAnsi="Calibri" w:cs="Calibri"/>
              </w:rPr>
              <w:t xml:space="preserve">se bo v letu 2021 ohranjal </w:t>
            </w:r>
            <w:r>
              <w:rPr>
                <w:rFonts w:ascii="Calibri" w:eastAsia="Calibri" w:hAnsi="Calibri" w:cs="Calibri"/>
              </w:rPr>
              <w:t>nad</w:t>
            </w:r>
            <w:r w:rsidRPr="00076348">
              <w:rPr>
                <w:rFonts w:ascii="Calibri" w:eastAsia="Calibri" w:hAnsi="Calibri" w:cs="Calibri"/>
              </w:rPr>
              <w:t xml:space="preserve"> 6 % kopenskega dela SV.</w:t>
            </w:r>
          </w:p>
          <w:p w14:paraId="4F393534" w14:textId="77777777" w:rsidR="00231165" w:rsidRDefault="00231165" w:rsidP="00231165">
            <w:pPr>
              <w:autoSpaceDE w:val="0"/>
              <w:autoSpaceDN w:val="0"/>
              <w:adjustRightInd w:val="0"/>
              <w:jc w:val="both"/>
              <w:rPr>
                <w:rFonts w:ascii="Calibri" w:eastAsia="Calibri" w:hAnsi="Calibri" w:cs="Calibri"/>
                <w:i/>
                <w:lang w:val="sl-SI"/>
              </w:rPr>
            </w:pPr>
          </w:p>
          <w:p w14:paraId="60BAEDF8" w14:textId="77777777" w:rsidR="00231165" w:rsidRDefault="00231165" w:rsidP="00231165">
            <w:pPr>
              <w:autoSpaceDE w:val="0"/>
              <w:autoSpaceDN w:val="0"/>
              <w:adjustRightInd w:val="0"/>
              <w:jc w:val="both"/>
              <w:rPr>
                <w:rFonts w:cstheme="minorHAnsi"/>
                <w:iCs/>
                <w:lang w:val="sl-SI"/>
              </w:rPr>
            </w:pPr>
            <w:r>
              <w:rPr>
                <w:rFonts w:ascii="Calibri" w:eastAsia="Calibri" w:hAnsi="Calibri" w:cs="Calibri"/>
                <w:i/>
                <w:lang w:val="sl-SI"/>
              </w:rPr>
              <w:t xml:space="preserve"> </w:t>
            </w:r>
            <w:r w:rsidRPr="00D27DA9">
              <w:rPr>
                <w:rFonts w:cstheme="minorHAnsi"/>
                <w:iCs/>
                <w:lang w:val="sl-SI"/>
              </w:rPr>
              <w:t>V letu 2021 bo RS povečala sodelovanje v operaciji EUFOR Althea (LOT hiša</w:t>
            </w:r>
            <w:r>
              <w:rPr>
                <w:rFonts w:cstheme="minorHAnsi"/>
                <w:iCs/>
                <w:lang w:val="sl-SI"/>
              </w:rPr>
              <w:t>, predvidoma dodatnih 8 pripadnikov SV</w:t>
            </w:r>
            <w:r w:rsidRPr="00D27DA9">
              <w:rPr>
                <w:rFonts w:cstheme="minorHAnsi"/>
                <w:iCs/>
                <w:lang w:val="sl-SI"/>
              </w:rPr>
              <w:t>)</w:t>
            </w:r>
            <w:r>
              <w:rPr>
                <w:rFonts w:cstheme="minorHAnsi"/>
                <w:iCs/>
                <w:lang w:val="sl-SI"/>
              </w:rPr>
              <w:t xml:space="preserve"> ter v operaciji EUTM Mali (do 2 dodatna pripadnika SV)</w:t>
            </w:r>
            <w:r w:rsidRPr="00D27DA9">
              <w:rPr>
                <w:rFonts w:cstheme="minorHAnsi"/>
                <w:iCs/>
                <w:lang w:val="sl-SI"/>
              </w:rPr>
              <w:t>.</w:t>
            </w:r>
            <w:r>
              <w:rPr>
                <w:rFonts w:cstheme="minorHAnsi"/>
                <w:iCs/>
                <w:lang w:val="sl-SI"/>
              </w:rPr>
              <w:t xml:space="preserve"> Ohranja se prispevek štabnega osebja v EUNAVFOR MED Irini. </w:t>
            </w:r>
          </w:p>
          <w:p w14:paraId="7E483A60" w14:textId="77777777" w:rsidR="00231165" w:rsidRDefault="00231165" w:rsidP="00231165">
            <w:pPr>
              <w:autoSpaceDE w:val="0"/>
              <w:autoSpaceDN w:val="0"/>
              <w:adjustRightInd w:val="0"/>
              <w:jc w:val="both"/>
              <w:rPr>
                <w:rFonts w:cstheme="minorHAnsi"/>
                <w:iCs/>
                <w:lang w:val="sl-SI"/>
              </w:rPr>
            </w:pPr>
          </w:p>
          <w:p w14:paraId="33F47BAC" w14:textId="77777777" w:rsidR="00231165" w:rsidRPr="00076348" w:rsidRDefault="00231165" w:rsidP="00231165">
            <w:pPr>
              <w:autoSpaceDE w:val="0"/>
              <w:autoSpaceDN w:val="0"/>
              <w:adjustRightInd w:val="0"/>
              <w:jc w:val="both"/>
              <w:rPr>
                <w:rFonts w:ascii="Calibri" w:eastAsia="Calibri" w:hAnsi="Calibri" w:cs="Calibri"/>
                <w:lang w:val="sl-SI"/>
              </w:rPr>
            </w:pPr>
            <w:r>
              <w:rPr>
                <w:rFonts w:cstheme="minorHAnsi"/>
                <w:iCs/>
                <w:lang w:val="sl-SI"/>
              </w:rPr>
              <w:t>Preučujejo se možnosti za okrepitev prispevka Slovenije v Sahelu, kjer je sicer že n</w:t>
            </w:r>
            <w:r w:rsidRPr="00076348">
              <w:rPr>
                <w:rFonts w:ascii="Calibri" w:eastAsia="Calibri" w:hAnsi="Calibri" w:cs="Calibri"/>
              </w:rPr>
              <w:t>ačrtovana</w:t>
            </w:r>
            <w:r w:rsidRPr="00C743CD">
              <w:rPr>
                <w:rFonts w:ascii="Calibri" w:eastAsia="Calibri" w:hAnsi="Calibri" w:cs="Calibri"/>
                <w:lang w:val="sl-SI"/>
              </w:rPr>
              <w:t xml:space="preserve"> nadaljnja podpora</w:t>
            </w:r>
            <w:r>
              <w:rPr>
                <w:rFonts w:ascii="Calibri" w:eastAsia="Calibri" w:hAnsi="Calibri" w:cs="Calibri"/>
                <w:lang w:val="sl-SI"/>
              </w:rPr>
              <w:t>,</w:t>
            </w:r>
            <w:r w:rsidRPr="00076348">
              <w:rPr>
                <w:rFonts w:ascii="Calibri" w:eastAsia="Calibri" w:hAnsi="Calibri" w:cs="Calibri"/>
              </w:rPr>
              <w:t xml:space="preserve"> prednostno </w:t>
            </w:r>
            <w:r>
              <w:rPr>
                <w:rFonts w:ascii="Calibri" w:eastAsia="Calibri" w:hAnsi="Calibri" w:cs="Calibri"/>
                <w:lang w:val="sl-SI"/>
              </w:rPr>
              <w:t>za</w:t>
            </w:r>
            <w:r>
              <w:rPr>
                <w:rFonts w:ascii="Calibri" w:eastAsia="Calibri" w:hAnsi="Calibri" w:cs="Calibri"/>
              </w:rPr>
              <w:t xml:space="preserve"> države</w:t>
            </w:r>
            <w:r w:rsidRPr="00076348">
              <w:rPr>
                <w:rFonts w:ascii="Calibri" w:eastAsia="Calibri" w:hAnsi="Calibri" w:cs="Calibri"/>
              </w:rPr>
              <w:t xml:space="preserve"> G5 Sahel oz. </w:t>
            </w:r>
            <w:r>
              <w:rPr>
                <w:rFonts w:ascii="Calibri" w:eastAsia="Calibri" w:hAnsi="Calibri" w:cs="Calibri"/>
                <w:lang w:val="sl-SI"/>
              </w:rPr>
              <w:t xml:space="preserve">za </w:t>
            </w:r>
            <w:r w:rsidRPr="00076348">
              <w:rPr>
                <w:rFonts w:ascii="Calibri" w:eastAsia="Calibri" w:hAnsi="Calibri" w:cs="Calibri"/>
              </w:rPr>
              <w:t xml:space="preserve">krepitev Skupnih </w:t>
            </w:r>
            <w:r w:rsidRPr="00076348">
              <w:rPr>
                <w:rFonts w:ascii="Calibri" w:eastAsia="Calibri" w:hAnsi="Calibri" w:cs="Calibri"/>
              </w:rPr>
              <w:lastRenderedPageBreak/>
              <w:t xml:space="preserve">sil G5 Sahel, predvidoma v višini </w:t>
            </w:r>
            <w:r>
              <w:rPr>
                <w:rFonts w:ascii="Calibri" w:eastAsia="Calibri" w:hAnsi="Calibri" w:cs="Calibri"/>
                <w:lang w:val="sl-SI"/>
              </w:rPr>
              <w:t xml:space="preserve">najmanj </w:t>
            </w:r>
            <w:r w:rsidRPr="00076348">
              <w:rPr>
                <w:rFonts w:ascii="Calibri" w:eastAsia="Calibri" w:hAnsi="Calibri" w:cs="Calibri"/>
              </w:rPr>
              <w:t>50.000 EUR.</w:t>
            </w:r>
            <w:r>
              <w:rPr>
                <w:rFonts w:ascii="Calibri" w:eastAsia="Calibri" w:hAnsi="Calibri" w:cs="Calibri"/>
                <w:lang w:val="sl-SI"/>
              </w:rPr>
              <w:t xml:space="preserve"> </w:t>
            </w:r>
          </w:p>
          <w:p w14:paraId="0B455CAA" w14:textId="0A6E3382" w:rsidR="00231165" w:rsidRPr="00D27DA9" w:rsidRDefault="00231165" w:rsidP="00231165">
            <w:pPr>
              <w:autoSpaceDE w:val="0"/>
              <w:autoSpaceDN w:val="0"/>
              <w:adjustRightInd w:val="0"/>
              <w:jc w:val="both"/>
              <w:rPr>
                <w:rFonts w:cstheme="minorHAnsi"/>
                <w:lang w:val="sl-SI"/>
              </w:rPr>
            </w:pPr>
          </w:p>
        </w:tc>
        <w:tc>
          <w:tcPr>
            <w:tcW w:w="4253" w:type="dxa"/>
            <w:tcBorders>
              <w:bottom w:val="single" w:sz="12" w:space="0" w:color="auto"/>
            </w:tcBorders>
            <w:shd w:val="clear" w:color="auto" w:fill="FFFFFF" w:themeFill="background1"/>
            <w:vAlign w:val="center"/>
          </w:tcPr>
          <w:p w14:paraId="53097B3B" w14:textId="742FAD2D" w:rsidR="00231165" w:rsidRPr="00D27DA9" w:rsidRDefault="00231165" w:rsidP="00231165">
            <w:pPr>
              <w:jc w:val="both"/>
              <w:rPr>
                <w:rFonts w:cstheme="minorHAnsi"/>
                <w:lang w:val="sl-SI"/>
              </w:rPr>
            </w:pPr>
            <w:r>
              <w:rPr>
                <w:rFonts w:cstheme="minorHAnsi"/>
                <w:iCs/>
                <w:lang w:val="sl-SI"/>
              </w:rPr>
              <w:lastRenderedPageBreak/>
              <w:t>Predvideva se tudi možnost</w:t>
            </w:r>
            <w:r w:rsidRPr="00D27DA9">
              <w:rPr>
                <w:rFonts w:cstheme="minorHAnsi"/>
                <w:iCs/>
                <w:lang w:val="sl-SI"/>
              </w:rPr>
              <w:t xml:space="preserve"> </w:t>
            </w:r>
            <w:r>
              <w:rPr>
                <w:rFonts w:cstheme="minorHAnsi"/>
                <w:iCs/>
                <w:lang w:val="sl-SI"/>
              </w:rPr>
              <w:t xml:space="preserve">ponovnega </w:t>
            </w:r>
            <w:r w:rsidRPr="00D27DA9">
              <w:rPr>
                <w:rFonts w:cstheme="minorHAnsi"/>
                <w:iCs/>
                <w:lang w:val="sl-SI"/>
              </w:rPr>
              <w:t>sodelovanj</w:t>
            </w:r>
            <w:r>
              <w:rPr>
                <w:rFonts w:cstheme="minorHAnsi"/>
                <w:iCs/>
                <w:lang w:val="sl-SI"/>
              </w:rPr>
              <w:t>a</w:t>
            </w:r>
            <w:r w:rsidRPr="00D27DA9">
              <w:rPr>
                <w:rFonts w:cstheme="minorHAnsi"/>
                <w:iCs/>
                <w:lang w:val="sl-SI"/>
              </w:rPr>
              <w:t xml:space="preserve"> večnamenske ladje Triglav (VNL)</w:t>
            </w:r>
            <w:r>
              <w:rPr>
                <w:rFonts w:cstheme="minorHAnsi"/>
                <w:iCs/>
                <w:lang w:val="sl-SI"/>
              </w:rPr>
              <w:t xml:space="preserve"> </w:t>
            </w:r>
            <w:r w:rsidRPr="00D27DA9">
              <w:rPr>
                <w:rFonts w:cstheme="minorHAnsi"/>
                <w:iCs/>
                <w:lang w:val="sl-SI"/>
              </w:rPr>
              <w:t>v pomorski operaciji</w:t>
            </w:r>
            <w:r>
              <w:rPr>
                <w:rFonts w:cstheme="minorHAnsi"/>
                <w:iCs/>
                <w:lang w:val="sl-SI"/>
              </w:rPr>
              <w:t>, odvisno tudi</w:t>
            </w:r>
            <w:r w:rsidRPr="00D27DA9">
              <w:rPr>
                <w:rFonts w:cstheme="minorHAnsi"/>
                <w:iCs/>
                <w:lang w:val="sl-SI"/>
              </w:rPr>
              <w:t xml:space="preserve"> </w:t>
            </w:r>
            <w:r>
              <w:rPr>
                <w:rFonts w:cstheme="minorHAnsi"/>
                <w:iCs/>
                <w:lang w:val="sl-SI"/>
              </w:rPr>
              <w:t xml:space="preserve">od </w:t>
            </w:r>
            <w:r w:rsidRPr="00D27DA9">
              <w:rPr>
                <w:rFonts w:cstheme="minorHAnsi"/>
                <w:iCs/>
                <w:lang w:val="sl-SI"/>
              </w:rPr>
              <w:t>nadaljnje</w:t>
            </w:r>
            <w:r>
              <w:rPr>
                <w:rFonts w:cstheme="minorHAnsi"/>
                <w:iCs/>
                <w:lang w:val="sl-SI"/>
              </w:rPr>
              <w:t>ga</w:t>
            </w:r>
            <w:r w:rsidRPr="00D27DA9">
              <w:rPr>
                <w:rFonts w:cstheme="minorHAnsi"/>
                <w:iCs/>
                <w:lang w:val="sl-SI"/>
              </w:rPr>
              <w:t xml:space="preserve"> razvoj</w:t>
            </w:r>
            <w:r>
              <w:rPr>
                <w:rFonts w:cstheme="minorHAnsi"/>
                <w:iCs/>
                <w:lang w:val="sl-SI"/>
              </w:rPr>
              <w:t>a</w:t>
            </w:r>
            <w:r w:rsidRPr="00D27DA9">
              <w:rPr>
                <w:rFonts w:cstheme="minorHAnsi"/>
                <w:iCs/>
                <w:lang w:val="sl-SI"/>
              </w:rPr>
              <w:t xml:space="preserve"> operacije </w:t>
            </w:r>
            <w:r w:rsidRPr="00076348">
              <w:rPr>
                <w:rFonts w:cstheme="minorHAnsi"/>
                <w:iCs/>
              </w:rPr>
              <w:t>EUNAVFOR MED Irini.</w:t>
            </w:r>
          </w:p>
        </w:tc>
      </w:tr>
      <w:tr w:rsidR="001B69FD" w:rsidRPr="00D27DA9" w14:paraId="32EEB153" w14:textId="77777777" w:rsidTr="009B633B">
        <w:trPr>
          <w:trHeight w:val="1907"/>
        </w:trPr>
        <w:tc>
          <w:tcPr>
            <w:tcW w:w="1701" w:type="dxa"/>
            <w:tcBorders>
              <w:bottom w:val="single" w:sz="12" w:space="0" w:color="auto"/>
            </w:tcBorders>
            <w:vAlign w:val="center"/>
          </w:tcPr>
          <w:p w14:paraId="20E9B5D4" w14:textId="77777777" w:rsidR="001B69FD" w:rsidRPr="00D27DA9" w:rsidRDefault="001B69FD" w:rsidP="00D362DB">
            <w:pPr>
              <w:rPr>
                <w:rFonts w:eastAsia="Calibri" w:cstheme="minorHAnsi"/>
                <w:b/>
                <w:lang w:val="sl-SI"/>
              </w:rPr>
            </w:pPr>
            <w:r w:rsidRPr="00D27DA9">
              <w:rPr>
                <w:rFonts w:eastAsia="Calibri" w:cstheme="minorHAnsi"/>
                <w:b/>
                <w:lang w:val="sl-SI"/>
              </w:rPr>
              <w:t>Zaveza 12.5</w:t>
            </w:r>
          </w:p>
        </w:tc>
        <w:tc>
          <w:tcPr>
            <w:tcW w:w="3686" w:type="dxa"/>
            <w:tcBorders>
              <w:bottom w:val="single" w:sz="12" w:space="0" w:color="auto"/>
            </w:tcBorders>
            <w:vAlign w:val="center"/>
          </w:tcPr>
          <w:p w14:paraId="6A8C52A8" w14:textId="7670815A" w:rsidR="000E5BBF" w:rsidRPr="00D27DA9" w:rsidRDefault="00F90357" w:rsidP="00E51346">
            <w:pPr>
              <w:autoSpaceDE w:val="0"/>
              <w:autoSpaceDN w:val="0"/>
              <w:adjustRightInd w:val="0"/>
              <w:jc w:val="both"/>
              <w:rPr>
                <w:rFonts w:cstheme="minorHAnsi"/>
                <w:lang w:val="sl-SI"/>
              </w:rPr>
            </w:pPr>
            <w:r w:rsidRPr="00D27DA9">
              <w:rPr>
                <w:rFonts w:cstheme="minorHAnsi"/>
                <w:iCs/>
                <w:lang w:val="sl-SI"/>
              </w:rPr>
              <w:t>Slovenija je v letu 2020 izvedla priprave</w:t>
            </w:r>
            <w:r w:rsidR="00E51346" w:rsidRPr="00D27DA9">
              <w:rPr>
                <w:rFonts w:cstheme="minorHAnsi"/>
                <w:iCs/>
                <w:lang w:val="sl-SI"/>
              </w:rPr>
              <w:t xml:space="preserve"> </w:t>
            </w:r>
            <w:r w:rsidRPr="00D27DA9">
              <w:rPr>
                <w:rFonts w:cstheme="minorHAnsi"/>
                <w:iCs/>
                <w:lang w:val="sl-SI"/>
              </w:rPr>
              <w:t>na EUBG 2021 skozi nacionalno vajo</w:t>
            </w:r>
            <w:r w:rsidR="00E51346" w:rsidRPr="00D27DA9">
              <w:rPr>
                <w:rFonts w:cstheme="minorHAnsi"/>
                <w:iCs/>
                <w:lang w:val="sl-SI"/>
              </w:rPr>
              <w:t>.</w:t>
            </w:r>
          </w:p>
        </w:tc>
        <w:tc>
          <w:tcPr>
            <w:tcW w:w="4110" w:type="dxa"/>
            <w:tcBorders>
              <w:bottom w:val="single" w:sz="12" w:space="0" w:color="auto"/>
            </w:tcBorders>
            <w:vAlign w:val="center"/>
          </w:tcPr>
          <w:p w14:paraId="4B3EDEAE" w14:textId="3DD2DDFA" w:rsidR="00F90357" w:rsidRPr="00D27DA9" w:rsidRDefault="00F90357" w:rsidP="00F70C15">
            <w:pPr>
              <w:autoSpaceDE w:val="0"/>
              <w:autoSpaceDN w:val="0"/>
              <w:adjustRightInd w:val="0"/>
              <w:jc w:val="both"/>
              <w:rPr>
                <w:rFonts w:cstheme="minorHAnsi"/>
                <w:iCs/>
                <w:lang w:val="sl-SI"/>
              </w:rPr>
            </w:pPr>
            <w:r w:rsidRPr="00D27DA9">
              <w:rPr>
                <w:rFonts w:cstheme="minorHAnsi"/>
                <w:iCs/>
                <w:lang w:val="sl-SI"/>
              </w:rPr>
              <w:t>Sodelovanje pripadnikov Slovenske vojske v</w:t>
            </w:r>
            <w:r w:rsidR="00E51346" w:rsidRPr="00D27DA9">
              <w:rPr>
                <w:rFonts w:cstheme="minorHAnsi"/>
                <w:iCs/>
                <w:lang w:val="sl-SI"/>
              </w:rPr>
              <w:t xml:space="preserve"> </w:t>
            </w:r>
            <w:r w:rsidRPr="00D27DA9">
              <w:rPr>
                <w:rFonts w:cstheme="minorHAnsi"/>
                <w:iCs/>
                <w:lang w:val="sl-SI"/>
              </w:rPr>
              <w:t>EUBG, predvidoma znotraj regionalne</w:t>
            </w:r>
            <w:r w:rsidR="00F70C15">
              <w:rPr>
                <w:rFonts w:cstheme="minorHAnsi"/>
                <w:iCs/>
                <w:lang w:val="sl-SI"/>
              </w:rPr>
              <w:t xml:space="preserve"> </w:t>
            </w:r>
            <w:r w:rsidRPr="00D27DA9">
              <w:rPr>
                <w:rFonts w:cstheme="minorHAnsi"/>
                <w:iCs/>
                <w:lang w:val="sl-SI"/>
              </w:rPr>
              <w:t>pobude pod okriljem Italije v drugi polovici</w:t>
            </w:r>
          </w:p>
          <w:p w14:paraId="2262B2F6" w14:textId="45F19E24" w:rsidR="00F82AC7" w:rsidRPr="00D27DA9" w:rsidRDefault="00F90357" w:rsidP="00F70C15">
            <w:pPr>
              <w:jc w:val="both"/>
              <w:rPr>
                <w:rFonts w:eastAsia="Calibri" w:cstheme="minorHAnsi"/>
                <w:lang w:val="sl-SI"/>
              </w:rPr>
            </w:pPr>
            <w:r w:rsidRPr="00D27DA9">
              <w:rPr>
                <w:rFonts w:cstheme="minorHAnsi"/>
                <w:iCs/>
                <w:lang w:val="sl-SI"/>
              </w:rPr>
              <w:t>leta 2021.</w:t>
            </w:r>
          </w:p>
        </w:tc>
        <w:tc>
          <w:tcPr>
            <w:tcW w:w="4253" w:type="dxa"/>
            <w:tcBorders>
              <w:bottom w:val="single" w:sz="12" w:space="0" w:color="auto"/>
            </w:tcBorders>
            <w:shd w:val="clear" w:color="auto" w:fill="FFFFFF" w:themeFill="background1"/>
            <w:vAlign w:val="center"/>
          </w:tcPr>
          <w:p w14:paraId="71610AF8" w14:textId="3B37C1D0" w:rsidR="00F70D55" w:rsidRPr="00D27DA9" w:rsidRDefault="00F90357" w:rsidP="00E51346">
            <w:pPr>
              <w:autoSpaceDE w:val="0"/>
              <w:autoSpaceDN w:val="0"/>
              <w:adjustRightInd w:val="0"/>
              <w:jc w:val="both"/>
              <w:rPr>
                <w:rFonts w:cstheme="minorHAnsi"/>
                <w:lang w:val="sl-SI"/>
              </w:rPr>
            </w:pPr>
            <w:r w:rsidRPr="00D27DA9">
              <w:rPr>
                <w:rFonts w:cstheme="minorHAnsi"/>
                <w:iCs/>
                <w:lang w:val="sl-SI"/>
              </w:rPr>
              <w:t>Slovenija je pripravljena zagotavljati</w:t>
            </w:r>
            <w:r w:rsidR="00E51346" w:rsidRPr="00D27DA9">
              <w:rPr>
                <w:rFonts w:cstheme="minorHAnsi"/>
                <w:iCs/>
                <w:lang w:val="sl-SI"/>
              </w:rPr>
              <w:t xml:space="preserve"> </w:t>
            </w:r>
            <w:r w:rsidRPr="00D27DA9">
              <w:rPr>
                <w:rFonts w:cstheme="minorHAnsi"/>
                <w:iCs/>
                <w:lang w:val="sl-SI"/>
              </w:rPr>
              <w:t>prihodnje sodelovanje v EUBG v dogovoru z</w:t>
            </w:r>
            <w:r w:rsidR="00E51346" w:rsidRPr="00D27DA9">
              <w:rPr>
                <w:rFonts w:cstheme="minorHAnsi"/>
                <w:iCs/>
                <w:lang w:val="sl-SI"/>
              </w:rPr>
              <w:t xml:space="preserve"> </w:t>
            </w:r>
            <w:r w:rsidRPr="00D27DA9">
              <w:rPr>
                <w:rFonts w:cstheme="minorHAnsi"/>
                <w:iCs/>
                <w:lang w:val="sl-SI"/>
              </w:rPr>
              <w:t>drugimi državami v regionalnem okvirju.</w:t>
            </w:r>
            <w:r w:rsidR="00E51346" w:rsidRPr="00D27DA9">
              <w:rPr>
                <w:rFonts w:cstheme="minorHAnsi"/>
                <w:iCs/>
                <w:lang w:val="sl-SI"/>
              </w:rPr>
              <w:t xml:space="preserve"> </w:t>
            </w:r>
            <w:r w:rsidRPr="00D27DA9">
              <w:rPr>
                <w:rFonts w:cstheme="minorHAnsi"/>
                <w:iCs/>
                <w:lang w:val="sl-SI"/>
              </w:rPr>
              <w:t>Sodelovanje bo napovedano vsaj štiri leta</w:t>
            </w:r>
            <w:r w:rsidR="00E51346" w:rsidRPr="00D27DA9">
              <w:rPr>
                <w:rFonts w:cstheme="minorHAnsi"/>
                <w:iCs/>
                <w:lang w:val="sl-SI"/>
              </w:rPr>
              <w:t xml:space="preserve"> </w:t>
            </w:r>
            <w:r w:rsidRPr="00D27DA9">
              <w:rPr>
                <w:rFonts w:cstheme="minorHAnsi"/>
                <w:iCs/>
                <w:lang w:val="sl-SI"/>
              </w:rPr>
              <w:t>vnaprej, pri tem bo upoštevano načelo</w:t>
            </w:r>
            <w:r w:rsidR="00E51346" w:rsidRPr="00D27DA9">
              <w:rPr>
                <w:rFonts w:cstheme="minorHAnsi"/>
                <w:iCs/>
                <w:lang w:val="sl-SI"/>
              </w:rPr>
              <w:t xml:space="preserve"> </w:t>
            </w:r>
            <w:r w:rsidRPr="00D27DA9">
              <w:rPr>
                <w:rFonts w:cstheme="minorHAnsi"/>
                <w:iCs/>
                <w:lang w:val="sl-SI"/>
              </w:rPr>
              <w:t>enotnega nabora sil ter skladnost z</w:t>
            </w:r>
            <w:r w:rsidR="00E51346" w:rsidRPr="00D27DA9">
              <w:rPr>
                <w:rFonts w:cstheme="minorHAnsi"/>
                <w:iCs/>
                <w:lang w:val="sl-SI"/>
              </w:rPr>
              <w:t xml:space="preserve"> </w:t>
            </w:r>
            <w:r w:rsidRPr="00D27DA9">
              <w:rPr>
                <w:rFonts w:cstheme="minorHAnsi"/>
                <w:iCs/>
                <w:lang w:val="sl-SI"/>
              </w:rPr>
              <w:t>operativnimi cikli odzivnih sil EU in NATO.</w:t>
            </w:r>
          </w:p>
        </w:tc>
      </w:tr>
      <w:tr w:rsidR="00247CC1" w:rsidRPr="00D27DA9" w14:paraId="10125260" w14:textId="77777777" w:rsidTr="009B633B">
        <w:trPr>
          <w:trHeight w:val="1525"/>
        </w:trPr>
        <w:tc>
          <w:tcPr>
            <w:tcW w:w="1701" w:type="dxa"/>
            <w:tcBorders>
              <w:bottom w:val="dashSmallGap" w:sz="4" w:space="0" w:color="auto"/>
            </w:tcBorders>
            <w:vAlign w:val="center"/>
          </w:tcPr>
          <w:p w14:paraId="0A157FEB" w14:textId="77777777" w:rsidR="00247CC1" w:rsidRPr="00D27DA9" w:rsidRDefault="00247CC1" w:rsidP="00D362DB">
            <w:pPr>
              <w:rPr>
                <w:rFonts w:eastAsia="Calibri" w:cstheme="minorHAnsi"/>
                <w:b/>
                <w:lang w:val="sl-SI"/>
              </w:rPr>
            </w:pPr>
            <w:r w:rsidRPr="00D27DA9">
              <w:rPr>
                <w:rFonts w:eastAsia="Calibri" w:cstheme="minorHAnsi"/>
                <w:b/>
                <w:lang w:val="sl-SI"/>
              </w:rPr>
              <w:t>Zaveza 12.6</w:t>
            </w:r>
          </w:p>
        </w:tc>
        <w:tc>
          <w:tcPr>
            <w:tcW w:w="3686" w:type="dxa"/>
            <w:tcBorders>
              <w:bottom w:val="dashSmallGap" w:sz="4" w:space="0" w:color="auto"/>
            </w:tcBorders>
            <w:vAlign w:val="center"/>
          </w:tcPr>
          <w:p w14:paraId="574043D4" w14:textId="42E548C4" w:rsidR="004E7BDC" w:rsidRPr="00D27DA9" w:rsidRDefault="00E51346" w:rsidP="00D27DA9">
            <w:pPr>
              <w:autoSpaceDE w:val="0"/>
              <w:autoSpaceDN w:val="0"/>
              <w:adjustRightInd w:val="0"/>
              <w:jc w:val="both"/>
              <w:rPr>
                <w:rFonts w:cstheme="minorHAnsi"/>
                <w:iCs/>
                <w:lang w:val="sl-SI"/>
              </w:rPr>
            </w:pPr>
            <w:r w:rsidRPr="00D27DA9">
              <w:rPr>
                <w:rFonts w:cstheme="minorHAnsi"/>
                <w:iCs/>
                <w:lang w:val="sl-SI"/>
              </w:rPr>
              <w:t xml:space="preserve">Obveščevalno varnostna služba (OVS) </w:t>
            </w:r>
            <w:r w:rsidR="00684654" w:rsidRPr="00D27DA9">
              <w:rPr>
                <w:rFonts w:cstheme="minorHAnsi"/>
                <w:iCs/>
                <w:lang w:val="sl-SI"/>
              </w:rPr>
              <w:t>MORS preko Situacijskega</w:t>
            </w:r>
            <w:r w:rsidRPr="00D27DA9">
              <w:rPr>
                <w:rFonts w:cstheme="minorHAnsi"/>
                <w:iCs/>
                <w:lang w:val="sl-SI"/>
              </w:rPr>
              <w:t xml:space="preserve"> </w:t>
            </w:r>
            <w:r w:rsidR="00684654" w:rsidRPr="00D27DA9">
              <w:rPr>
                <w:rFonts w:cstheme="minorHAnsi"/>
                <w:iCs/>
                <w:lang w:val="sl-SI"/>
              </w:rPr>
              <w:t>centra (SITCEN OVS) vseskozi tesno</w:t>
            </w:r>
            <w:r w:rsidRPr="00D27DA9">
              <w:rPr>
                <w:rFonts w:cstheme="minorHAnsi"/>
                <w:iCs/>
                <w:lang w:val="sl-SI"/>
              </w:rPr>
              <w:t xml:space="preserve"> </w:t>
            </w:r>
            <w:r w:rsidR="00684654" w:rsidRPr="00D27DA9">
              <w:rPr>
                <w:rFonts w:cstheme="minorHAnsi"/>
                <w:iCs/>
                <w:lang w:val="sl-SI"/>
              </w:rPr>
              <w:t>sodeluje z OC PSSV, OE MORS, OKC</w:t>
            </w:r>
            <w:r w:rsidRPr="00D27DA9">
              <w:rPr>
                <w:rFonts w:cstheme="minorHAnsi"/>
                <w:iCs/>
                <w:lang w:val="sl-SI"/>
              </w:rPr>
              <w:t xml:space="preserve"> </w:t>
            </w:r>
            <w:r w:rsidR="00684654" w:rsidRPr="00D27DA9">
              <w:rPr>
                <w:rFonts w:cstheme="minorHAnsi"/>
                <w:iCs/>
                <w:lang w:val="sl-SI"/>
              </w:rPr>
              <w:t>MNZ ter ostalimi ministrstvi in v sklopu</w:t>
            </w:r>
            <w:r w:rsidRPr="00D27DA9">
              <w:rPr>
                <w:rFonts w:cstheme="minorHAnsi"/>
                <w:iCs/>
                <w:lang w:val="sl-SI"/>
              </w:rPr>
              <w:t xml:space="preserve"> </w:t>
            </w:r>
            <w:r w:rsidR="00684654" w:rsidRPr="00D27DA9">
              <w:rPr>
                <w:rFonts w:cstheme="minorHAnsi"/>
                <w:iCs/>
                <w:lang w:val="sl-SI"/>
              </w:rPr>
              <w:t>rednih nalog podpira zagotavljanje</w:t>
            </w:r>
            <w:r w:rsidRPr="00D27DA9">
              <w:rPr>
                <w:rFonts w:cstheme="minorHAnsi"/>
                <w:iCs/>
                <w:lang w:val="sl-SI"/>
              </w:rPr>
              <w:t xml:space="preserve"> </w:t>
            </w:r>
            <w:r w:rsidR="00684654" w:rsidRPr="00D27DA9">
              <w:rPr>
                <w:rFonts w:cstheme="minorHAnsi"/>
                <w:iCs/>
                <w:lang w:val="sl-SI"/>
              </w:rPr>
              <w:t>vojaške mobilnosti Republike Slovenije</w:t>
            </w:r>
            <w:r w:rsidRPr="00D27DA9">
              <w:rPr>
                <w:rFonts w:cstheme="minorHAnsi"/>
                <w:iCs/>
                <w:lang w:val="sl-SI"/>
              </w:rPr>
              <w:t xml:space="preserve"> </w:t>
            </w:r>
            <w:r w:rsidR="00684654" w:rsidRPr="00D27DA9">
              <w:rPr>
                <w:rFonts w:cstheme="minorHAnsi"/>
                <w:iCs/>
                <w:lang w:val="sl-SI"/>
              </w:rPr>
              <w:t>z izdelavo najav in pripravo</w:t>
            </w:r>
            <w:r w:rsidRPr="00D27DA9">
              <w:rPr>
                <w:rFonts w:cstheme="minorHAnsi"/>
                <w:iCs/>
                <w:lang w:val="sl-SI"/>
              </w:rPr>
              <w:t xml:space="preserve"> </w:t>
            </w:r>
            <w:r w:rsidR="00684654" w:rsidRPr="00D27DA9">
              <w:rPr>
                <w:rFonts w:cstheme="minorHAnsi"/>
                <w:iCs/>
                <w:lang w:val="sl-SI"/>
              </w:rPr>
              <w:t>dokumentov za dovoljenja za</w:t>
            </w:r>
            <w:r w:rsidRPr="00D27DA9">
              <w:rPr>
                <w:rFonts w:cstheme="minorHAnsi"/>
                <w:iCs/>
                <w:lang w:val="sl-SI"/>
              </w:rPr>
              <w:t xml:space="preserve"> </w:t>
            </w:r>
            <w:r w:rsidR="00684654" w:rsidRPr="00D27DA9">
              <w:rPr>
                <w:rFonts w:cstheme="minorHAnsi"/>
                <w:iCs/>
                <w:lang w:val="sl-SI"/>
              </w:rPr>
              <w:t>prehajanje meje, tako za pripadnike</w:t>
            </w:r>
            <w:r w:rsidRPr="00D27DA9">
              <w:rPr>
                <w:rFonts w:cstheme="minorHAnsi"/>
                <w:iCs/>
                <w:lang w:val="sl-SI"/>
              </w:rPr>
              <w:t xml:space="preserve"> </w:t>
            </w:r>
            <w:r w:rsidR="00684654" w:rsidRPr="00D27DA9">
              <w:rPr>
                <w:rFonts w:cstheme="minorHAnsi"/>
                <w:iCs/>
                <w:lang w:val="sl-SI"/>
              </w:rPr>
              <w:t>Slovenske vojske kot tudi za tuje</w:t>
            </w:r>
            <w:r w:rsidRPr="00D27DA9">
              <w:rPr>
                <w:rFonts w:cstheme="minorHAnsi"/>
                <w:iCs/>
                <w:lang w:val="sl-SI"/>
              </w:rPr>
              <w:t xml:space="preserve"> </w:t>
            </w:r>
            <w:r w:rsidR="00684654" w:rsidRPr="00D27DA9">
              <w:rPr>
                <w:rFonts w:cstheme="minorHAnsi"/>
                <w:iCs/>
                <w:lang w:val="sl-SI"/>
              </w:rPr>
              <w:t>oborožene sile. OVS je zainteresirana</w:t>
            </w:r>
            <w:r w:rsidR="00D27DA9">
              <w:rPr>
                <w:rFonts w:cstheme="minorHAnsi"/>
                <w:iCs/>
                <w:lang w:val="sl-SI"/>
              </w:rPr>
              <w:t xml:space="preserve"> </w:t>
            </w:r>
            <w:r w:rsidR="00684654" w:rsidRPr="00D27DA9">
              <w:rPr>
                <w:rFonts w:cstheme="minorHAnsi"/>
                <w:iCs/>
                <w:lang w:val="sl-SI"/>
              </w:rPr>
              <w:t>za vse poenostavitve in standardizacije</w:t>
            </w:r>
            <w:r w:rsidR="00D27DA9">
              <w:rPr>
                <w:rFonts w:cstheme="minorHAnsi"/>
                <w:iCs/>
                <w:lang w:val="sl-SI"/>
              </w:rPr>
              <w:t xml:space="preserve"> </w:t>
            </w:r>
            <w:r w:rsidR="00684654" w:rsidRPr="00D27DA9">
              <w:rPr>
                <w:rFonts w:cstheme="minorHAnsi"/>
                <w:iCs/>
                <w:lang w:val="sl-SI"/>
              </w:rPr>
              <w:t>postopkov za čezmejni vojaški</w:t>
            </w:r>
            <w:r w:rsidRPr="00D27DA9">
              <w:rPr>
                <w:rFonts w:cstheme="minorHAnsi"/>
                <w:iCs/>
                <w:lang w:val="sl-SI"/>
              </w:rPr>
              <w:t xml:space="preserve"> </w:t>
            </w:r>
            <w:r w:rsidR="00684654" w:rsidRPr="00D27DA9">
              <w:rPr>
                <w:rFonts w:cstheme="minorHAnsi"/>
                <w:iCs/>
                <w:lang w:val="sl-SI"/>
              </w:rPr>
              <w:t>transport v kolikor so pravno vzdržni in</w:t>
            </w:r>
            <w:r w:rsidRPr="00D27DA9">
              <w:rPr>
                <w:rFonts w:cstheme="minorHAnsi"/>
                <w:iCs/>
                <w:lang w:val="sl-SI"/>
              </w:rPr>
              <w:t xml:space="preserve"> </w:t>
            </w:r>
            <w:r w:rsidR="00684654" w:rsidRPr="00D27DA9">
              <w:rPr>
                <w:rFonts w:cstheme="minorHAnsi"/>
                <w:iCs/>
                <w:lang w:val="sl-SI"/>
              </w:rPr>
              <w:t xml:space="preserve">ne predstavljajo tveganj za </w:t>
            </w:r>
            <w:r w:rsidRPr="00D27DA9">
              <w:rPr>
                <w:rFonts w:cstheme="minorHAnsi"/>
                <w:iCs/>
                <w:lang w:val="sl-SI"/>
              </w:rPr>
              <w:t>n</w:t>
            </w:r>
            <w:r w:rsidR="00684654" w:rsidRPr="00D27DA9">
              <w:rPr>
                <w:rFonts w:cstheme="minorHAnsi"/>
                <w:iCs/>
                <w:lang w:val="sl-SI"/>
              </w:rPr>
              <w:t>acionalnovarnostni</w:t>
            </w:r>
            <w:r w:rsidRPr="00D27DA9">
              <w:rPr>
                <w:rFonts w:cstheme="minorHAnsi"/>
                <w:iCs/>
                <w:lang w:val="sl-SI"/>
              </w:rPr>
              <w:t xml:space="preserve"> </w:t>
            </w:r>
            <w:r w:rsidR="00684654" w:rsidRPr="00D27DA9">
              <w:rPr>
                <w:rFonts w:cstheme="minorHAnsi"/>
                <w:iCs/>
                <w:lang w:val="sl-SI"/>
              </w:rPr>
              <w:t>sistem Republike Slovenije.</w:t>
            </w:r>
          </w:p>
        </w:tc>
        <w:tc>
          <w:tcPr>
            <w:tcW w:w="4110" w:type="dxa"/>
            <w:tcBorders>
              <w:bottom w:val="dashSmallGap" w:sz="4" w:space="0" w:color="auto"/>
            </w:tcBorders>
            <w:vAlign w:val="center"/>
          </w:tcPr>
          <w:p w14:paraId="1BA6BB7F" w14:textId="39EDBD68" w:rsidR="004E7BDC" w:rsidRPr="00D27DA9" w:rsidRDefault="004E7BDC" w:rsidP="00E51346">
            <w:pPr>
              <w:jc w:val="both"/>
              <w:rPr>
                <w:rFonts w:cstheme="minorHAnsi"/>
                <w:iCs/>
                <w:lang w:val="sl-SI"/>
              </w:rPr>
            </w:pPr>
            <w:r w:rsidRPr="00D27DA9">
              <w:rPr>
                <w:rFonts w:cstheme="minorHAnsi"/>
                <w:lang w:val="sl-SI"/>
              </w:rPr>
              <w:t>V kolikor bo predsedujoča država v okviru Pobude za obrambno sodelovanje držav srednje Evrope (CEDC) izvajala aktivnosti s področja čezmejnega vojaškega prometa, je Slovenija pripravljena aktivno sodelovati, v skladu z nacionalnimi prioritetami in zmogljivostmi.</w:t>
            </w:r>
          </w:p>
          <w:p w14:paraId="0664E9E1" w14:textId="37A3DC94" w:rsidR="00247CC1" w:rsidRPr="00D27DA9" w:rsidRDefault="00247CC1" w:rsidP="00E51346">
            <w:pPr>
              <w:jc w:val="both"/>
              <w:rPr>
                <w:rFonts w:cstheme="minorHAnsi"/>
                <w:lang w:val="sl-SI"/>
              </w:rPr>
            </w:pPr>
          </w:p>
        </w:tc>
        <w:tc>
          <w:tcPr>
            <w:tcW w:w="4253" w:type="dxa"/>
            <w:tcBorders>
              <w:bottom w:val="dashSmallGap" w:sz="4" w:space="0" w:color="auto"/>
            </w:tcBorders>
            <w:shd w:val="clear" w:color="auto" w:fill="FFFFFF" w:themeFill="background1"/>
            <w:vAlign w:val="center"/>
          </w:tcPr>
          <w:p w14:paraId="33633E4E" w14:textId="545A2A85" w:rsidR="004E7BDC" w:rsidRPr="00D27DA9" w:rsidRDefault="004E7BDC" w:rsidP="00E51346">
            <w:pPr>
              <w:jc w:val="both"/>
              <w:rPr>
                <w:rFonts w:cstheme="minorHAnsi"/>
                <w:iCs/>
                <w:lang w:val="sl-SI"/>
              </w:rPr>
            </w:pPr>
            <w:r w:rsidRPr="00D27DA9">
              <w:rPr>
                <w:rFonts w:cstheme="minorHAnsi"/>
                <w:lang w:val="sl-SI"/>
              </w:rPr>
              <w:t>V skladu s prioritetami predsedujočih držav smo v okviru Pobude za obrambno sodelovanje držav srednje Evrope (CEDC) pripravljeni sodelovali v projektih s tega področja.</w:t>
            </w:r>
          </w:p>
          <w:p w14:paraId="4B1C19B0" w14:textId="7EF7252D" w:rsidR="00247CC1" w:rsidRPr="00D27DA9" w:rsidRDefault="00247CC1" w:rsidP="00E51346">
            <w:pPr>
              <w:jc w:val="both"/>
              <w:rPr>
                <w:rFonts w:cstheme="minorHAnsi"/>
                <w:lang w:val="sl-SI"/>
              </w:rPr>
            </w:pPr>
          </w:p>
        </w:tc>
      </w:tr>
      <w:tr w:rsidR="00547AD3" w:rsidRPr="00D27DA9" w14:paraId="50E2B1E1" w14:textId="77777777" w:rsidTr="009B6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25"/>
        </w:trPr>
        <w:tc>
          <w:tcPr>
            <w:tcW w:w="1701" w:type="dxa"/>
            <w:tcBorders>
              <w:top w:val="dashSmallGap" w:sz="4" w:space="0" w:color="auto"/>
              <w:left w:val="single" w:sz="12" w:space="0" w:color="auto"/>
              <w:bottom w:val="single" w:sz="12" w:space="0" w:color="auto"/>
              <w:right w:val="single" w:sz="12" w:space="0" w:color="auto"/>
            </w:tcBorders>
            <w:hideMark/>
          </w:tcPr>
          <w:p w14:paraId="2F927BE8" w14:textId="77777777" w:rsidR="00547AD3" w:rsidRPr="00D27DA9" w:rsidRDefault="00547AD3">
            <w:pPr>
              <w:rPr>
                <w:rFonts w:eastAsia="Calibri" w:cstheme="minorHAnsi"/>
                <w:b/>
                <w:lang w:val="sl-SI"/>
              </w:rPr>
            </w:pPr>
            <w:r w:rsidRPr="00D27DA9">
              <w:rPr>
                <w:rFonts w:eastAsia="Calibri" w:cstheme="minorHAnsi"/>
                <w:b/>
                <w:lang w:val="sl-SI"/>
              </w:rPr>
              <w:lastRenderedPageBreak/>
              <w:t>Zaveza 12.6</w:t>
            </w:r>
          </w:p>
          <w:p w14:paraId="6C02C756" w14:textId="7092B1C9" w:rsidR="00547AD3" w:rsidRPr="00D27DA9" w:rsidRDefault="00547AD3">
            <w:pPr>
              <w:rPr>
                <w:rFonts w:eastAsia="Calibri" w:cstheme="minorHAnsi"/>
                <w:b/>
                <w:lang w:val="sl-SI"/>
              </w:rPr>
            </w:pPr>
          </w:p>
          <w:p w14:paraId="46BB57FE" w14:textId="77777777" w:rsidR="00E51346" w:rsidRPr="00D27DA9" w:rsidRDefault="00E51346">
            <w:pPr>
              <w:rPr>
                <w:rFonts w:eastAsia="Calibri" w:cstheme="minorHAnsi"/>
                <w:b/>
                <w:lang w:val="sl-SI"/>
              </w:rPr>
            </w:pPr>
          </w:p>
          <w:p w14:paraId="5F377A5D" w14:textId="63E0817B" w:rsidR="00547AD3" w:rsidRPr="00D27DA9" w:rsidRDefault="00E51346">
            <w:pPr>
              <w:rPr>
                <w:rFonts w:eastAsia="Calibri" w:cstheme="minorHAnsi"/>
                <w:b/>
                <w:lang w:val="sl-SI"/>
              </w:rPr>
            </w:pPr>
            <w:r w:rsidRPr="00D27DA9">
              <w:rPr>
                <w:rFonts w:eastAsia="Calibri" w:cstheme="minorHAnsi"/>
                <w:b/>
                <w:lang w:val="sl-SI"/>
              </w:rPr>
              <w:t>Medresorska skupina za vojaško mobilnost</w:t>
            </w:r>
          </w:p>
        </w:tc>
        <w:tc>
          <w:tcPr>
            <w:tcW w:w="3686" w:type="dxa"/>
            <w:tcBorders>
              <w:top w:val="dashSmallGap" w:sz="4" w:space="0" w:color="auto"/>
              <w:left w:val="single" w:sz="12" w:space="0" w:color="auto"/>
              <w:bottom w:val="single" w:sz="12" w:space="0" w:color="auto"/>
              <w:right w:val="single" w:sz="12" w:space="0" w:color="auto"/>
            </w:tcBorders>
            <w:hideMark/>
          </w:tcPr>
          <w:p w14:paraId="6E5E1E18" w14:textId="77777777" w:rsidR="00547AD3" w:rsidRPr="00D27DA9" w:rsidRDefault="00547AD3">
            <w:pPr>
              <w:jc w:val="both"/>
              <w:rPr>
                <w:rFonts w:eastAsia="Calibri" w:cstheme="minorHAnsi"/>
                <w:b/>
                <w:lang w:val="sl-SI"/>
              </w:rPr>
            </w:pPr>
            <w:r w:rsidRPr="00D27DA9">
              <w:rPr>
                <w:rFonts w:eastAsia="Calibri" w:cstheme="minorHAnsi"/>
                <w:b/>
                <w:lang w:val="sl-SI"/>
              </w:rPr>
              <w:t>12. 6. 1. Medresorska skupina za vojaško mobilnost</w:t>
            </w:r>
          </w:p>
          <w:p w14:paraId="2BB57688" w14:textId="77777777" w:rsidR="00547AD3" w:rsidRPr="00D27DA9" w:rsidRDefault="00547AD3">
            <w:pPr>
              <w:jc w:val="both"/>
              <w:rPr>
                <w:rFonts w:eastAsia="Calibri" w:cstheme="minorHAnsi"/>
                <w:lang w:val="sl-SI"/>
              </w:rPr>
            </w:pPr>
            <w:r w:rsidRPr="00D27DA9">
              <w:rPr>
                <w:rFonts w:eastAsia="Calibri" w:cstheme="minorHAnsi"/>
                <w:lang w:val="sl-SI"/>
              </w:rPr>
              <w:t xml:space="preserve">Vlada Republike Slovenije je s sklepom št. 02401-22/2018/5, z dne 22. 11. 2018 imenovala Stalno medresorsko koordinacijsko skupino za spremljanje in usmerjanje implementacije ukrepov na področju vojaške mobilnosti (v nadaljnjem besedilu: medresorska skupina). Vodenje medresorske skupine je v pristojnosti Ministrstva za obrambo. V njej sodelujejo še  Ministrstvo za zunanje zadeve, Ministrstvo za infrastrukturo, Ministrstvo za notranje zadeve, Ministrstvo za okolje in prostor, Ministrstvo za zdravje. Njene naloge so spremljanje in usmerjanje implementacije ukrepov na področju vojaške mobilnosti. Pri svojem delu sledi nalogam zapisanim v sklepu št. 02401-22/2018/5, z dne 22. 11. 2018, izhodiščem zapisanim v Skupnem sporočilu Evropskemu parlamentu in Svetu Izboljšanje vojaške mobilnosti v Evropski uniji (v nadaljevanju EU), JOIN(2017)41 final, 10.11.2017, Skupnemu sporočilu Evropskemu parlamentu in Svetu o akcijskem načrtu za vojaško mobilnost JOIN(2018) final 5, 28.3.2018 ter Izvedbenemu načrtu izpolnitve kriterijev in zavez Republike Slovenije za vključitev v Stalno strukturno sodelovanje na področju </w:t>
            </w:r>
            <w:r w:rsidRPr="00D27DA9">
              <w:rPr>
                <w:rFonts w:eastAsia="Calibri" w:cstheme="minorHAnsi"/>
                <w:lang w:val="sl-SI"/>
              </w:rPr>
              <w:lastRenderedPageBreak/>
              <w:t>varnosti in obrambe EU (PESCO) za področje vojaške mobilnosti.</w:t>
            </w:r>
            <w:r w:rsidRPr="00D27DA9">
              <w:rPr>
                <w:rFonts w:cstheme="minorHAnsi"/>
                <w:lang w:val="sl-SI"/>
              </w:rPr>
              <w:t xml:space="preserve"> </w:t>
            </w:r>
            <w:r w:rsidRPr="00D27DA9">
              <w:rPr>
                <w:rFonts w:eastAsia="Calibri" w:cstheme="minorHAnsi"/>
                <w:lang w:val="sl-SI"/>
              </w:rPr>
              <w:t xml:space="preserve">Pri svojem delu obravnava različne vidike s področja prehodov meja, carin, transporta, prometa, prometne infrastrukture, izdaje diplomatskih dovoljenj, obrambe, zunanjih in notranjih zadev. Prvič se je sestala 20. decembra 2018. Od imenovanja se je sestala na 7. sejah. Na podlagi izkušenj iz pandemije COVID-19 je bilo v letu 2020 v medresorsko skupino vključeno še Ministrstvo za zdravje. </w:t>
            </w:r>
          </w:p>
          <w:p w14:paraId="6B9103F7" w14:textId="77777777" w:rsidR="00547AD3" w:rsidRPr="00D27DA9" w:rsidRDefault="00547AD3">
            <w:pPr>
              <w:jc w:val="both"/>
              <w:rPr>
                <w:rFonts w:eastAsia="Calibri" w:cstheme="minorHAnsi"/>
                <w:lang w:val="sl-SI"/>
              </w:rPr>
            </w:pPr>
            <w:r w:rsidRPr="00D27DA9">
              <w:rPr>
                <w:rFonts w:eastAsia="Calibri" w:cstheme="minorHAnsi"/>
                <w:lang w:val="sl-SI"/>
              </w:rPr>
              <w:t>Medresorsko sodelovanje in usklajevanje na področju vojaške mobilnosti je v letu 2020 potekalo neprekinjeno, medresorska skupina pa je bila v letu 2020 zaradi specifičnih razmer sklicana le enkrat.</w:t>
            </w:r>
            <w:r w:rsidRPr="00D27DA9">
              <w:rPr>
                <w:rFonts w:eastAsia="Calibri" w:cstheme="minorHAnsi"/>
                <w:lang w:val="sl-SI" w:eastAsia="sl-SI"/>
              </w:rPr>
              <w:t xml:space="preserve"> </w:t>
            </w:r>
            <w:r w:rsidRPr="00D27DA9">
              <w:rPr>
                <w:rFonts w:eastAsia="Calibri" w:cstheme="minorHAnsi"/>
                <w:lang w:val="sl-SI"/>
              </w:rPr>
              <w:t xml:space="preserve">Medresorska skupina se je seznanila z informacijo, da je Evropski Svet v juliju 2020 sprejel posodobljeno analizo vrzeli med vojaškimi zahtevami in civilnimi TEN-T zahtevami (Joint Staff Working Document on the updated Gap Analysis between the Military Requirements and the Trans-European Transport Network Requirements, dokument številka 9805/20 z dne 17. 7. 2020), na podlagi katere je opredelila nacionalna izhodišča za pripravo infrastrukturnega dela nacionalnega načrta za vojaško mobilnost. Ob tem je potrdila seznam »zrelih projektov«, s </w:t>
            </w:r>
            <w:r w:rsidRPr="00D27DA9">
              <w:rPr>
                <w:rFonts w:eastAsia="Calibri" w:cstheme="minorHAnsi"/>
                <w:lang w:val="sl-SI"/>
              </w:rPr>
              <w:lastRenderedPageBreak/>
              <w:t xml:space="preserve">katerimi bo Republika Slovenija kandidirala za sredstva namenjena sofinanciranju civilno-vojaških projektov za dvojno rabo v okviru instrumenta za povezovanje Evrope za obdobje 2021–2027, ki so namenjena vojaški mobilnosti. Ob tem so bila prizadevanja  medresorske skupine usmerjena tudi na normativno področje vojaške mobilnosti, na obeh področjih vojaške mobilnosti tako na infrastrukturnem kakor tudi na normativnem,  je bil v letu 2020 izveden velik napredek. </w:t>
            </w:r>
          </w:p>
          <w:p w14:paraId="3551FC4A" w14:textId="77777777" w:rsidR="00547AD3" w:rsidRPr="00D27DA9" w:rsidRDefault="00547AD3">
            <w:pPr>
              <w:jc w:val="both"/>
              <w:rPr>
                <w:rFonts w:eastAsia="Calibri" w:cstheme="minorHAnsi"/>
                <w:b/>
                <w:lang w:val="sl-SI"/>
              </w:rPr>
            </w:pPr>
            <w:r w:rsidRPr="00D27DA9">
              <w:rPr>
                <w:rFonts w:eastAsia="Calibri" w:cstheme="minorHAnsi"/>
                <w:b/>
                <w:lang w:val="sl-SI"/>
              </w:rPr>
              <w:t>12. 6. 2.  Napredek pri izvajanju Akcijskega načrta EU za vojaško mobilnost (JOIN(2018) final 5, 28.3.2018)</w:t>
            </w:r>
            <w:r w:rsidRPr="00D27DA9">
              <w:rPr>
                <w:rFonts w:cstheme="minorHAnsi"/>
                <w:lang w:val="sl-SI"/>
              </w:rPr>
              <w:t xml:space="preserve">  </w:t>
            </w:r>
          </w:p>
          <w:p w14:paraId="2548698B" w14:textId="77777777" w:rsidR="00547AD3" w:rsidRPr="00D27DA9" w:rsidRDefault="00547AD3">
            <w:pPr>
              <w:jc w:val="both"/>
              <w:rPr>
                <w:rFonts w:eastAsia="Calibri" w:cstheme="minorHAnsi"/>
                <w:lang w:val="sl-SI"/>
              </w:rPr>
            </w:pPr>
            <w:r w:rsidRPr="00D27DA9">
              <w:rPr>
                <w:rFonts w:eastAsia="Calibri" w:cstheme="minorHAnsi"/>
                <w:lang w:val="sl-SI"/>
              </w:rPr>
              <w:t xml:space="preserve"> V letu 2020 so bila na podlagi</w:t>
            </w:r>
            <w:r w:rsidRPr="00D27DA9">
              <w:rPr>
                <w:rFonts w:cstheme="minorHAnsi"/>
                <w:lang w:val="sl-SI"/>
              </w:rPr>
              <w:t xml:space="preserve"> </w:t>
            </w:r>
            <w:r w:rsidRPr="00D27DA9">
              <w:rPr>
                <w:rFonts w:eastAsia="Calibri" w:cstheme="minorHAnsi"/>
                <w:lang w:val="sl-SI"/>
              </w:rPr>
              <w:t xml:space="preserve">posodobljene analize  vrzeli med vojaškimi zahtevami in civilnimi TEN-T zahtevami (Joint Staff Working Document on the updated Gap Analysis between the Military Requirements and the Trans-European Transport Network Requirements, dokument številka 9805/20 z dne 17. 7. 2020)  opredeljena nacionalna izhodišča za pripravo infrastrukturnega dela Načrta vojaške mobilnosti RS vezana na vojaške zahteve za izgradnjo prometne infrastrukture. Potrjen je bil seznam »zrelih projektov« prometne infrastrukture (avtocesta, železnica, </w:t>
            </w:r>
            <w:r w:rsidRPr="00D27DA9">
              <w:rPr>
                <w:rFonts w:eastAsia="Calibri" w:cstheme="minorHAnsi"/>
                <w:lang w:val="sl-SI"/>
              </w:rPr>
              <w:lastRenderedPageBreak/>
              <w:t>pomorstvo), s katerimi bo Republika Slovenija kandidirala za sredstva namenjena sofinanciranju civilno-vojaških projektov za dvojno rabo v okviru instrumenta za povezovanje Evrope za obdobje 2021–2027, ki so namenjena vojaški mobilnosti.</w:t>
            </w:r>
          </w:p>
          <w:p w14:paraId="6605B7FC" w14:textId="77777777" w:rsidR="00547AD3" w:rsidRPr="00D27DA9" w:rsidRDefault="00547AD3">
            <w:pPr>
              <w:jc w:val="both"/>
              <w:rPr>
                <w:rFonts w:eastAsia="Calibri" w:cstheme="minorHAnsi"/>
                <w:lang w:val="sl-SI"/>
              </w:rPr>
            </w:pPr>
            <w:r w:rsidRPr="00D27DA9">
              <w:rPr>
                <w:rFonts w:eastAsia="Calibri" w:cstheme="minorHAnsi"/>
                <w:lang w:val="sl-SI"/>
              </w:rPr>
              <w:t>Na zakonodajnem delu vojaške mobilnosti je RS pod okriljem EU aktivno sodelovala pri usklajevanju in pripravi  pravnih podlag za optimizacijo izdaje diplomatskih dovoljenj za čezmejne premike vojaškega osebja in opreme po zraku in kopnem ter na področju carinske zakonodaje. Programski dogovor št. A.PRG.CAP.671 o usklajevanju vojaških zahtev, povezanih s carino je na nacionalni ravni usklajen. Podpisan bo po prejemu francoske kopije iz EDA.</w:t>
            </w:r>
          </w:p>
          <w:p w14:paraId="04702B1F" w14:textId="77777777" w:rsidR="00547AD3" w:rsidRPr="00D27DA9" w:rsidRDefault="00547AD3">
            <w:pPr>
              <w:jc w:val="both"/>
              <w:rPr>
                <w:rFonts w:eastAsia="Calibri" w:cstheme="minorHAnsi"/>
                <w:lang w:val="sl-SI"/>
              </w:rPr>
            </w:pPr>
            <w:r w:rsidRPr="00D27DA9">
              <w:rPr>
                <w:rFonts w:eastAsia="Calibri" w:cstheme="minorHAnsi"/>
                <w:lang w:val="sl-SI"/>
              </w:rPr>
              <w:t>RS je v okviru delovnih skupin EDA aktivno sodelovala pri pripravi tehničnih sporazumov za optimizacijo čezmejnih premikov vojaškega osebja in opreme po kopnem (TA CBMP SURFACE, Cat. A) in zraku (TA CBMP AIR, Cat. A).</w:t>
            </w:r>
            <w:r w:rsidRPr="00D27DA9">
              <w:rPr>
                <w:rFonts w:cstheme="minorHAnsi"/>
                <w:lang w:val="sl-SI"/>
              </w:rPr>
              <w:t xml:space="preserve"> </w:t>
            </w:r>
            <w:r w:rsidRPr="00D27DA9">
              <w:rPr>
                <w:rFonts w:eastAsia="Calibri" w:cstheme="minorHAnsi"/>
                <w:lang w:val="sl-SI"/>
              </w:rPr>
              <w:t>RS je z vladnim načrtom podpore države gostiteljice (Host nation support – HNS) opredelila postopke pri prehodu državnih mej, ki že v veliki meri sovpadajo s PESCO zahtevami po izdaji dovoljenj v petih delovnih dneh.</w:t>
            </w:r>
          </w:p>
          <w:p w14:paraId="5E32FF4E" w14:textId="77777777" w:rsidR="00547AD3" w:rsidRPr="00D27DA9" w:rsidRDefault="00547AD3">
            <w:pPr>
              <w:jc w:val="both"/>
              <w:rPr>
                <w:rFonts w:eastAsia="Calibri" w:cstheme="minorHAnsi"/>
                <w:lang w:val="sl-SI"/>
              </w:rPr>
            </w:pPr>
            <w:r w:rsidRPr="00D27DA9">
              <w:rPr>
                <w:rFonts w:eastAsia="Calibri" w:cstheme="minorHAnsi"/>
                <w:b/>
                <w:lang w:val="sl-SI"/>
              </w:rPr>
              <w:lastRenderedPageBreak/>
              <w:t>12. 6. 3. Usklajevanje med MO in MZZ v zvezi z nacionalno kontaktno točko za obravnavo prošenj za izdajo diplomatskih dovoljenj za čezmejne premike vojaškega ozemlja in opreme za zagotavljanje vojaške mobilnosti</w:t>
            </w:r>
            <w:r w:rsidRPr="00D27DA9">
              <w:rPr>
                <w:rFonts w:eastAsia="Calibri" w:cstheme="minorHAnsi"/>
                <w:lang w:val="sl-SI"/>
              </w:rPr>
              <w:t xml:space="preserve"> </w:t>
            </w:r>
          </w:p>
          <w:p w14:paraId="65793245" w14:textId="70DA23B8" w:rsidR="00547AD3" w:rsidRPr="00D27DA9" w:rsidRDefault="00547AD3">
            <w:pPr>
              <w:jc w:val="both"/>
              <w:rPr>
                <w:rFonts w:eastAsia="Calibri" w:cstheme="minorHAnsi"/>
                <w:lang w:val="sl-SI"/>
              </w:rPr>
            </w:pPr>
            <w:r w:rsidRPr="00D27DA9">
              <w:rPr>
                <w:rFonts w:eastAsia="Calibri" w:cstheme="minorHAnsi"/>
                <w:lang w:val="sl-SI"/>
              </w:rPr>
              <w:t>RS je nacionalno kontaktno točko</w:t>
            </w:r>
            <w:r w:rsidRPr="00D27DA9">
              <w:rPr>
                <w:rFonts w:cstheme="minorHAnsi"/>
                <w:lang w:val="sl-SI"/>
              </w:rPr>
              <w:t xml:space="preserve"> </w:t>
            </w:r>
            <w:r w:rsidRPr="00D27DA9">
              <w:rPr>
                <w:rFonts w:eastAsia="Calibri" w:cstheme="minorHAnsi"/>
                <w:lang w:val="sl-SI"/>
              </w:rPr>
              <w:t xml:space="preserve">za obravnavo prošenj za izdajo diplomatskih dovoljenj za čezmejne premike vojaškega ozemlja in opreme čez RS uskladila in imenovala  skladno z zakonskimi pristojnostmi že za potrebe izvajanja Podpore državi gostiteljici (HNS). Na operativni ravni </w:t>
            </w:r>
            <w:r w:rsidR="009B633B" w:rsidRPr="00D27DA9">
              <w:rPr>
                <w:rFonts w:eastAsia="Calibri" w:cstheme="minorHAnsi"/>
                <w:lang w:val="sl-SI"/>
              </w:rPr>
              <w:t xml:space="preserve">je NPOC za vojaško mobilnost </w:t>
            </w:r>
            <w:r w:rsidRPr="00D27DA9">
              <w:rPr>
                <w:rFonts w:eastAsia="Calibri" w:cstheme="minorHAnsi"/>
                <w:lang w:val="sl-SI"/>
              </w:rPr>
              <w:t xml:space="preserve">Poveljstvo sil Slovenske vojske (PSSV), ki komunicira z vsemi pristojnimi deležniki. Na strateški ravni je za NPOC za vojaško mobilnost imenovan Direktorat za obrambne zadeve. Postopki za pridobitve dovoljenj za kopenske in pomorske premike in transporte so izdelani, za njihovo odobritev je v Republiki Sloveniji odgovoren minister za obrambo. Izdaja diplomatskih dovoljenj za prelete je v pristojnosti  Ministrstva za zunanje zadeve. </w:t>
            </w:r>
          </w:p>
          <w:p w14:paraId="758A6039" w14:textId="77777777" w:rsidR="00547AD3" w:rsidRPr="00D27DA9" w:rsidRDefault="00547AD3">
            <w:pPr>
              <w:jc w:val="both"/>
              <w:rPr>
                <w:rFonts w:eastAsia="Calibri" w:cstheme="minorHAnsi"/>
                <w:b/>
                <w:lang w:val="sl-SI"/>
              </w:rPr>
            </w:pPr>
            <w:r w:rsidRPr="00D27DA9">
              <w:rPr>
                <w:rFonts w:eastAsia="Calibri" w:cstheme="minorHAnsi"/>
                <w:b/>
                <w:lang w:val="sl-SI"/>
              </w:rPr>
              <w:t xml:space="preserve">12. 6. 4. Vaje </w:t>
            </w:r>
          </w:p>
          <w:p w14:paraId="589A5EC5" w14:textId="1983A7A7" w:rsidR="00547AD3" w:rsidRPr="00D27DA9" w:rsidRDefault="00547AD3">
            <w:pPr>
              <w:jc w:val="both"/>
              <w:rPr>
                <w:rFonts w:eastAsia="Calibri" w:cstheme="minorHAnsi"/>
                <w:lang w:val="sl-SI"/>
              </w:rPr>
            </w:pPr>
            <w:r w:rsidRPr="00D27DA9">
              <w:rPr>
                <w:rFonts w:eastAsia="Calibri" w:cstheme="minorHAnsi"/>
                <w:lang w:val="sl-SI"/>
              </w:rPr>
              <w:t>Vaje v RS so bile izvedene skladno z</w:t>
            </w:r>
            <w:r w:rsidRPr="00D27DA9">
              <w:rPr>
                <w:rFonts w:eastAsia="Calibri" w:cstheme="minorHAnsi"/>
                <w:b/>
                <w:lang w:val="sl-SI"/>
              </w:rPr>
              <w:t xml:space="preserve"> </w:t>
            </w:r>
            <w:r w:rsidRPr="00D27DA9">
              <w:rPr>
                <w:rFonts w:eastAsia="Calibri" w:cstheme="minorHAnsi"/>
                <w:lang w:val="sl-SI"/>
              </w:rPr>
              <w:t xml:space="preserve">Načrtom vaj v obrambnem sistemu in sistemu varstva pred naravnimi in drugimi nesrečami v letu 2020, ki ga je sprejela Vlada Republike Slovenije sprejela. Zaradi pandemije COVID-19 je </w:t>
            </w:r>
            <w:r w:rsidRPr="00D27DA9">
              <w:rPr>
                <w:rFonts w:eastAsia="Calibri" w:cstheme="minorHAnsi"/>
                <w:lang w:val="sl-SI"/>
              </w:rPr>
              <w:lastRenderedPageBreak/>
              <w:t>bila v letu 2020 izvedba določenih nacionalnih in mednarodnih vaj odpovedana in preložena.</w:t>
            </w:r>
            <w:r w:rsidRPr="00D27DA9">
              <w:rPr>
                <w:rFonts w:cstheme="minorHAnsi"/>
                <w:lang w:val="sl-SI"/>
              </w:rPr>
              <w:t xml:space="preserve"> </w:t>
            </w:r>
            <w:r w:rsidRPr="00D27DA9">
              <w:rPr>
                <w:rFonts w:eastAsia="Calibri" w:cstheme="minorHAnsi"/>
                <w:lang w:val="sl-SI"/>
              </w:rPr>
              <w:t>SV je v letu 2020 izvajala vojaško mobilnost v sklopu rednih dejavnosti v skladu z obstoječimi normativi v Natu in EU ter skladno s podpisanimi mednarodnimi dogovori. Preigravanje standardov in postopkov premikov transporta je bilo vključeno v vojaške vaje in usposabljanja Slovenske vojske. V okviru predsedovanja Republike Slovenije Pobudi za obrambno sodelovanje držav Srednje Evrope (CEDC) je Ministrstvo za obrambo v sodelovanju s Centrom za evropsko prihodnost, izvedlo  delavnico s področja vojaške mobilnosti na temo izkušenj iz evakuacije vojaškega in civilnega osebja iz mednarodnih operacij in misij po zraku ali kopnem v primeru okužbe s COVID-19 oziroma okužbe z drugo nalezljivo boleznijo. Napori na področju vojaške mobilnosti in podpore države gostiteljice so bili osredotočeni na dosledno izvajanje sprejetih zavez v EU in Natu, na implementiranje sprejetih rešitev ter s tem k aktivnemu prispevanju k izvajanju SVOP ter nacionalne in kolektivne varnosti tudi v okviru vaj.</w:t>
            </w:r>
          </w:p>
          <w:p w14:paraId="35329358" w14:textId="77777777" w:rsidR="00547AD3" w:rsidRPr="00D27DA9" w:rsidRDefault="00547AD3">
            <w:pPr>
              <w:jc w:val="both"/>
              <w:rPr>
                <w:rFonts w:eastAsia="Calibri" w:cstheme="minorHAnsi"/>
                <w:b/>
                <w:lang w:val="sl-SI"/>
              </w:rPr>
            </w:pPr>
            <w:r w:rsidRPr="00D27DA9">
              <w:rPr>
                <w:rFonts w:eastAsia="Calibri" w:cstheme="minorHAnsi"/>
                <w:b/>
                <w:lang w:val="sl-SI"/>
              </w:rPr>
              <w:t xml:space="preserve">12. 6. 5. Sodelovanje predstavnikov Ministrstva za obrambo in Ministrstva za finance in Finančne uprave RS v </w:t>
            </w:r>
            <w:r w:rsidRPr="00D27DA9">
              <w:rPr>
                <w:rFonts w:eastAsia="Calibri" w:cstheme="minorHAnsi"/>
                <w:b/>
                <w:lang w:val="sl-SI"/>
              </w:rPr>
              <w:lastRenderedPageBreak/>
              <w:t>okviru delovne skupine EDA AHWG CBMP in AHWG Customs.</w:t>
            </w:r>
          </w:p>
          <w:p w14:paraId="704B6065" w14:textId="77777777" w:rsidR="00547AD3" w:rsidRPr="00D27DA9" w:rsidRDefault="00547AD3">
            <w:pPr>
              <w:jc w:val="both"/>
              <w:rPr>
                <w:rFonts w:eastAsia="Calibri" w:cstheme="minorHAnsi"/>
                <w:lang w:val="sl-SI"/>
              </w:rPr>
            </w:pPr>
            <w:r w:rsidRPr="00D27DA9">
              <w:rPr>
                <w:rFonts w:eastAsia="Calibri" w:cstheme="minorHAnsi"/>
                <w:lang w:val="sl-SI"/>
              </w:rPr>
              <w:t>Predstavniki Ministrstva za obrambo so v letu 2020 aktivno sodelovali v vseh delovnih telesih in delovnih skupinah EDA vezanih na vojaško mobilnost (MC, CBMP, AHWG CBMP Surface,  AHWG CBMP Air in  AHWG Customs). Predstavniki Ministrstva za finance in Finančne uprave RS neposredno niso sodelovali v aktivnostih delovne skupine AHWG Customs, vendar je bila z njimi za potrebe delavne skupine AHWG Customs izvedena potrebna izmenjava informacij, izvedena pa so bila tudi potrebna usklajevanja na nacionalni ravni v zvezi s PA Customs.</w:t>
            </w:r>
          </w:p>
          <w:p w14:paraId="16BE0332" w14:textId="77777777" w:rsidR="00547AD3" w:rsidRPr="00D27DA9" w:rsidRDefault="00547AD3">
            <w:pPr>
              <w:jc w:val="both"/>
              <w:rPr>
                <w:rFonts w:eastAsia="Calibri" w:cstheme="minorHAnsi"/>
                <w:lang w:val="sl-SI"/>
              </w:rPr>
            </w:pPr>
            <w:r w:rsidRPr="00D27DA9">
              <w:rPr>
                <w:rFonts w:eastAsia="Calibri" w:cstheme="minorHAnsi"/>
                <w:lang w:val="sl-SI"/>
              </w:rPr>
              <w:t>Predstavnik Ministrstva za obrambo sodeluje v EDA ad hoc delovni skupini za optimizacijo izdaje dovoljenj za čezmejne prehode (AHWG Cross Border Movement Permission - CBMP) in ad hoc delovni skupini za carine  (AHWG Customs).</w:t>
            </w:r>
          </w:p>
          <w:p w14:paraId="128D5C6D" w14:textId="77777777" w:rsidR="00547AD3" w:rsidRPr="00D27DA9" w:rsidRDefault="00547AD3">
            <w:pPr>
              <w:jc w:val="both"/>
              <w:rPr>
                <w:rFonts w:eastAsia="Calibri" w:cstheme="minorHAnsi"/>
                <w:lang w:val="sl-SI"/>
              </w:rPr>
            </w:pPr>
            <w:r w:rsidRPr="00D27DA9">
              <w:rPr>
                <w:rFonts w:eastAsia="Calibri" w:cstheme="minorHAnsi"/>
                <w:b/>
                <w:lang w:val="sl-SI"/>
              </w:rPr>
              <w:t xml:space="preserve">12. 6. 6. Sodelovanje RS v drugih iniciativah izven PESCO ter uporaba orodij za izboljšanje vojaške mobilnosti v EU </w:t>
            </w:r>
          </w:p>
          <w:p w14:paraId="541F6B1B" w14:textId="77777777" w:rsidR="00547AD3" w:rsidRPr="00D27DA9" w:rsidRDefault="00547AD3">
            <w:pPr>
              <w:jc w:val="both"/>
              <w:rPr>
                <w:rFonts w:eastAsia="Calibri" w:cstheme="minorHAnsi"/>
                <w:lang w:val="sl-SI"/>
              </w:rPr>
            </w:pPr>
            <w:r w:rsidRPr="00D27DA9">
              <w:rPr>
                <w:rFonts w:eastAsia="Calibri" w:cstheme="minorHAnsi"/>
                <w:lang w:val="sl-SI"/>
              </w:rPr>
              <w:t xml:space="preserve">S ciljem izboljšanja ekonomičnosti in učinkovitosti premikov in transporta, SV sodeluje v pobudah MCCE, kjer se preko mehanizma ATARES zagotavlja SV ustrezen strateški prevoz, kot tudi preko mehanizma SAC in SALIS, kjer se </w:t>
            </w:r>
            <w:r w:rsidRPr="00D27DA9">
              <w:rPr>
                <w:rFonts w:eastAsia="Calibri" w:cstheme="minorHAnsi"/>
                <w:lang w:val="sl-SI"/>
              </w:rPr>
              <w:lastRenderedPageBreak/>
              <w:t>neposredno zagotavlja SV dostop do strateški transportnih kapacitet. SV je podala pobudo za pristop k sporazumu SEOS v okviru MCCE, kjer se zagotavlja strateški kopenski transport. V okviru NATO imamo podpisane sporazume za izvajanje HNS za hitre sile NATO, s ciljem hitrega in nemotenega premika preko ozemlja RS, kot tudi zagotavljanja ustrezne podpore v toku samega premika preko ozemlja RS.</w:t>
            </w:r>
          </w:p>
        </w:tc>
        <w:tc>
          <w:tcPr>
            <w:tcW w:w="4110" w:type="dxa"/>
            <w:tcBorders>
              <w:top w:val="dashSmallGap" w:sz="4" w:space="0" w:color="auto"/>
              <w:left w:val="single" w:sz="12" w:space="0" w:color="auto"/>
              <w:bottom w:val="single" w:sz="12" w:space="0" w:color="auto"/>
              <w:right w:val="single" w:sz="12" w:space="0" w:color="auto"/>
            </w:tcBorders>
          </w:tcPr>
          <w:p w14:paraId="545CDCC6" w14:textId="77777777" w:rsidR="00547AD3" w:rsidRPr="00D27DA9" w:rsidRDefault="00547AD3">
            <w:pPr>
              <w:jc w:val="both"/>
              <w:rPr>
                <w:rFonts w:eastAsia="Calibri" w:cstheme="minorHAnsi"/>
                <w:b/>
                <w:lang w:val="sl-SI"/>
              </w:rPr>
            </w:pPr>
            <w:r w:rsidRPr="00D27DA9">
              <w:rPr>
                <w:rFonts w:eastAsia="Calibri" w:cstheme="minorHAnsi"/>
                <w:b/>
                <w:lang w:val="sl-SI"/>
              </w:rPr>
              <w:lastRenderedPageBreak/>
              <w:t>12. 6. 1. Medresorska skupina za vojaško mobilnost</w:t>
            </w:r>
          </w:p>
          <w:p w14:paraId="098E7C56" w14:textId="77777777" w:rsidR="00547AD3" w:rsidRPr="00D27DA9" w:rsidRDefault="00547AD3">
            <w:pPr>
              <w:pStyle w:val="Odstavekseznama"/>
              <w:spacing w:after="0" w:line="240" w:lineRule="auto"/>
              <w:ind w:left="52"/>
              <w:jc w:val="both"/>
              <w:rPr>
                <w:rFonts w:eastAsia="Calibri" w:cstheme="minorHAnsi"/>
                <w:lang w:val="sl-SI"/>
              </w:rPr>
            </w:pPr>
            <w:r w:rsidRPr="00D27DA9">
              <w:rPr>
                <w:rFonts w:cstheme="minorHAnsi"/>
                <w:lang w:val="sl-SI"/>
              </w:rPr>
              <w:t>Delo medresorske skupine  v letu 2021 se bo nadaljevalo skladno z izvajanjem in implementacijo nalog in aktivnosti opredeljenih v Akcijskem načrtu EU za vojaško mobilnost (</w:t>
            </w:r>
            <w:r w:rsidRPr="00D27DA9">
              <w:rPr>
                <w:rFonts w:eastAsia="Calibri" w:cstheme="minorHAnsi"/>
                <w:lang w:val="sl-SI"/>
              </w:rPr>
              <w:t>JOIN(2018) final 5, 28.3.2018) ter skladno z implementacijo zavez iz Izvedbenega načrtu izpolnitve kriterijev in zavez Republike Slovenije za vključitev v Stalno strukturno sodelovanje na področju varnosti in obrambe EU (PESCO) za področje vojaške mobilnosti na nacionalni ravni. Medresorska skupina bo pri implementaciji nalog na področju vojaške mobilnosti na nacionalni ravni izhajala iz načela enotnega nabora zmogljivosti in komplementarnosti z Natom. Medresorska delovna skupina bo nadaljevala z izdelavo nacionalnega Načrta za vojaško mobilnost RS.</w:t>
            </w:r>
          </w:p>
          <w:p w14:paraId="3A44B201" w14:textId="77777777" w:rsidR="00547AD3" w:rsidRPr="00D27DA9" w:rsidRDefault="00547AD3">
            <w:pPr>
              <w:pStyle w:val="Odstavekseznama"/>
              <w:spacing w:after="0" w:line="240" w:lineRule="auto"/>
              <w:ind w:left="52"/>
              <w:jc w:val="both"/>
              <w:rPr>
                <w:rFonts w:eastAsia="Calibri" w:cstheme="minorHAnsi"/>
                <w:b/>
                <w:lang w:val="sl-SI"/>
              </w:rPr>
            </w:pPr>
            <w:r w:rsidRPr="00D27DA9">
              <w:rPr>
                <w:rFonts w:eastAsia="Calibri" w:cstheme="minorHAnsi"/>
                <w:b/>
                <w:lang w:val="sl-SI"/>
              </w:rPr>
              <w:t>12. 6. 2.  Napredek pri izvajanju Akcijskega načrta EU za vojaško mobilnost (JOIN(2018) final 5, 28.3.2018)</w:t>
            </w:r>
          </w:p>
          <w:p w14:paraId="786DA421" w14:textId="77777777" w:rsidR="00547AD3" w:rsidRPr="00D27DA9" w:rsidRDefault="00547AD3">
            <w:pPr>
              <w:jc w:val="both"/>
              <w:rPr>
                <w:rFonts w:eastAsia="Calibri" w:cstheme="minorHAnsi"/>
                <w:lang w:val="sl-SI"/>
              </w:rPr>
            </w:pPr>
            <w:r w:rsidRPr="00D27DA9">
              <w:rPr>
                <w:rFonts w:cstheme="minorHAnsi"/>
                <w:lang w:val="sl-SI"/>
              </w:rPr>
              <w:t xml:space="preserve">V letu 2021 RS načrtuje pripravo Načrta vojaške mobilnosti RS, ki bo vključeval infrastrukturni in normativni del. Ne glede na to, da Načrt vojaške mobilnosti še ni pripravljen, na nacionalni ravni ne prihaja do zamud pri izvedbi aktivnosti niti na infrastrukturnem niti na normativnem področju vezanim na izboljšanje vojaške mobilnosti. RS bo v letu 2021 </w:t>
            </w:r>
            <w:r w:rsidRPr="00D27DA9">
              <w:rPr>
                <w:rFonts w:eastAsia="Calibri" w:cstheme="minorHAnsi"/>
                <w:lang w:val="sl-SI"/>
              </w:rPr>
              <w:t xml:space="preserve">s potrjenim seznamom »zrelih projektov« prometne </w:t>
            </w:r>
            <w:r w:rsidRPr="00D27DA9">
              <w:rPr>
                <w:rFonts w:eastAsia="Calibri" w:cstheme="minorHAnsi"/>
                <w:lang w:val="sl-SI"/>
              </w:rPr>
              <w:lastRenderedPageBreak/>
              <w:t xml:space="preserve">infrastrukture (avtocesta, železnica, pomorstvo), kandidirala za sredstva namenjena sofinanciranju civilno-vojaških projektov za dvojno rabo v okviru instrumenta za povezovanje Evrope za obdobje 2021–2027, ki so namenjena vojaški mobilnosti. </w:t>
            </w:r>
            <w:r w:rsidRPr="00D27DA9">
              <w:rPr>
                <w:rFonts w:cstheme="minorHAnsi"/>
                <w:lang w:val="sl-SI"/>
              </w:rPr>
              <w:t>V letu 2021 se bo nadaljevalo z aktivnim sodelovanjem pri pripravi in usklajevanju obeh tehničnih sporazumov za optimizacijo čezmejnih premikov vojaškega osebja in opreme po kopnem (TA CBMP SURFACE, Cat. A) in zraku (TA CBMP AIR, Cat. A). RS v letu 2021 načrtuje podpis obeh sporazumov. V okviru delovne skupine »Ad Hoc Working Group on Harmonizing Military Requirement relating to Customs«, načrtuje sodelovanje v aktivnostih vezanih na razvoj posebne informacijske aplikacije, ki bo omogočila digitalizacijo carinskega obrazca EU Form 302.</w:t>
            </w:r>
            <w:r w:rsidRPr="00D27DA9">
              <w:rPr>
                <w:rFonts w:eastAsia="Calibri" w:cstheme="minorHAnsi"/>
                <w:lang w:val="sl-SI"/>
              </w:rPr>
              <w:t xml:space="preserve"> V ta namen se pripravlja nov tehnični sporazum, kjer bodo natančnejše opredeljene aktivnosti in finančne obveznosti do razvoja ustrezne aplikacije za digitalizacijo EU Form 302.</w:t>
            </w:r>
          </w:p>
          <w:p w14:paraId="213E890A" w14:textId="77777777" w:rsidR="00547AD3" w:rsidRPr="00D27DA9" w:rsidRDefault="00547AD3">
            <w:pPr>
              <w:jc w:val="both"/>
              <w:rPr>
                <w:rFonts w:cstheme="minorHAnsi"/>
                <w:lang w:val="sl-SI"/>
              </w:rPr>
            </w:pPr>
            <w:r w:rsidRPr="00D27DA9">
              <w:rPr>
                <w:rFonts w:cstheme="minorHAnsi"/>
                <w:lang w:val="sl-SI"/>
              </w:rPr>
              <w:t xml:space="preserve">Ob identificiranju morebitnih novih zakonodajnih zahtev EU za potrebe vojaške mobilnosti se bo zagotovilo sodelovanje pri usklajevanju skupnih rešitev in posledična implementacija na nacionalni ravni v okviru prilagoditve nacionalne zakonodaje. </w:t>
            </w:r>
          </w:p>
          <w:p w14:paraId="771C12A1" w14:textId="77777777" w:rsidR="00547AD3" w:rsidRPr="00D27DA9" w:rsidRDefault="00547AD3">
            <w:pPr>
              <w:jc w:val="both"/>
              <w:rPr>
                <w:rFonts w:cstheme="minorHAnsi"/>
                <w:lang w:val="sl-SI"/>
              </w:rPr>
            </w:pPr>
            <w:r w:rsidRPr="00D27DA9">
              <w:rPr>
                <w:rFonts w:eastAsia="Calibri" w:cstheme="minorHAnsi"/>
                <w:b/>
                <w:lang w:val="sl-SI"/>
              </w:rPr>
              <w:t xml:space="preserve">12. 6. 3. Usklajevanje med MO in MZZ v zvezi z nacionalno kontaktno točko za obravnavo prošenj za izdajo diplomatskih </w:t>
            </w:r>
            <w:r w:rsidRPr="00D27DA9">
              <w:rPr>
                <w:rFonts w:eastAsia="Calibri" w:cstheme="minorHAnsi"/>
                <w:b/>
                <w:lang w:val="sl-SI"/>
              </w:rPr>
              <w:lastRenderedPageBreak/>
              <w:t>dovoljenj za čezmejne premike vojaškega ozemlja in opreme za zagotavljanje vojaške mobilnosti</w:t>
            </w:r>
            <w:r w:rsidRPr="00D27DA9">
              <w:rPr>
                <w:rFonts w:eastAsia="Calibri" w:cstheme="minorHAnsi"/>
                <w:lang w:val="sl-SI"/>
              </w:rPr>
              <w:t xml:space="preserve"> </w:t>
            </w:r>
          </w:p>
          <w:p w14:paraId="0B03AE11" w14:textId="77777777" w:rsidR="00547AD3" w:rsidRPr="00D27DA9" w:rsidRDefault="00547AD3">
            <w:pPr>
              <w:jc w:val="both"/>
              <w:rPr>
                <w:rFonts w:eastAsia="Calibri" w:cstheme="minorHAnsi"/>
                <w:lang w:val="sl-SI"/>
              </w:rPr>
            </w:pPr>
            <w:r w:rsidRPr="00D27DA9">
              <w:rPr>
                <w:rFonts w:eastAsia="Calibri" w:cstheme="minorHAnsi"/>
                <w:lang w:val="sl-SI"/>
              </w:rPr>
              <w:t>Po potrebi se izvede dodatna usklajevanja. Spremembe glede NPOC niso predvidene.</w:t>
            </w:r>
          </w:p>
          <w:p w14:paraId="27397428" w14:textId="77777777" w:rsidR="00547AD3" w:rsidRPr="00D27DA9" w:rsidRDefault="00547AD3">
            <w:pPr>
              <w:jc w:val="both"/>
              <w:rPr>
                <w:rFonts w:cstheme="minorHAnsi"/>
                <w:lang w:val="sl-SI"/>
              </w:rPr>
            </w:pPr>
            <w:r w:rsidRPr="00D27DA9">
              <w:rPr>
                <w:rFonts w:eastAsia="Calibri" w:cstheme="minorHAnsi"/>
                <w:b/>
                <w:lang w:val="sl-SI"/>
              </w:rPr>
              <w:t>12. 6. 4. Vaje</w:t>
            </w:r>
          </w:p>
          <w:p w14:paraId="6229DBED" w14:textId="77777777" w:rsidR="00547AD3" w:rsidRPr="00D27DA9" w:rsidRDefault="00547AD3">
            <w:pPr>
              <w:jc w:val="both"/>
              <w:rPr>
                <w:rFonts w:cstheme="minorHAnsi"/>
                <w:lang w:val="sl-SI"/>
              </w:rPr>
            </w:pPr>
            <w:r w:rsidRPr="00D27DA9">
              <w:rPr>
                <w:rFonts w:cstheme="minorHAnsi"/>
                <w:lang w:val="sl-SI"/>
              </w:rPr>
              <w:t>Vaje v RS v letu 2021 bodo izvedene skladno z Načrtom vaj v obrambnem sistemu in sistemu varstva pred naravnimi in drugimi nesrečami v letu 2021, ki ga je sprejela Vlada Republike Slovenije.</w:t>
            </w:r>
          </w:p>
          <w:p w14:paraId="7AE6F22E" w14:textId="77777777" w:rsidR="00547AD3" w:rsidRPr="00D27DA9" w:rsidRDefault="00547AD3">
            <w:pPr>
              <w:jc w:val="both"/>
              <w:rPr>
                <w:rFonts w:cstheme="minorHAnsi"/>
                <w:lang w:val="sl-SI"/>
              </w:rPr>
            </w:pPr>
            <w:r w:rsidRPr="00D27DA9">
              <w:rPr>
                <w:rFonts w:cstheme="minorHAnsi"/>
                <w:lang w:val="sl-SI"/>
              </w:rPr>
              <w:t>SV v letu 2021 načrtuje izvajanje vojaške mobilnost v sklopu rednih dejavnosti v skladu z obstoječimi normativi v Natu in EU ter skladno s podpisanimi mednarodnimi dogovori. Preigravanje standardov in postopkov premikov transporta bo vključeno v vojaške vaje in usposabljanja Slovenske vojske. V okviru PSEU SV načrtuje izvedbo večje mednarodne vojaške vaje  na področju vojaške mobilnosti Disaster Relief and Military Mobility Exercise 2021 (DRM2EX21). V januarju 2021 pa bo v vlogi tranzitne države sodelovala na vaji EU Integrated Resolve 2020 (EU IR20) v delu, ki se nanaša na vojaško mobilnost.</w:t>
            </w:r>
          </w:p>
          <w:p w14:paraId="08E5BBCF" w14:textId="77777777" w:rsidR="00547AD3" w:rsidRPr="00D27DA9" w:rsidRDefault="00547AD3">
            <w:pPr>
              <w:jc w:val="both"/>
              <w:rPr>
                <w:rFonts w:eastAsia="Calibri" w:cstheme="minorHAnsi"/>
                <w:lang w:val="sl-SI"/>
              </w:rPr>
            </w:pPr>
            <w:r w:rsidRPr="00D27DA9">
              <w:rPr>
                <w:rFonts w:cstheme="minorHAnsi"/>
                <w:lang w:val="sl-SI"/>
              </w:rPr>
              <w:t>Prizadevanja</w:t>
            </w:r>
            <w:r w:rsidRPr="00D27DA9">
              <w:rPr>
                <w:rFonts w:eastAsia="Calibri" w:cstheme="minorHAnsi"/>
                <w:lang w:val="sl-SI"/>
              </w:rPr>
              <w:t xml:space="preserve"> na področju vojaške mobilnosti in podpore države gostiteljice bodo osredotočeni na dosledno izvajanje sprejetih zavez v EU in Natu, na implementiranje sprejetih rešitev ter s tem aktivnemu prispevanju k izvajanju SVOP, ter nacionalne  in kolektivne varnosti tudi v okviru vaj.</w:t>
            </w:r>
          </w:p>
          <w:p w14:paraId="7062B9A8" w14:textId="77777777" w:rsidR="00547AD3" w:rsidRPr="00D27DA9" w:rsidRDefault="00547AD3">
            <w:pPr>
              <w:jc w:val="both"/>
              <w:rPr>
                <w:rFonts w:eastAsia="Calibri" w:cstheme="minorHAnsi"/>
                <w:b/>
                <w:lang w:val="sl-SI"/>
              </w:rPr>
            </w:pPr>
            <w:r w:rsidRPr="00D27DA9">
              <w:rPr>
                <w:rFonts w:eastAsia="Calibri" w:cstheme="minorHAnsi"/>
                <w:b/>
                <w:lang w:val="sl-SI"/>
              </w:rPr>
              <w:lastRenderedPageBreak/>
              <w:t>12. 6. 5. Sodelovanje predstavnikov Ministrstva za obrambo in Ministrstva za finance in Finančne uprave RS v okviru delovne skupine EDA AHWG CBMP in AHWG Customs.</w:t>
            </w:r>
          </w:p>
          <w:p w14:paraId="16794A7C" w14:textId="77777777" w:rsidR="00547AD3" w:rsidRPr="00D27DA9" w:rsidRDefault="00547AD3">
            <w:pPr>
              <w:jc w:val="both"/>
              <w:rPr>
                <w:rFonts w:eastAsia="Calibri" w:cstheme="minorHAnsi"/>
                <w:lang w:val="sl-SI"/>
              </w:rPr>
            </w:pPr>
            <w:r w:rsidRPr="00D27DA9">
              <w:rPr>
                <w:rFonts w:eastAsia="Calibri" w:cstheme="minorHAnsi"/>
                <w:lang w:val="sl-SI"/>
              </w:rPr>
              <w:t xml:space="preserve">V letu 2021 se bo na enak način kot v letu 2020 nadaljevalo z aktivnim sodelovanjem v vseh delovnih telesih in delovnih skupinah EDA vezanih na vojaško mobilnost (MC, CBMP, AHWG CBMP Surface,  AHWG CBMP Air in  AHWG Customs). </w:t>
            </w:r>
          </w:p>
          <w:p w14:paraId="462B329D" w14:textId="77777777" w:rsidR="00547AD3" w:rsidRPr="00D27DA9" w:rsidRDefault="00547AD3">
            <w:pPr>
              <w:jc w:val="both"/>
              <w:rPr>
                <w:rFonts w:cstheme="minorHAnsi"/>
                <w:lang w:val="sl-SI"/>
              </w:rPr>
            </w:pPr>
          </w:p>
          <w:p w14:paraId="02419A63" w14:textId="77777777" w:rsidR="00547AD3" w:rsidRPr="00D27DA9" w:rsidRDefault="00547AD3">
            <w:pPr>
              <w:jc w:val="both"/>
              <w:rPr>
                <w:rFonts w:cstheme="minorHAnsi"/>
                <w:lang w:val="sl-SI"/>
              </w:rPr>
            </w:pPr>
          </w:p>
        </w:tc>
        <w:tc>
          <w:tcPr>
            <w:tcW w:w="4253" w:type="dxa"/>
            <w:tcBorders>
              <w:top w:val="dashSmallGap" w:sz="4" w:space="0" w:color="auto"/>
              <w:left w:val="single" w:sz="12" w:space="0" w:color="auto"/>
              <w:bottom w:val="single" w:sz="12" w:space="0" w:color="auto"/>
              <w:right w:val="single" w:sz="12" w:space="0" w:color="auto"/>
            </w:tcBorders>
          </w:tcPr>
          <w:p w14:paraId="29CC8A47" w14:textId="77777777" w:rsidR="00547AD3" w:rsidRPr="00D27DA9" w:rsidRDefault="00547AD3">
            <w:pPr>
              <w:jc w:val="both"/>
              <w:rPr>
                <w:rFonts w:eastAsia="Calibri" w:cstheme="minorHAnsi"/>
                <w:b/>
                <w:lang w:val="sl-SI"/>
              </w:rPr>
            </w:pPr>
            <w:r w:rsidRPr="00D27DA9">
              <w:rPr>
                <w:rFonts w:eastAsia="Calibri" w:cstheme="minorHAnsi"/>
                <w:b/>
                <w:lang w:val="sl-SI"/>
              </w:rPr>
              <w:lastRenderedPageBreak/>
              <w:t>12. 6. 1. Medresorska skupina za vojaško mobilnost</w:t>
            </w:r>
          </w:p>
          <w:p w14:paraId="26E1961F" w14:textId="77777777" w:rsidR="00547AD3" w:rsidRPr="00D27DA9" w:rsidRDefault="00547AD3">
            <w:pPr>
              <w:jc w:val="both"/>
              <w:rPr>
                <w:rFonts w:eastAsia="Calibri" w:cstheme="minorHAnsi"/>
                <w:lang w:val="sl-SI"/>
              </w:rPr>
            </w:pPr>
            <w:r w:rsidRPr="00D27DA9">
              <w:rPr>
                <w:rFonts w:cstheme="minorHAnsi"/>
                <w:lang w:val="sl-SI"/>
              </w:rPr>
              <w:t>V obdobju od  2022 do 2025  se načrtuje nadaljevanje dela medresorske skupine   za vojaško mobilnost skladno z izvajanjem in implementacijo nalog in aktivnosti opredeljenih v Akcijskem načrtu EU za vojaško mobilnost (</w:t>
            </w:r>
            <w:r w:rsidRPr="00D27DA9">
              <w:rPr>
                <w:rFonts w:eastAsia="Calibri" w:cstheme="minorHAnsi"/>
                <w:lang w:val="sl-SI"/>
              </w:rPr>
              <w:t>JOIN(2018) final 5, 28.3.2018), ter skladno z implementacijo zavez iz Izvedbenega načrtu izpolnitve kriterijev in zavez Republike Slovenije za vključitev v Stalno strukturno sodelovanje na področju varnosti in obrambe EU (PESCO) za področje vojaške mobilnosti. Medresorska skupina bo pri implementaciji nalog na področju vojaške mobilnosti na nacionalni ravni izhajala iz načela enotnega nabora zmogljivosti in komplementarnosti z Natom. Z izvajanjem aktivnosti vezanih na izboljšanje vojaške mobilnosti se bodo nadaljevalo tudi po letu 2025 še zlasti na področju posodabljanja  prometne infrastrukturne. Po potrebi se bo nadaljevalo tudi z aktivnostmi za poenotenje in optimiziranje potrebne nacionalne zakonodaje za optimizacijo čezmejnih premikov.</w:t>
            </w:r>
          </w:p>
          <w:p w14:paraId="3748E2F4" w14:textId="77777777" w:rsidR="00547AD3" w:rsidRPr="00D27DA9" w:rsidRDefault="00547AD3">
            <w:pPr>
              <w:jc w:val="both"/>
              <w:rPr>
                <w:rFonts w:eastAsia="Calibri" w:cstheme="minorHAnsi"/>
                <w:b/>
                <w:lang w:val="sl-SI"/>
              </w:rPr>
            </w:pPr>
            <w:r w:rsidRPr="00D27DA9">
              <w:rPr>
                <w:rFonts w:eastAsia="Calibri" w:cstheme="minorHAnsi"/>
                <w:b/>
                <w:lang w:val="sl-SI"/>
              </w:rPr>
              <w:t>12. 6. 2.  Napredek pri izvajanju Akcijskega načrta EU za vojaško mobilnost (JOIN(2018) final 5, 28.3.2018)</w:t>
            </w:r>
          </w:p>
          <w:p w14:paraId="02376D42" w14:textId="77777777" w:rsidR="00547AD3" w:rsidRPr="00D27DA9" w:rsidRDefault="00547AD3">
            <w:pPr>
              <w:jc w:val="both"/>
              <w:rPr>
                <w:rFonts w:cstheme="minorHAnsi"/>
                <w:lang w:val="sl-SI"/>
              </w:rPr>
            </w:pPr>
            <w:r w:rsidRPr="00D27DA9">
              <w:rPr>
                <w:rFonts w:cstheme="minorHAnsi"/>
                <w:lang w:val="sl-SI"/>
              </w:rPr>
              <w:t xml:space="preserve">Republika Slovenija v srednjeročnem obdobju za potrebe izboljšanja vojaške mobilnosti  načrtuje gradnjo oziroma prilagoditve prometne infrastrukture skladno z zahtevami TENT-T oz. skladno z vojaškimi zahtevami, ki </w:t>
            </w:r>
            <w:r w:rsidRPr="00D27DA9">
              <w:rPr>
                <w:rFonts w:cstheme="minorHAnsi"/>
                <w:lang w:val="sl-SI"/>
              </w:rPr>
              <w:lastRenderedPageBreak/>
              <w:t xml:space="preserve">se ne razlikujejo od TEN-T zahtev, kar pomeni, da se iztrošena prometna infrastruktura, ki več ne dosega TEN-T standardov, prilagodi zahtevam. </w:t>
            </w:r>
          </w:p>
          <w:p w14:paraId="23671C73" w14:textId="77777777" w:rsidR="00547AD3" w:rsidRPr="00D27DA9" w:rsidRDefault="00547AD3">
            <w:pPr>
              <w:jc w:val="both"/>
              <w:rPr>
                <w:rFonts w:cstheme="minorHAnsi"/>
                <w:lang w:val="sl-SI"/>
              </w:rPr>
            </w:pPr>
            <w:r w:rsidRPr="00D27DA9">
              <w:rPr>
                <w:rFonts w:cstheme="minorHAnsi"/>
                <w:lang w:val="sl-SI"/>
              </w:rPr>
              <w:t xml:space="preserve">Ministrstvo za infrastrukturo v srednjeročni perspektivi za potrebe izboljšanja vojaške mobilnosti s ciljem postopne odprave preostalih vrzeli, ki vplivajo na vojaško mobilnost na ozemlju RS, na podlagi opredeljenih minimalnih vojaških infrastrukturnih zahtev (Joint Staff Working Document on the updated Gap Analysis between the Military Requirements and the Trans-European Transport Network Requirements, dokument številka 9805/20 z dne 17. 7. 2020), pristopi k nadaljnjemu vrednotenju stanja obstoječih prometnih infrastrukturnih objektov na TEN-T koridorjih v RS. Po ovrednotenju odstopanj (vojaške zahteve vs. obstoječi infrastrukturni objekti) obstoječih objektov prometne infrastrukturne, izdela noveliran prioritetni seznam potrebnih nadgradenj/prilagoditev prometne infrastrukture, ki jih vključi v nacionalni načrt posodobitve prometne infrastrukture. Pri tem upošteva ublažitvene ukrepe, s katerimi se dosežejo minimalne vojaške tehnične zahteve za vojaško mobilnost. Vrzeli se dodatno ovrednotijo tudi v povezavi z zagotavljanjem vojaške mobilnosti v smeri severa do Baltika in na vzhod do Ukrajine. Obe povezavi sta del Baltskega in Mediteranskega TEN-T koridorja. </w:t>
            </w:r>
          </w:p>
          <w:p w14:paraId="45BB2658" w14:textId="77777777" w:rsidR="00547AD3" w:rsidRPr="00D27DA9" w:rsidRDefault="00547AD3">
            <w:pPr>
              <w:jc w:val="both"/>
              <w:rPr>
                <w:rFonts w:cstheme="minorHAnsi"/>
                <w:lang w:val="sl-SI"/>
              </w:rPr>
            </w:pPr>
            <w:r w:rsidRPr="00D27DA9">
              <w:rPr>
                <w:rFonts w:cstheme="minorHAnsi"/>
                <w:lang w:val="sl-SI"/>
              </w:rPr>
              <w:lastRenderedPageBreak/>
              <w:t>V dolgoročnem obdobju se opravi ponoven premislek glede implementacije predimenzioniranih vojaških zahtev pri izgradnji/dograditvi prometne infrastrukture za potrebe izboljšanja vojaške mobilnosti. Ob navedenem premisleku se upoštevajo tudi stališča drugih držav pri njihovi prilagoditvi prometne infrastrukture glede predimenzioniranih vojaških zahtev skozi katere potekajo isti TEN-T koridorji. V tem kontekstu se RS prednostno poveže s sosednjim državami, nato pa še s preostalimi državami na koridorjih, ki potekata čez RS in pridobi informacije o njihovem pogledu na prilagoditve prometne infrastrukture glede na vojaške zahteve.</w:t>
            </w:r>
          </w:p>
          <w:p w14:paraId="37BAE226" w14:textId="77777777" w:rsidR="00547AD3" w:rsidRPr="00D27DA9" w:rsidRDefault="00547AD3">
            <w:pPr>
              <w:jc w:val="both"/>
              <w:rPr>
                <w:rFonts w:cstheme="minorHAnsi"/>
                <w:lang w:val="sl-SI"/>
              </w:rPr>
            </w:pPr>
            <w:r w:rsidRPr="00D27DA9">
              <w:rPr>
                <w:rFonts w:cstheme="minorHAnsi"/>
                <w:lang w:val="sl-SI"/>
              </w:rPr>
              <w:t xml:space="preserve">Implementacija obeh tehničnih sporazumov za optimizacijo čezmejnih premikov vojaškega osebja in opreme po kopnem (TA CBMP SURFACE, Cat. A) in zraku (TA CBMP AIR, Cat. A) ter nadaljevanje aktivnosti v zvezi z digitalizacijo  carinskega sistema vezanega na uporabo EU carinskega obrazca Form 302 za potrebe vojaške mobilnosti. </w:t>
            </w:r>
          </w:p>
          <w:p w14:paraId="1782A007" w14:textId="77777777" w:rsidR="00547AD3" w:rsidRPr="00D27DA9" w:rsidRDefault="00547AD3">
            <w:pPr>
              <w:jc w:val="both"/>
              <w:rPr>
                <w:rFonts w:cstheme="minorHAnsi"/>
                <w:lang w:val="sl-SI"/>
              </w:rPr>
            </w:pPr>
            <w:r w:rsidRPr="00D27DA9">
              <w:rPr>
                <w:rFonts w:cstheme="minorHAnsi"/>
                <w:lang w:val="sl-SI"/>
              </w:rPr>
              <w:t>Ob identificiranju morebitnih novih zakonodajnih zahtev EU za potrebe vojaške mobilnosti se bo zagotovilo sodelovanje pri usklajevanju skupnih rešitev in posledična implementacija na nacionalni ravni v okviru prilagoditve nacionalne zakonodaje.</w:t>
            </w:r>
          </w:p>
          <w:p w14:paraId="0941E651" w14:textId="77777777" w:rsidR="00547AD3" w:rsidRPr="00D27DA9" w:rsidRDefault="00547AD3">
            <w:pPr>
              <w:jc w:val="both"/>
              <w:rPr>
                <w:rFonts w:cstheme="minorHAnsi"/>
                <w:lang w:val="sl-SI"/>
              </w:rPr>
            </w:pPr>
            <w:r w:rsidRPr="00D27DA9">
              <w:rPr>
                <w:rFonts w:cstheme="minorHAnsi"/>
                <w:lang w:val="sl-SI"/>
              </w:rPr>
              <w:t xml:space="preserve">Sprejete rešitve na področju vojaške mobilnosti v zvezi optimizacijo čezmejnih premikov vojaškega osebja in opreme v Evropi za potrebe zagotavljanja nacionalne in </w:t>
            </w:r>
            <w:r w:rsidRPr="00D27DA9">
              <w:rPr>
                <w:rFonts w:cstheme="minorHAnsi"/>
                <w:lang w:val="sl-SI"/>
              </w:rPr>
              <w:lastRenderedPageBreak/>
              <w:t>kolektivne varnosti bodo nadgradile in optimizirale rešitve v Načrtu zagotavljanja države podpore gostiteljice v Republiki Sloveniji ter bodo pripomogle tudi k optimiziranju premikov zavezniških sil čez ozemlje Republike Slovenije, njene teritorialne vode in zračni prostor. Napori MO na področju vojaške mobilnosti in podpore države gostiteljice so osredotočeni na dosledno izvajanje sprejetih zavez v EU in Natu, implementiranje sprejetih rešitev ter s tem aktivnemu prispevanju k zagotavljanju nacionalne in kolektivne varnosti.</w:t>
            </w:r>
          </w:p>
          <w:p w14:paraId="402D66A0" w14:textId="77777777" w:rsidR="00547AD3" w:rsidRPr="00D27DA9" w:rsidRDefault="00547AD3">
            <w:pPr>
              <w:jc w:val="both"/>
              <w:rPr>
                <w:rFonts w:eastAsia="Calibri" w:cstheme="minorHAnsi"/>
                <w:b/>
                <w:lang w:val="sl-SI"/>
              </w:rPr>
            </w:pPr>
            <w:r w:rsidRPr="00D27DA9">
              <w:rPr>
                <w:rFonts w:eastAsia="Calibri" w:cstheme="minorHAnsi"/>
                <w:b/>
                <w:lang w:val="sl-SI"/>
              </w:rPr>
              <w:t>12. 6. 3. Usklajevanje med MO in MZZ v zvezi z nacionalno kontaktno točko za obravnavo prošenj za izdajo diplomatskih dovoljenj za čezmejne premike vojaškega ozemlja in opreme za zagotavljanje vojaške mobilnosti</w:t>
            </w:r>
          </w:p>
          <w:p w14:paraId="28C6E09E" w14:textId="77777777" w:rsidR="00547AD3" w:rsidRPr="00D27DA9" w:rsidRDefault="00547AD3">
            <w:pPr>
              <w:jc w:val="both"/>
              <w:rPr>
                <w:rFonts w:eastAsia="Calibri" w:cstheme="minorHAnsi"/>
                <w:b/>
                <w:lang w:val="sl-SI"/>
              </w:rPr>
            </w:pPr>
            <w:r w:rsidRPr="00D27DA9">
              <w:rPr>
                <w:rFonts w:eastAsia="Calibri" w:cstheme="minorHAnsi"/>
                <w:lang w:val="sl-SI"/>
              </w:rPr>
              <w:t>Po potrebi se izvede dodatna usklajevanja. Spremembe glede NPOC niso predvidene.</w:t>
            </w:r>
          </w:p>
          <w:p w14:paraId="70A3D4BA" w14:textId="77777777" w:rsidR="00547AD3" w:rsidRPr="00D27DA9" w:rsidRDefault="00547AD3">
            <w:pPr>
              <w:jc w:val="both"/>
              <w:rPr>
                <w:rFonts w:cstheme="minorHAnsi"/>
                <w:lang w:val="sl-SI"/>
              </w:rPr>
            </w:pPr>
            <w:r w:rsidRPr="00D27DA9">
              <w:rPr>
                <w:rFonts w:eastAsia="Calibri" w:cstheme="minorHAnsi"/>
                <w:b/>
                <w:lang w:val="sl-SI"/>
              </w:rPr>
              <w:t>12. 6. 4. Vaje</w:t>
            </w:r>
          </w:p>
          <w:p w14:paraId="5824E0C6" w14:textId="6CF32BCD" w:rsidR="00547AD3" w:rsidRPr="00D27DA9" w:rsidRDefault="00547AD3">
            <w:pPr>
              <w:jc w:val="both"/>
              <w:rPr>
                <w:rFonts w:cstheme="minorHAnsi"/>
                <w:lang w:val="sl-SI"/>
              </w:rPr>
            </w:pPr>
            <w:r w:rsidRPr="00D27DA9">
              <w:rPr>
                <w:rFonts w:cstheme="minorHAnsi"/>
                <w:lang w:val="sl-SI"/>
              </w:rPr>
              <w:t xml:space="preserve">Vaje v RS </w:t>
            </w:r>
            <w:r w:rsidR="009B633B" w:rsidRPr="00D27DA9">
              <w:rPr>
                <w:rFonts w:cstheme="minorHAnsi"/>
                <w:lang w:val="sl-SI"/>
              </w:rPr>
              <w:t xml:space="preserve">bodo </w:t>
            </w:r>
            <w:r w:rsidRPr="00D27DA9">
              <w:rPr>
                <w:rFonts w:cstheme="minorHAnsi"/>
                <w:lang w:val="sl-SI"/>
              </w:rPr>
              <w:t>v obdobju 2022 - 2025 izvedene skladno z Načrti vaj v obrambnem sistemu in sistemu varstva pred naravnimi in drugimi nesrečami, katere bo sprejela Vlada Republike Slovenije.</w:t>
            </w:r>
          </w:p>
          <w:p w14:paraId="19CFF9DA" w14:textId="77777777" w:rsidR="00547AD3" w:rsidRPr="00D27DA9" w:rsidRDefault="00547AD3">
            <w:pPr>
              <w:jc w:val="both"/>
              <w:rPr>
                <w:rFonts w:cstheme="minorHAnsi"/>
                <w:lang w:val="sl-SI"/>
              </w:rPr>
            </w:pPr>
            <w:r w:rsidRPr="00D27DA9">
              <w:rPr>
                <w:rFonts w:cstheme="minorHAnsi"/>
                <w:lang w:val="sl-SI"/>
              </w:rPr>
              <w:t xml:space="preserve">SV v  obdobju 2022 - 2025  načrtuje izvajanje vojaške mobilnost v sklopu rednih dejavnosti v skladu z obstoječimi normativi v Natu in EU ter skladno s podpisanimi mednarodnimi dogovori. Preigravanje standardov in postopkov premikov transporta bo vključeno v vojaške vaje in usposabljanja SV. </w:t>
            </w:r>
          </w:p>
          <w:p w14:paraId="5AB0E594" w14:textId="77777777" w:rsidR="00547AD3" w:rsidRPr="00D27DA9" w:rsidRDefault="00547AD3">
            <w:pPr>
              <w:jc w:val="both"/>
              <w:rPr>
                <w:rFonts w:cstheme="minorHAnsi"/>
                <w:lang w:val="sl-SI"/>
              </w:rPr>
            </w:pPr>
            <w:r w:rsidRPr="00D27DA9">
              <w:rPr>
                <w:rFonts w:cstheme="minorHAnsi"/>
                <w:lang w:val="sl-SI"/>
              </w:rPr>
              <w:lastRenderedPageBreak/>
              <w:t>Prizadevanja</w:t>
            </w:r>
            <w:r w:rsidRPr="00D27DA9">
              <w:rPr>
                <w:rFonts w:eastAsia="Calibri" w:cstheme="minorHAnsi"/>
                <w:lang w:val="sl-SI"/>
              </w:rPr>
              <w:t xml:space="preserve"> na področju vojaške mobilnosti in podpore države gostiteljice bodo osredotočena na dosledno izvajanje sprejetih zavez v EU in Natu, na implementiranje sprejetih rešitev ter s tem aktivnemu prispevanju k izvajanju SVOP ter nacionalne  in kolektivne varnosti tudi v okviru vaj.</w:t>
            </w:r>
          </w:p>
          <w:p w14:paraId="4F64403F" w14:textId="77777777" w:rsidR="00547AD3" w:rsidRPr="00D27DA9" w:rsidRDefault="00547AD3">
            <w:pPr>
              <w:jc w:val="both"/>
              <w:rPr>
                <w:rFonts w:eastAsia="Calibri" w:cstheme="minorHAnsi"/>
                <w:b/>
                <w:lang w:val="sl-SI"/>
              </w:rPr>
            </w:pPr>
            <w:r w:rsidRPr="00D27DA9">
              <w:rPr>
                <w:rFonts w:eastAsia="Calibri" w:cstheme="minorHAnsi"/>
                <w:b/>
                <w:lang w:val="sl-SI"/>
              </w:rPr>
              <w:t>12. 6. 5. Sodelovanje predstavnikov Ministrstva za obrambo in Ministrstva za finance in Finančne uprave RS v okviru delovne skupine EDA AHWG CBMP in AHWG Customs.</w:t>
            </w:r>
          </w:p>
          <w:p w14:paraId="540196CA" w14:textId="77777777" w:rsidR="00547AD3" w:rsidRPr="00D27DA9" w:rsidRDefault="00547AD3">
            <w:pPr>
              <w:jc w:val="both"/>
              <w:rPr>
                <w:rFonts w:eastAsia="Calibri" w:cstheme="minorHAnsi"/>
                <w:lang w:val="sl-SI"/>
              </w:rPr>
            </w:pPr>
            <w:r w:rsidRPr="00D27DA9">
              <w:rPr>
                <w:rFonts w:eastAsia="Calibri" w:cstheme="minorHAnsi"/>
                <w:lang w:val="sl-SI"/>
              </w:rPr>
              <w:t>V obdobju  se bo na enak način kot v preteklih letih nadaljevalo z aktivnim sodelovanjem predstavnikov MO v vseh delovnih telesih in delovnih skupinah EDA vezanih na vojaško mobilnost (MC, CBMP, AHWG CBMP Surface,  AHWG CBMP Air in  AHWG Customs), v kolikor se bodo aktivnosti na ravni EDA še vedno izvajale.</w:t>
            </w:r>
          </w:p>
          <w:p w14:paraId="5C029E6B" w14:textId="77777777" w:rsidR="00547AD3" w:rsidRPr="00D27DA9" w:rsidRDefault="00547AD3">
            <w:pPr>
              <w:jc w:val="both"/>
              <w:rPr>
                <w:rFonts w:cstheme="minorHAnsi"/>
                <w:lang w:val="sl-SI"/>
              </w:rPr>
            </w:pPr>
          </w:p>
          <w:p w14:paraId="6B84634F" w14:textId="77777777" w:rsidR="00547AD3" w:rsidRPr="00D27DA9" w:rsidRDefault="00547AD3">
            <w:pPr>
              <w:jc w:val="both"/>
              <w:rPr>
                <w:rFonts w:cstheme="minorHAnsi"/>
                <w:lang w:val="sl-SI"/>
              </w:rPr>
            </w:pPr>
          </w:p>
        </w:tc>
      </w:tr>
    </w:tbl>
    <w:p w14:paraId="163A7579" w14:textId="2CA6D350" w:rsidR="006321CE" w:rsidRPr="00D27DA9" w:rsidRDefault="006321CE">
      <w:pPr>
        <w:rPr>
          <w:rFonts w:cstheme="minorHAnsi"/>
          <w:b/>
        </w:rPr>
      </w:pPr>
    </w:p>
    <w:p w14:paraId="17056D6C" w14:textId="2254B830" w:rsidR="00874E4C" w:rsidRPr="00D27DA9" w:rsidRDefault="00874E4C">
      <w:pPr>
        <w:rPr>
          <w:rFonts w:cstheme="minorHAnsi"/>
          <w:b/>
        </w:rPr>
      </w:pPr>
    </w:p>
    <w:p w14:paraId="272ACB73" w14:textId="7C9E21EA" w:rsidR="002F29E9" w:rsidRDefault="002F29E9">
      <w:pPr>
        <w:rPr>
          <w:rFonts w:cstheme="minorHAnsi"/>
          <w:b/>
        </w:rPr>
      </w:pPr>
      <w:r>
        <w:rPr>
          <w:rFonts w:cstheme="minorHAnsi"/>
          <w:b/>
        </w:rPr>
        <w:br w:type="page"/>
      </w:r>
    </w:p>
    <w:p w14:paraId="559792BE" w14:textId="77777777" w:rsidR="006321CE" w:rsidRPr="00D27DA9" w:rsidRDefault="006321CE" w:rsidP="005F792D">
      <w:pPr>
        <w:pBdr>
          <w:top w:val="single" w:sz="4" w:space="1" w:color="auto"/>
          <w:left w:val="single" w:sz="4" w:space="7" w:color="auto"/>
          <w:bottom w:val="single" w:sz="4" w:space="0" w:color="auto"/>
          <w:right w:val="single" w:sz="4" w:space="4" w:color="auto"/>
        </w:pBdr>
        <w:shd w:val="clear" w:color="auto" w:fill="D9D9D9" w:themeFill="background1" w:themeFillShade="D9"/>
        <w:spacing w:after="0"/>
        <w:rPr>
          <w:rFonts w:cstheme="minorHAnsi"/>
          <w:b/>
        </w:rPr>
      </w:pPr>
      <w:r w:rsidRPr="00D27DA9">
        <w:rPr>
          <w:rFonts w:cstheme="minorHAnsi"/>
          <w:b/>
        </w:rPr>
        <w:lastRenderedPageBreak/>
        <w:t xml:space="preserve">Zaveza 13: </w:t>
      </w:r>
    </w:p>
    <w:p w14:paraId="5C7DD99C" w14:textId="0B138B44" w:rsidR="00990295" w:rsidRPr="00D27DA9" w:rsidRDefault="00A11185" w:rsidP="005F792D">
      <w:pPr>
        <w:pBdr>
          <w:top w:val="single" w:sz="4" w:space="1" w:color="auto"/>
          <w:left w:val="single" w:sz="4" w:space="7" w:color="auto"/>
          <w:bottom w:val="single" w:sz="4" w:space="0" w:color="auto"/>
          <w:right w:val="single" w:sz="4" w:space="4" w:color="auto"/>
        </w:pBdr>
        <w:shd w:val="clear" w:color="auto" w:fill="D9D9D9" w:themeFill="background1" w:themeFillShade="D9"/>
        <w:spacing w:after="0"/>
        <w:rPr>
          <w:rFonts w:cstheme="minorHAnsi"/>
          <w:b/>
        </w:rPr>
      </w:pPr>
      <w:r w:rsidRPr="00D27DA9">
        <w:rPr>
          <w:rFonts w:cstheme="minorHAnsi"/>
        </w:rPr>
        <w:t>G</w:t>
      </w:r>
      <w:r w:rsidR="0048544C" w:rsidRPr="00D27DA9">
        <w:rPr>
          <w:rFonts w:cstheme="minorHAnsi"/>
        </w:rPr>
        <w:t>lede interoperabilnosti sil</w:t>
      </w:r>
      <w:r w:rsidR="009D1553" w:rsidRPr="00D27DA9">
        <w:rPr>
          <w:rFonts w:cstheme="minorHAnsi"/>
          <w:b/>
        </w:rPr>
        <w:t xml:space="preserve"> </w:t>
      </w:r>
      <w:r w:rsidR="009D1553" w:rsidRPr="00D27DA9">
        <w:rPr>
          <w:rFonts w:cstheme="minorHAnsi"/>
        </w:rPr>
        <w:t>bodo vključene države članice</w:t>
      </w:r>
      <w:r w:rsidR="009D1553" w:rsidRPr="00D27DA9">
        <w:rPr>
          <w:rFonts w:cstheme="minorHAnsi"/>
          <w:b/>
        </w:rPr>
        <w:t xml:space="preserve"> </w:t>
      </w:r>
      <w:r w:rsidR="0048544C" w:rsidRPr="00D27DA9">
        <w:rPr>
          <w:rFonts w:cstheme="minorHAnsi"/>
        </w:rPr>
        <w:t>razvijale interoperabilnost svojih sil, tako da se bodo:</w:t>
      </w:r>
    </w:p>
    <w:p w14:paraId="09A04DE0" w14:textId="02792A37" w:rsidR="006321CE" w:rsidRPr="00D27DA9" w:rsidRDefault="00CA1F92" w:rsidP="005F792D">
      <w:pPr>
        <w:pStyle w:val="Odstavekseznama"/>
        <w:numPr>
          <w:ilvl w:val="0"/>
          <w:numId w:val="6"/>
        </w:numPr>
        <w:pBdr>
          <w:top w:val="single" w:sz="4" w:space="1" w:color="auto"/>
          <w:left w:val="single" w:sz="4" w:space="7" w:color="auto"/>
          <w:bottom w:val="single" w:sz="4" w:space="0" w:color="auto"/>
          <w:right w:val="single" w:sz="4" w:space="4" w:color="auto"/>
        </w:pBdr>
        <w:shd w:val="clear" w:color="auto" w:fill="D9D9D9" w:themeFill="background1" w:themeFillShade="D9"/>
        <w:spacing w:after="0"/>
        <w:rPr>
          <w:rFonts w:cstheme="minorHAnsi"/>
          <w:b/>
          <w:lang w:val="sl-SI"/>
        </w:rPr>
      </w:pPr>
      <w:r w:rsidRPr="00D27DA9">
        <w:rPr>
          <w:rFonts w:cstheme="minorHAnsi"/>
          <w:b/>
          <w:lang w:val="sl-SI"/>
        </w:rPr>
        <w:t>13.1.</w:t>
      </w:r>
      <w:r w:rsidR="0048544C" w:rsidRPr="00D27DA9">
        <w:rPr>
          <w:rFonts w:cstheme="minorHAnsi"/>
          <w:lang w:val="sl-SI"/>
        </w:rPr>
        <w:t>— dogovarjale o skupnih merilih za vrednotenje in potrjevanje za skupne bojne sile EU, ki bodo skladna z Natovimi standardi, obenem pa ohranile nacionalno certificiranje</w:t>
      </w:r>
      <w:r w:rsidR="00990295" w:rsidRPr="00D27DA9">
        <w:rPr>
          <w:rFonts w:cstheme="minorHAnsi"/>
          <w:lang w:val="sl-SI"/>
        </w:rPr>
        <w:t>;</w:t>
      </w:r>
    </w:p>
    <w:p w14:paraId="02F5CA58" w14:textId="3C13C67A" w:rsidR="00352D80" w:rsidRPr="00D27DA9" w:rsidRDefault="00352D80" w:rsidP="005F792D">
      <w:pPr>
        <w:pStyle w:val="Odstavekseznama"/>
        <w:numPr>
          <w:ilvl w:val="0"/>
          <w:numId w:val="6"/>
        </w:numPr>
        <w:pBdr>
          <w:top w:val="single" w:sz="4" w:space="1" w:color="auto"/>
          <w:left w:val="single" w:sz="4" w:space="7" w:color="auto"/>
          <w:bottom w:val="single" w:sz="4" w:space="0" w:color="auto"/>
          <w:right w:val="single" w:sz="4" w:space="4" w:color="auto"/>
        </w:pBdr>
        <w:shd w:val="clear" w:color="auto" w:fill="D9D9D9" w:themeFill="background1" w:themeFillShade="D9"/>
        <w:spacing w:after="0"/>
        <w:rPr>
          <w:rFonts w:cstheme="minorHAnsi"/>
          <w:b/>
          <w:lang w:val="sl-SI"/>
        </w:rPr>
      </w:pPr>
      <w:r w:rsidRPr="00D27DA9">
        <w:rPr>
          <w:rFonts w:cstheme="minorHAnsi"/>
          <w:b/>
          <w:lang w:val="sl-SI"/>
        </w:rPr>
        <w:t xml:space="preserve">13.2. </w:t>
      </w:r>
      <w:r w:rsidR="009D1553" w:rsidRPr="00D27DA9">
        <w:rPr>
          <w:rFonts w:cstheme="minorHAnsi"/>
          <w:lang w:val="sl-SI"/>
        </w:rPr>
        <w:t>—dogovarjale o tehničnih in operativnih standardih za sile in hkrati soglašale, da je treba zagotoviti interoperabilnost z Natom;</w:t>
      </w:r>
    </w:p>
    <w:p w14:paraId="347417D5" w14:textId="009EB2D2" w:rsidR="00352D80" w:rsidRPr="00D27DA9" w:rsidRDefault="00352D80" w:rsidP="005F792D">
      <w:pPr>
        <w:pStyle w:val="Odstavekseznama"/>
        <w:numPr>
          <w:ilvl w:val="0"/>
          <w:numId w:val="6"/>
        </w:numPr>
        <w:pBdr>
          <w:top w:val="single" w:sz="4" w:space="1" w:color="auto"/>
          <w:left w:val="single" w:sz="4" w:space="7" w:color="auto"/>
          <w:bottom w:val="single" w:sz="4" w:space="0" w:color="auto"/>
          <w:right w:val="single" w:sz="4" w:space="4" w:color="auto"/>
        </w:pBdr>
        <w:shd w:val="clear" w:color="auto" w:fill="D9D9D9" w:themeFill="background1" w:themeFillShade="D9"/>
        <w:spacing w:after="0"/>
        <w:rPr>
          <w:rFonts w:cstheme="minorHAnsi"/>
          <w:b/>
          <w:lang w:val="sl-SI"/>
        </w:rPr>
      </w:pPr>
      <w:r w:rsidRPr="00D27DA9">
        <w:rPr>
          <w:rFonts w:cstheme="minorHAnsi"/>
          <w:b/>
          <w:lang w:val="sl-SI"/>
        </w:rPr>
        <w:t xml:space="preserve">13.3. </w:t>
      </w:r>
      <w:r w:rsidR="009D1553" w:rsidRPr="00D27DA9">
        <w:rPr>
          <w:rFonts w:cstheme="minorHAnsi"/>
          <w:lang w:val="sl-SI"/>
        </w:rPr>
        <w:t>optimizirale mednarodne strukture: vključene države članice bi se lahko zavezale, da se bodo pridružile glavnim obstoječim in morebitnim prihodnjim strukturam, ki so vključene v evropsko zunanje delovanje na vojaškem področju, in imele tam dejavno vlogo (EUROCORPS, EUROMARFOR, EUROGENDFOR, MCCE/ATARES/SEOS)</w:t>
      </w:r>
      <w:r w:rsidRPr="00D27DA9">
        <w:rPr>
          <w:rFonts w:cstheme="minorHAnsi"/>
          <w:lang w:val="sl-SI"/>
        </w:rPr>
        <w:t xml:space="preserve"> </w:t>
      </w:r>
    </w:p>
    <w:p w14:paraId="3654840D" w14:textId="59D774DC" w:rsidR="00656856" w:rsidRDefault="00656856" w:rsidP="0020179A">
      <w:pPr>
        <w:spacing w:after="0"/>
        <w:rPr>
          <w:rFonts w:cstheme="minorHAnsi"/>
        </w:rPr>
      </w:pPr>
    </w:p>
    <w:tbl>
      <w:tblPr>
        <w:tblStyle w:val="Tabelamrea"/>
        <w:tblW w:w="1344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1394"/>
        <w:gridCol w:w="3686"/>
        <w:gridCol w:w="4110"/>
        <w:gridCol w:w="4253"/>
      </w:tblGrid>
      <w:tr w:rsidR="006321CE" w:rsidRPr="00D27DA9" w14:paraId="29E01CA8" w14:textId="77777777" w:rsidTr="00CA0578">
        <w:trPr>
          <w:trHeight w:val="359"/>
        </w:trPr>
        <w:tc>
          <w:tcPr>
            <w:tcW w:w="1394" w:type="dxa"/>
            <w:shd w:val="clear" w:color="auto" w:fill="F2F2F2" w:themeFill="background1" w:themeFillShade="F2"/>
            <w:vAlign w:val="center"/>
          </w:tcPr>
          <w:p w14:paraId="3FEBD288" w14:textId="007198D4" w:rsidR="006321CE" w:rsidRPr="00D27DA9" w:rsidRDefault="006321CE" w:rsidP="002F29E9">
            <w:pPr>
              <w:jc w:val="center"/>
              <w:rPr>
                <w:rFonts w:eastAsia="Calibri" w:cstheme="minorHAnsi"/>
                <w:b/>
                <w:bCs/>
                <w:lang w:val="sl-SI"/>
              </w:rPr>
            </w:pPr>
          </w:p>
        </w:tc>
        <w:tc>
          <w:tcPr>
            <w:tcW w:w="3686" w:type="dxa"/>
            <w:shd w:val="clear" w:color="auto" w:fill="F2F2F2" w:themeFill="background1" w:themeFillShade="F2"/>
            <w:vAlign w:val="center"/>
          </w:tcPr>
          <w:p w14:paraId="54F87642" w14:textId="52C708E4" w:rsidR="006321CE" w:rsidRPr="00D27DA9" w:rsidRDefault="00BE0FBA" w:rsidP="00D362DB">
            <w:pPr>
              <w:jc w:val="center"/>
              <w:rPr>
                <w:rFonts w:eastAsia="Calibri" w:cstheme="minorHAnsi"/>
                <w:b/>
                <w:bCs/>
                <w:lang w:val="sl-SI"/>
              </w:rPr>
            </w:pPr>
            <w:r w:rsidRPr="00D27DA9">
              <w:rPr>
                <w:rFonts w:eastAsia="Calibri" w:cstheme="minorHAnsi"/>
                <w:b/>
                <w:bCs/>
                <w:lang w:val="sl-SI"/>
              </w:rPr>
              <w:t>2020</w:t>
            </w:r>
            <w:r w:rsidR="006321CE" w:rsidRPr="00D27DA9">
              <w:rPr>
                <w:rFonts w:eastAsia="Calibri" w:cstheme="minorHAnsi"/>
                <w:b/>
                <w:bCs/>
                <w:lang w:val="sl-SI"/>
              </w:rPr>
              <w:t xml:space="preserve"> </w:t>
            </w:r>
          </w:p>
          <w:p w14:paraId="5ADDAD6C" w14:textId="77777777" w:rsidR="006321CE" w:rsidRPr="00D27DA9" w:rsidRDefault="006321CE" w:rsidP="00D362DB">
            <w:pPr>
              <w:jc w:val="center"/>
              <w:rPr>
                <w:rFonts w:eastAsia="Calibri" w:cstheme="minorHAnsi"/>
                <w:b/>
                <w:bCs/>
                <w:lang w:val="sl-SI"/>
              </w:rPr>
            </w:pPr>
            <w:r w:rsidRPr="00D27DA9">
              <w:rPr>
                <w:rFonts w:eastAsia="Calibri" w:cstheme="minorHAnsi"/>
                <w:b/>
                <w:bCs/>
                <w:lang w:val="sl-SI"/>
              </w:rPr>
              <w:t>(samoocena)</w:t>
            </w:r>
          </w:p>
        </w:tc>
        <w:tc>
          <w:tcPr>
            <w:tcW w:w="4110" w:type="dxa"/>
            <w:shd w:val="clear" w:color="auto" w:fill="F2F2F2" w:themeFill="background1" w:themeFillShade="F2"/>
            <w:vAlign w:val="center"/>
          </w:tcPr>
          <w:p w14:paraId="0552F436" w14:textId="4BD2D650" w:rsidR="006321CE" w:rsidRPr="00D27DA9" w:rsidRDefault="00BE0FBA" w:rsidP="00D362DB">
            <w:pPr>
              <w:jc w:val="center"/>
              <w:rPr>
                <w:rFonts w:eastAsia="Calibri" w:cstheme="minorHAnsi"/>
                <w:b/>
                <w:bCs/>
                <w:lang w:val="sl-SI"/>
              </w:rPr>
            </w:pPr>
            <w:r w:rsidRPr="00D27DA9">
              <w:rPr>
                <w:rFonts w:eastAsia="Calibri" w:cstheme="minorHAnsi"/>
                <w:b/>
                <w:bCs/>
                <w:lang w:val="sl-SI"/>
              </w:rPr>
              <w:t>2021</w:t>
            </w:r>
            <w:r w:rsidR="006321CE" w:rsidRPr="00D27DA9">
              <w:rPr>
                <w:rFonts w:eastAsia="Calibri" w:cstheme="minorHAnsi"/>
                <w:b/>
                <w:bCs/>
                <w:lang w:val="sl-SI"/>
              </w:rPr>
              <w:t xml:space="preserve"> </w:t>
            </w:r>
          </w:p>
          <w:p w14:paraId="5A6F6547" w14:textId="77777777" w:rsidR="006321CE" w:rsidRPr="00D27DA9" w:rsidRDefault="006321CE" w:rsidP="00D362DB">
            <w:pPr>
              <w:jc w:val="center"/>
              <w:rPr>
                <w:rFonts w:eastAsia="Calibri" w:cstheme="minorHAnsi"/>
                <w:b/>
                <w:lang w:val="sl-SI"/>
              </w:rPr>
            </w:pPr>
            <w:r w:rsidRPr="00D27DA9">
              <w:rPr>
                <w:rFonts w:eastAsia="Calibri" w:cstheme="minorHAnsi"/>
                <w:b/>
                <w:bCs/>
                <w:lang w:val="sl-SI"/>
              </w:rPr>
              <w:t>(predvideno)</w:t>
            </w:r>
          </w:p>
        </w:tc>
        <w:tc>
          <w:tcPr>
            <w:tcW w:w="4253" w:type="dxa"/>
            <w:shd w:val="clear" w:color="auto" w:fill="F2F2F2" w:themeFill="background1" w:themeFillShade="F2"/>
            <w:vAlign w:val="center"/>
          </w:tcPr>
          <w:p w14:paraId="7E8D2E54" w14:textId="43CF7108" w:rsidR="006321CE" w:rsidRPr="00D27DA9" w:rsidRDefault="006321CE" w:rsidP="00D362DB">
            <w:pPr>
              <w:jc w:val="center"/>
              <w:rPr>
                <w:rFonts w:eastAsia="Calibri" w:cstheme="minorHAnsi"/>
                <w:b/>
                <w:bCs/>
                <w:lang w:val="sl-SI"/>
              </w:rPr>
            </w:pPr>
            <w:r w:rsidRPr="00D27DA9">
              <w:rPr>
                <w:rFonts w:eastAsia="Calibri" w:cstheme="minorHAnsi"/>
                <w:b/>
                <w:bCs/>
                <w:lang w:val="sl-SI"/>
              </w:rPr>
              <w:t>202</w:t>
            </w:r>
            <w:r w:rsidR="00BE0FBA" w:rsidRPr="00D27DA9">
              <w:rPr>
                <w:rFonts w:eastAsia="Calibri" w:cstheme="minorHAnsi"/>
                <w:b/>
                <w:bCs/>
                <w:lang w:val="sl-SI"/>
              </w:rPr>
              <w:t>2</w:t>
            </w:r>
            <w:r w:rsidRPr="00D27DA9">
              <w:rPr>
                <w:rFonts w:eastAsia="Calibri" w:cstheme="minorHAnsi"/>
                <w:b/>
                <w:bCs/>
                <w:lang w:val="sl-SI"/>
              </w:rPr>
              <w:t xml:space="preserve">-2025 </w:t>
            </w:r>
          </w:p>
          <w:p w14:paraId="09374F0B" w14:textId="77777777" w:rsidR="006321CE" w:rsidRPr="00D27DA9" w:rsidRDefault="006321CE" w:rsidP="00D362DB">
            <w:pPr>
              <w:jc w:val="center"/>
              <w:rPr>
                <w:rFonts w:eastAsia="Calibri" w:cstheme="minorHAnsi"/>
                <w:b/>
                <w:lang w:val="sl-SI"/>
              </w:rPr>
            </w:pPr>
            <w:r w:rsidRPr="00D27DA9">
              <w:rPr>
                <w:rFonts w:eastAsia="Calibri" w:cstheme="minorHAnsi"/>
                <w:b/>
                <w:bCs/>
                <w:lang w:val="sl-SI"/>
              </w:rPr>
              <w:t>(predvideno)</w:t>
            </w:r>
          </w:p>
        </w:tc>
      </w:tr>
      <w:tr w:rsidR="006321CE" w:rsidRPr="00D27DA9" w14:paraId="5D3DA8CC" w14:textId="77777777" w:rsidTr="00CA0578">
        <w:trPr>
          <w:trHeight w:val="1816"/>
        </w:trPr>
        <w:tc>
          <w:tcPr>
            <w:tcW w:w="1394" w:type="dxa"/>
            <w:vAlign w:val="center"/>
          </w:tcPr>
          <w:p w14:paraId="15B833B3" w14:textId="77777777" w:rsidR="006321CE" w:rsidRPr="00D27DA9" w:rsidRDefault="006321CE" w:rsidP="00D362DB">
            <w:pPr>
              <w:rPr>
                <w:rFonts w:eastAsia="Calibri" w:cstheme="minorHAnsi"/>
                <w:b/>
                <w:lang w:val="sl-SI"/>
              </w:rPr>
            </w:pPr>
            <w:r w:rsidRPr="00D27DA9">
              <w:rPr>
                <w:rFonts w:eastAsia="Calibri" w:cstheme="minorHAnsi"/>
                <w:b/>
                <w:lang w:val="sl-SI"/>
              </w:rPr>
              <w:t xml:space="preserve">Zaveza </w:t>
            </w:r>
            <w:r w:rsidR="00F15CD8" w:rsidRPr="00D27DA9">
              <w:rPr>
                <w:rFonts w:eastAsia="Calibri" w:cstheme="minorHAnsi"/>
                <w:b/>
                <w:lang w:val="sl-SI"/>
              </w:rPr>
              <w:t>13</w:t>
            </w:r>
            <w:r w:rsidRPr="00D27DA9">
              <w:rPr>
                <w:rFonts w:eastAsia="Calibri" w:cstheme="minorHAnsi"/>
                <w:b/>
                <w:lang w:val="sl-SI"/>
              </w:rPr>
              <w:t>.1</w:t>
            </w:r>
          </w:p>
        </w:tc>
        <w:tc>
          <w:tcPr>
            <w:tcW w:w="3686" w:type="dxa"/>
            <w:vAlign w:val="center"/>
          </w:tcPr>
          <w:p w14:paraId="6BE4BAC8" w14:textId="62EA0AAF" w:rsidR="00F90357" w:rsidRPr="00D27DA9" w:rsidRDefault="00F90357" w:rsidP="00E51346">
            <w:pPr>
              <w:autoSpaceDE w:val="0"/>
              <w:autoSpaceDN w:val="0"/>
              <w:adjustRightInd w:val="0"/>
              <w:jc w:val="both"/>
              <w:rPr>
                <w:rFonts w:cstheme="minorHAnsi"/>
                <w:iCs/>
                <w:lang w:val="sl-SI"/>
              </w:rPr>
            </w:pPr>
            <w:r w:rsidRPr="00D27DA9">
              <w:rPr>
                <w:rFonts w:cstheme="minorHAnsi"/>
                <w:iCs/>
                <w:lang w:val="sl-SI"/>
              </w:rPr>
              <w:t>Slovenija je v celoti podpirala in se</w:t>
            </w:r>
            <w:r w:rsidR="00E51346" w:rsidRPr="00D27DA9">
              <w:rPr>
                <w:rFonts w:cstheme="minorHAnsi"/>
                <w:iCs/>
                <w:lang w:val="sl-SI"/>
              </w:rPr>
              <w:t xml:space="preserve"> </w:t>
            </w:r>
            <w:r w:rsidRPr="00D27DA9">
              <w:rPr>
                <w:rFonts w:cstheme="minorHAnsi"/>
                <w:iCs/>
                <w:lang w:val="sl-SI"/>
              </w:rPr>
              <w:t>zavzema za poenotenje in</w:t>
            </w:r>
            <w:r w:rsidR="00E51346" w:rsidRPr="00D27DA9">
              <w:rPr>
                <w:rFonts w:cstheme="minorHAnsi"/>
                <w:iCs/>
                <w:lang w:val="sl-SI"/>
              </w:rPr>
              <w:t xml:space="preserve"> </w:t>
            </w:r>
            <w:r w:rsidRPr="00D27DA9">
              <w:rPr>
                <w:rFonts w:cstheme="minorHAnsi"/>
                <w:iCs/>
                <w:lang w:val="sl-SI"/>
              </w:rPr>
              <w:t>standardizacijo bojnih skupin EU</w:t>
            </w:r>
            <w:r w:rsidR="00E51346" w:rsidRPr="00D27DA9">
              <w:rPr>
                <w:rFonts w:cstheme="minorHAnsi"/>
                <w:iCs/>
                <w:lang w:val="sl-SI"/>
              </w:rPr>
              <w:t xml:space="preserve"> </w:t>
            </w:r>
            <w:r w:rsidRPr="00D27DA9">
              <w:rPr>
                <w:rFonts w:cstheme="minorHAnsi"/>
                <w:iCs/>
                <w:lang w:val="sl-SI"/>
              </w:rPr>
              <w:t>(EUBG) ter uskladitev kriterijev z</w:t>
            </w:r>
            <w:r w:rsidR="00E51346" w:rsidRPr="00D27DA9">
              <w:rPr>
                <w:rFonts w:cstheme="minorHAnsi"/>
                <w:iCs/>
                <w:lang w:val="sl-SI"/>
              </w:rPr>
              <w:t xml:space="preserve">  </w:t>
            </w:r>
            <w:r w:rsidRPr="00D27DA9">
              <w:rPr>
                <w:rFonts w:cstheme="minorHAnsi"/>
                <w:iCs/>
                <w:lang w:val="sl-SI"/>
              </w:rPr>
              <w:t>Natom. Slovenija je zavezana k</w:t>
            </w:r>
            <w:r w:rsidR="00E51346" w:rsidRPr="00D27DA9">
              <w:rPr>
                <w:rFonts w:cstheme="minorHAnsi"/>
                <w:iCs/>
                <w:lang w:val="sl-SI"/>
              </w:rPr>
              <w:t xml:space="preserve"> </w:t>
            </w:r>
            <w:r w:rsidRPr="00D27DA9">
              <w:rPr>
                <w:rFonts w:cstheme="minorHAnsi"/>
                <w:iCs/>
                <w:lang w:val="sl-SI"/>
              </w:rPr>
              <w:t>interoperabilnosti svojih zmogljivosti.</w:t>
            </w:r>
          </w:p>
          <w:p w14:paraId="6D6AADC2" w14:textId="27FEFD44" w:rsidR="006321CE" w:rsidRPr="00D27DA9" w:rsidRDefault="00F90357" w:rsidP="00E51346">
            <w:pPr>
              <w:autoSpaceDE w:val="0"/>
              <w:autoSpaceDN w:val="0"/>
              <w:adjustRightInd w:val="0"/>
              <w:jc w:val="both"/>
              <w:rPr>
                <w:rFonts w:eastAsia="Calibri" w:cstheme="minorHAnsi"/>
                <w:lang w:val="sl-SI"/>
              </w:rPr>
            </w:pPr>
            <w:r w:rsidRPr="00D27DA9">
              <w:rPr>
                <w:rFonts w:cstheme="minorHAnsi"/>
                <w:iCs/>
                <w:lang w:val="sl-SI"/>
              </w:rPr>
              <w:t>Za deklarirane zmogljivosti EUBG je</w:t>
            </w:r>
            <w:r w:rsidR="00E51346" w:rsidRPr="00D27DA9">
              <w:rPr>
                <w:rFonts w:cstheme="minorHAnsi"/>
                <w:iCs/>
                <w:lang w:val="sl-SI"/>
              </w:rPr>
              <w:t xml:space="preserve"> </w:t>
            </w:r>
            <w:r w:rsidRPr="00D27DA9">
              <w:rPr>
                <w:rFonts w:cstheme="minorHAnsi"/>
                <w:iCs/>
                <w:lang w:val="sl-SI"/>
              </w:rPr>
              <w:t>nacionalni certifikacijski proces v</w:t>
            </w:r>
            <w:r w:rsidR="00E51346" w:rsidRPr="00D27DA9">
              <w:rPr>
                <w:rFonts w:cstheme="minorHAnsi"/>
                <w:iCs/>
                <w:lang w:val="sl-SI"/>
              </w:rPr>
              <w:t xml:space="preserve"> celoti skladen s</w:t>
            </w:r>
            <w:r w:rsidRPr="00D27DA9">
              <w:rPr>
                <w:rFonts w:cstheme="minorHAnsi"/>
                <w:iCs/>
                <w:lang w:val="sl-SI"/>
              </w:rPr>
              <w:t xml:space="preserve"> Pripravljalnim</w:t>
            </w:r>
            <w:r w:rsidR="00E51346" w:rsidRPr="00D27DA9">
              <w:rPr>
                <w:rFonts w:cstheme="minorHAnsi"/>
                <w:iCs/>
                <w:lang w:val="sl-SI"/>
              </w:rPr>
              <w:t xml:space="preserve"> </w:t>
            </w:r>
            <w:r w:rsidRPr="00D27DA9">
              <w:rPr>
                <w:rFonts w:cstheme="minorHAnsi"/>
                <w:iCs/>
                <w:lang w:val="sl-SI"/>
              </w:rPr>
              <w:t>vodnikom za bojne skupine EU</w:t>
            </w:r>
            <w:r w:rsidR="00E51346" w:rsidRPr="00D27DA9">
              <w:rPr>
                <w:rFonts w:cstheme="minorHAnsi"/>
                <w:iCs/>
                <w:lang w:val="sl-SI"/>
              </w:rPr>
              <w:t xml:space="preserve"> </w:t>
            </w:r>
            <w:r w:rsidRPr="00D27DA9">
              <w:rPr>
                <w:rFonts w:cstheme="minorHAnsi"/>
                <w:iCs/>
                <w:lang w:val="sl-SI"/>
              </w:rPr>
              <w:t>(Preparation Guide EUBG) in</w:t>
            </w:r>
            <w:r w:rsidR="00E51346" w:rsidRPr="00D27DA9">
              <w:rPr>
                <w:rFonts w:cstheme="minorHAnsi"/>
                <w:iCs/>
                <w:lang w:val="sl-SI"/>
              </w:rPr>
              <w:t xml:space="preserve"> </w:t>
            </w:r>
            <w:r w:rsidRPr="00D27DA9">
              <w:rPr>
                <w:rFonts w:cstheme="minorHAnsi"/>
                <w:iCs/>
                <w:lang w:val="sl-SI"/>
              </w:rPr>
              <w:t>konceptom EUBG. Certifikacija je</w:t>
            </w:r>
            <w:r w:rsidR="00E51346" w:rsidRPr="00D27DA9">
              <w:rPr>
                <w:rFonts w:cstheme="minorHAnsi"/>
                <w:iCs/>
                <w:lang w:val="sl-SI"/>
              </w:rPr>
              <w:t xml:space="preserve"> </w:t>
            </w:r>
            <w:r w:rsidRPr="00D27DA9">
              <w:rPr>
                <w:rFonts w:cstheme="minorHAnsi"/>
                <w:iCs/>
                <w:lang w:val="sl-SI"/>
              </w:rPr>
              <w:t>nacionalna odgovornost.</w:t>
            </w:r>
          </w:p>
        </w:tc>
        <w:tc>
          <w:tcPr>
            <w:tcW w:w="4110" w:type="dxa"/>
            <w:vAlign w:val="center"/>
          </w:tcPr>
          <w:p w14:paraId="3098E430" w14:textId="7401DA88" w:rsidR="006321CE" w:rsidRPr="00D27DA9" w:rsidRDefault="00F90357" w:rsidP="00E51346">
            <w:pPr>
              <w:autoSpaceDE w:val="0"/>
              <w:autoSpaceDN w:val="0"/>
              <w:adjustRightInd w:val="0"/>
              <w:jc w:val="both"/>
              <w:rPr>
                <w:rFonts w:cstheme="minorHAnsi"/>
                <w:lang w:val="sl-SI"/>
              </w:rPr>
            </w:pPr>
            <w:r w:rsidRPr="00D27DA9">
              <w:rPr>
                <w:rFonts w:cstheme="minorHAnsi"/>
                <w:iCs/>
                <w:lang w:val="sl-SI"/>
              </w:rPr>
              <w:t>Slovenija v celoti podpira poenotenje oz.</w:t>
            </w:r>
            <w:r w:rsidR="00E51346" w:rsidRPr="00D27DA9">
              <w:rPr>
                <w:rFonts w:cstheme="minorHAnsi"/>
                <w:iCs/>
                <w:lang w:val="sl-SI"/>
              </w:rPr>
              <w:t xml:space="preserve"> </w:t>
            </w:r>
            <w:r w:rsidRPr="00D27DA9">
              <w:rPr>
                <w:rFonts w:cstheme="minorHAnsi"/>
                <w:iCs/>
                <w:lang w:val="sl-SI"/>
              </w:rPr>
              <w:t>uskladitev certificiranja EUGB z Natovimi</w:t>
            </w:r>
            <w:r w:rsidR="00E51346" w:rsidRPr="00D27DA9">
              <w:rPr>
                <w:rFonts w:cstheme="minorHAnsi"/>
                <w:iCs/>
                <w:lang w:val="sl-SI"/>
              </w:rPr>
              <w:t xml:space="preserve"> </w:t>
            </w:r>
            <w:r w:rsidRPr="00D27DA9">
              <w:rPr>
                <w:rFonts w:cstheme="minorHAnsi"/>
                <w:iCs/>
                <w:lang w:val="sl-SI"/>
              </w:rPr>
              <w:t>odzivnimi standardi, pri čemer naj</w:t>
            </w:r>
            <w:r w:rsidR="00E51346" w:rsidRPr="00D27DA9">
              <w:rPr>
                <w:rFonts w:cstheme="minorHAnsi"/>
                <w:iCs/>
                <w:lang w:val="sl-SI"/>
              </w:rPr>
              <w:t xml:space="preserve"> </w:t>
            </w:r>
            <w:r w:rsidRPr="00D27DA9">
              <w:rPr>
                <w:rFonts w:cstheme="minorHAnsi"/>
                <w:iCs/>
                <w:lang w:val="sl-SI"/>
              </w:rPr>
              <w:t>standardizacija zajame tako tehnični kot</w:t>
            </w:r>
            <w:r w:rsidR="00E51346" w:rsidRPr="00D27DA9">
              <w:rPr>
                <w:rFonts w:cstheme="minorHAnsi"/>
                <w:iCs/>
                <w:lang w:val="sl-SI"/>
              </w:rPr>
              <w:t xml:space="preserve"> </w:t>
            </w:r>
            <w:r w:rsidRPr="00D27DA9">
              <w:rPr>
                <w:rFonts w:cstheme="minorHAnsi"/>
                <w:iCs/>
                <w:lang w:val="sl-SI"/>
              </w:rPr>
              <w:t>operativni vidik.</w:t>
            </w:r>
          </w:p>
        </w:tc>
        <w:tc>
          <w:tcPr>
            <w:tcW w:w="4253" w:type="dxa"/>
            <w:shd w:val="clear" w:color="auto" w:fill="FFFFFF" w:themeFill="background1"/>
            <w:vAlign w:val="center"/>
          </w:tcPr>
          <w:p w14:paraId="4E2ADBC3" w14:textId="6D89C49F" w:rsidR="006321CE" w:rsidRPr="00D27DA9" w:rsidRDefault="00E51346" w:rsidP="00E51346">
            <w:pPr>
              <w:jc w:val="both"/>
              <w:rPr>
                <w:rFonts w:eastAsia="Calibri" w:cstheme="minorHAnsi"/>
                <w:lang w:val="sl-SI"/>
              </w:rPr>
            </w:pPr>
            <w:r w:rsidRPr="00D27DA9">
              <w:rPr>
                <w:rFonts w:cstheme="minorHAnsi"/>
                <w:iCs/>
                <w:lang w:val="sl-SI"/>
              </w:rPr>
              <w:t>Slovenija v celoti podpira poenotenje oz. uskladitev certificiranja EUGB z Natovimi odzivnimi standardi, pri čemer naj standardizacija zajame tako tehnični kot operativni vidik.</w:t>
            </w:r>
          </w:p>
        </w:tc>
      </w:tr>
      <w:tr w:rsidR="006321CE" w:rsidRPr="00D27DA9" w14:paraId="1C97CAAD" w14:textId="77777777" w:rsidTr="00CA0578">
        <w:trPr>
          <w:trHeight w:val="1907"/>
        </w:trPr>
        <w:tc>
          <w:tcPr>
            <w:tcW w:w="1394" w:type="dxa"/>
            <w:vAlign w:val="center"/>
          </w:tcPr>
          <w:p w14:paraId="21817599" w14:textId="77777777" w:rsidR="006321CE" w:rsidRPr="00D27DA9" w:rsidRDefault="00F15CD8" w:rsidP="00D362DB">
            <w:pPr>
              <w:rPr>
                <w:rFonts w:eastAsia="Calibri" w:cstheme="minorHAnsi"/>
                <w:b/>
                <w:lang w:val="sl-SI"/>
              </w:rPr>
            </w:pPr>
            <w:r w:rsidRPr="00D27DA9">
              <w:rPr>
                <w:rFonts w:eastAsia="Calibri" w:cstheme="minorHAnsi"/>
                <w:b/>
                <w:lang w:val="sl-SI"/>
              </w:rPr>
              <w:t>Zaveza 13</w:t>
            </w:r>
            <w:r w:rsidR="006321CE" w:rsidRPr="00D27DA9">
              <w:rPr>
                <w:rFonts w:eastAsia="Calibri" w:cstheme="minorHAnsi"/>
                <w:b/>
                <w:lang w:val="sl-SI"/>
              </w:rPr>
              <w:t>.2</w:t>
            </w:r>
          </w:p>
        </w:tc>
        <w:tc>
          <w:tcPr>
            <w:tcW w:w="3686" w:type="dxa"/>
            <w:vAlign w:val="center"/>
          </w:tcPr>
          <w:p w14:paraId="77F8E1A4" w14:textId="5D415C42" w:rsidR="00F90357" w:rsidRPr="00D27DA9" w:rsidRDefault="00F90357" w:rsidP="00E51346">
            <w:pPr>
              <w:autoSpaceDE w:val="0"/>
              <w:autoSpaceDN w:val="0"/>
              <w:adjustRightInd w:val="0"/>
              <w:jc w:val="both"/>
              <w:rPr>
                <w:rFonts w:cstheme="minorHAnsi"/>
                <w:iCs/>
                <w:lang w:val="sl-SI"/>
              </w:rPr>
            </w:pPr>
            <w:r w:rsidRPr="00D27DA9">
              <w:rPr>
                <w:rFonts w:cstheme="minorHAnsi"/>
                <w:iCs/>
                <w:lang w:val="sl-SI"/>
              </w:rPr>
              <w:t>Slovenija v celoti podpira razvoj</w:t>
            </w:r>
            <w:r w:rsidR="00E51346" w:rsidRPr="00D27DA9">
              <w:rPr>
                <w:rFonts w:cstheme="minorHAnsi"/>
                <w:iCs/>
                <w:lang w:val="sl-SI"/>
              </w:rPr>
              <w:t xml:space="preserve"> </w:t>
            </w:r>
            <w:r w:rsidRPr="00D27DA9">
              <w:rPr>
                <w:rFonts w:cstheme="minorHAnsi"/>
                <w:iCs/>
                <w:lang w:val="sl-SI"/>
              </w:rPr>
              <w:t>enotnih standardov, ki bodo</w:t>
            </w:r>
            <w:r w:rsidR="00E51346" w:rsidRPr="00D27DA9">
              <w:rPr>
                <w:rFonts w:cstheme="minorHAnsi"/>
                <w:iCs/>
                <w:lang w:val="sl-SI"/>
              </w:rPr>
              <w:t xml:space="preserve">  </w:t>
            </w:r>
            <w:r w:rsidRPr="00D27DA9">
              <w:rPr>
                <w:rFonts w:cstheme="minorHAnsi"/>
                <w:iCs/>
                <w:lang w:val="sl-SI"/>
              </w:rPr>
              <w:t>zagotavljali interoperabilnost z Natom.</w:t>
            </w:r>
          </w:p>
          <w:p w14:paraId="59572F5A" w14:textId="29B660E0" w:rsidR="00F90357" w:rsidRPr="00D27DA9" w:rsidRDefault="00F90357" w:rsidP="00E51346">
            <w:pPr>
              <w:autoSpaceDE w:val="0"/>
              <w:autoSpaceDN w:val="0"/>
              <w:adjustRightInd w:val="0"/>
              <w:jc w:val="both"/>
              <w:rPr>
                <w:rFonts w:cstheme="minorHAnsi"/>
                <w:iCs/>
                <w:lang w:val="sl-SI"/>
              </w:rPr>
            </w:pPr>
            <w:r w:rsidRPr="00D27DA9">
              <w:rPr>
                <w:rFonts w:cstheme="minorHAnsi"/>
                <w:iCs/>
                <w:lang w:val="sl-SI"/>
              </w:rPr>
              <w:t>Vse deklarirane zmogljivosti, tako za</w:t>
            </w:r>
            <w:r w:rsidR="00E51346" w:rsidRPr="00D27DA9">
              <w:rPr>
                <w:rFonts w:cstheme="minorHAnsi"/>
                <w:iCs/>
                <w:lang w:val="sl-SI"/>
              </w:rPr>
              <w:t xml:space="preserve"> </w:t>
            </w:r>
            <w:r w:rsidRPr="00D27DA9">
              <w:rPr>
                <w:rFonts w:cstheme="minorHAnsi"/>
                <w:iCs/>
                <w:lang w:val="sl-SI"/>
              </w:rPr>
              <w:t xml:space="preserve">EU kot Nato so certificirane skladno </w:t>
            </w:r>
            <w:r w:rsidR="00E51346" w:rsidRPr="00D27DA9">
              <w:rPr>
                <w:rFonts w:cstheme="minorHAnsi"/>
                <w:iCs/>
                <w:lang w:val="sl-SI"/>
              </w:rPr>
              <w:t>s</w:t>
            </w:r>
          </w:p>
          <w:p w14:paraId="00C07F7E" w14:textId="77777777" w:rsidR="00F90357" w:rsidRPr="00D27DA9" w:rsidRDefault="00F90357" w:rsidP="00E51346">
            <w:pPr>
              <w:autoSpaceDE w:val="0"/>
              <w:autoSpaceDN w:val="0"/>
              <w:adjustRightInd w:val="0"/>
              <w:jc w:val="both"/>
              <w:rPr>
                <w:rFonts w:cstheme="minorHAnsi"/>
                <w:iCs/>
                <w:lang w:val="sl-SI"/>
              </w:rPr>
            </w:pPr>
            <w:r w:rsidRPr="00D27DA9">
              <w:rPr>
                <w:rFonts w:cstheme="minorHAnsi"/>
                <w:iCs/>
                <w:lang w:val="sl-SI"/>
              </w:rPr>
              <w:t>standardi Nata. Posledično je Slovenija</w:t>
            </w:r>
          </w:p>
          <w:p w14:paraId="134812DC" w14:textId="641395F9" w:rsidR="00F90357" w:rsidRPr="00D27DA9" w:rsidRDefault="00F90357" w:rsidP="00E51346">
            <w:pPr>
              <w:autoSpaceDE w:val="0"/>
              <w:autoSpaceDN w:val="0"/>
              <w:adjustRightInd w:val="0"/>
              <w:jc w:val="both"/>
              <w:rPr>
                <w:rFonts w:cstheme="minorHAnsi"/>
                <w:iCs/>
                <w:lang w:val="sl-SI"/>
              </w:rPr>
            </w:pPr>
            <w:r w:rsidRPr="00D27DA9">
              <w:rPr>
                <w:rFonts w:cstheme="minorHAnsi"/>
                <w:iCs/>
                <w:lang w:val="sl-SI"/>
              </w:rPr>
              <w:t>zavezana k popolni standardizaciji</w:t>
            </w:r>
            <w:r w:rsidR="00E51346" w:rsidRPr="00D27DA9">
              <w:rPr>
                <w:rFonts w:cstheme="minorHAnsi"/>
                <w:iCs/>
                <w:lang w:val="sl-SI"/>
              </w:rPr>
              <w:t xml:space="preserve"> </w:t>
            </w:r>
            <w:r w:rsidRPr="00D27DA9">
              <w:rPr>
                <w:rFonts w:cstheme="minorHAnsi"/>
                <w:iCs/>
                <w:lang w:val="sl-SI"/>
              </w:rPr>
              <w:t>EUBG in pri tem nima nobenih</w:t>
            </w:r>
            <w:r w:rsidR="00E51346" w:rsidRPr="00D27DA9">
              <w:rPr>
                <w:rFonts w:cstheme="minorHAnsi"/>
                <w:iCs/>
                <w:lang w:val="sl-SI"/>
              </w:rPr>
              <w:t xml:space="preserve"> </w:t>
            </w:r>
            <w:r w:rsidRPr="00D27DA9">
              <w:rPr>
                <w:rFonts w:cstheme="minorHAnsi"/>
                <w:iCs/>
                <w:lang w:val="sl-SI"/>
              </w:rPr>
              <w:lastRenderedPageBreak/>
              <w:t xml:space="preserve">nacionalnih omejitev. Standardizacija se izvaja z uporabo </w:t>
            </w:r>
            <w:r w:rsidR="00E51346" w:rsidRPr="00D27DA9">
              <w:rPr>
                <w:rFonts w:cstheme="minorHAnsi"/>
                <w:iCs/>
                <w:lang w:val="sl-SI"/>
              </w:rPr>
              <w:t xml:space="preserve">portala </w:t>
            </w:r>
            <w:r w:rsidR="00307C98">
              <w:t>Natov urad za standardizacijo</w:t>
            </w:r>
            <w:r w:rsidR="00307C98" w:rsidRPr="00D27DA9" w:rsidDel="00307C98">
              <w:rPr>
                <w:rFonts w:cstheme="minorHAnsi"/>
                <w:iCs/>
                <w:lang w:val="sl-SI"/>
              </w:rPr>
              <w:t xml:space="preserve"> </w:t>
            </w:r>
            <w:r w:rsidRPr="00D27DA9">
              <w:rPr>
                <w:rFonts w:cstheme="minorHAnsi"/>
                <w:iCs/>
                <w:lang w:val="sl-SI"/>
              </w:rPr>
              <w:t>(Nato</w:t>
            </w:r>
          </w:p>
          <w:p w14:paraId="7098148B" w14:textId="40F779F6" w:rsidR="00F90357" w:rsidRPr="00D27DA9" w:rsidRDefault="00F90357" w:rsidP="00E51346">
            <w:pPr>
              <w:autoSpaceDE w:val="0"/>
              <w:autoSpaceDN w:val="0"/>
              <w:adjustRightInd w:val="0"/>
              <w:jc w:val="both"/>
              <w:rPr>
                <w:rFonts w:cstheme="minorHAnsi"/>
                <w:iCs/>
                <w:lang w:val="sl-SI"/>
              </w:rPr>
            </w:pPr>
            <w:r w:rsidRPr="00D27DA9">
              <w:rPr>
                <w:rFonts w:cstheme="minorHAnsi"/>
                <w:iCs/>
                <w:lang w:val="sl-SI"/>
              </w:rPr>
              <w:t>Standardisation Office – NSO),</w:t>
            </w:r>
            <w:r w:rsidR="00C03429" w:rsidRPr="00D27DA9">
              <w:rPr>
                <w:rFonts w:cstheme="minorHAnsi"/>
                <w:iCs/>
                <w:lang w:val="sl-SI"/>
              </w:rPr>
              <w:t xml:space="preserve"> </w:t>
            </w:r>
            <w:r w:rsidRPr="00D27DA9">
              <w:rPr>
                <w:rFonts w:cstheme="minorHAnsi"/>
                <w:iCs/>
                <w:lang w:val="sl-SI"/>
              </w:rPr>
              <w:t>Evropskega obrambnega</w:t>
            </w:r>
            <w:r w:rsidR="00C03429" w:rsidRPr="00D27DA9">
              <w:rPr>
                <w:rFonts w:cstheme="minorHAnsi"/>
                <w:iCs/>
                <w:lang w:val="sl-SI"/>
              </w:rPr>
              <w:t xml:space="preserve"> </w:t>
            </w:r>
            <w:r w:rsidRPr="00D27DA9">
              <w:rPr>
                <w:rFonts w:cstheme="minorHAnsi"/>
                <w:iCs/>
                <w:lang w:val="sl-SI"/>
              </w:rPr>
              <w:t>informacijskega sistema za</w:t>
            </w:r>
            <w:r w:rsidR="00C03429" w:rsidRPr="00D27DA9">
              <w:rPr>
                <w:rFonts w:cstheme="minorHAnsi"/>
                <w:iCs/>
                <w:lang w:val="sl-SI"/>
              </w:rPr>
              <w:t xml:space="preserve"> </w:t>
            </w:r>
            <w:r w:rsidRPr="00D27DA9">
              <w:rPr>
                <w:rFonts w:cstheme="minorHAnsi"/>
                <w:iCs/>
                <w:lang w:val="sl-SI"/>
              </w:rPr>
              <w:t>standardizacijo (European Defence</w:t>
            </w:r>
          </w:p>
          <w:p w14:paraId="15591135" w14:textId="77777777" w:rsidR="00F90357" w:rsidRPr="00D27DA9" w:rsidRDefault="00F90357" w:rsidP="00E51346">
            <w:pPr>
              <w:autoSpaceDE w:val="0"/>
              <w:autoSpaceDN w:val="0"/>
              <w:adjustRightInd w:val="0"/>
              <w:jc w:val="both"/>
              <w:rPr>
                <w:rFonts w:cstheme="minorHAnsi"/>
                <w:iCs/>
                <w:lang w:val="sl-SI"/>
              </w:rPr>
            </w:pPr>
            <w:r w:rsidRPr="00D27DA9">
              <w:rPr>
                <w:rFonts w:cstheme="minorHAnsi"/>
                <w:iCs/>
                <w:lang w:val="sl-SI"/>
              </w:rPr>
              <w:t>Standardisation Information System –</w:t>
            </w:r>
          </w:p>
          <w:p w14:paraId="14F5E9B6" w14:textId="77777777" w:rsidR="00F90357" w:rsidRPr="00D27DA9" w:rsidRDefault="00F90357" w:rsidP="00E51346">
            <w:pPr>
              <w:autoSpaceDE w:val="0"/>
              <w:autoSpaceDN w:val="0"/>
              <w:adjustRightInd w:val="0"/>
              <w:jc w:val="both"/>
              <w:rPr>
                <w:rFonts w:cstheme="minorHAnsi"/>
                <w:iCs/>
                <w:lang w:val="sl-SI"/>
              </w:rPr>
            </w:pPr>
            <w:r w:rsidRPr="00D27DA9">
              <w:rPr>
                <w:rFonts w:cstheme="minorHAnsi"/>
                <w:iCs/>
                <w:lang w:val="sl-SI"/>
              </w:rPr>
              <w:t>EDSIS) in Evropskega obrambnega</w:t>
            </w:r>
          </w:p>
          <w:p w14:paraId="4036A4B6" w14:textId="011F1E0B" w:rsidR="00F90357" w:rsidRPr="00D27DA9" w:rsidRDefault="00F90357" w:rsidP="00E51346">
            <w:pPr>
              <w:autoSpaceDE w:val="0"/>
              <w:autoSpaceDN w:val="0"/>
              <w:adjustRightInd w:val="0"/>
              <w:jc w:val="both"/>
              <w:rPr>
                <w:rFonts w:cstheme="minorHAnsi"/>
                <w:iCs/>
                <w:lang w:val="sl-SI"/>
              </w:rPr>
            </w:pPr>
            <w:r w:rsidRPr="00D27DA9">
              <w:rPr>
                <w:rFonts w:cstheme="minorHAnsi"/>
                <w:iCs/>
                <w:lang w:val="sl-SI"/>
              </w:rPr>
              <w:t>referenčnega sistema za</w:t>
            </w:r>
            <w:r w:rsidR="00C03429" w:rsidRPr="00D27DA9">
              <w:rPr>
                <w:rFonts w:cstheme="minorHAnsi"/>
                <w:iCs/>
                <w:lang w:val="sl-SI"/>
              </w:rPr>
              <w:t xml:space="preserve"> </w:t>
            </w:r>
            <w:r w:rsidRPr="00D27DA9">
              <w:rPr>
                <w:rFonts w:cstheme="minorHAnsi"/>
                <w:iCs/>
                <w:lang w:val="sl-SI"/>
              </w:rPr>
              <w:t>standardizacijo (European Defence</w:t>
            </w:r>
          </w:p>
          <w:p w14:paraId="52E21530" w14:textId="082241A1" w:rsidR="00F90357" w:rsidRPr="00D27DA9" w:rsidRDefault="00F90357" w:rsidP="00E51346">
            <w:pPr>
              <w:autoSpaceDE w:val="0"/>
              <w:autoSpaceDN w:val="0"/>
              <w:adjustRightInd w:val="0"/>
              <w:jc w:val="both"/>
              <w:rPr>
                <w:rFonts w:cstheme="minorHAnsi"/>
                <w:iCs/>
                <w:lang w:val="sl-SI"/>
              </w:rPr>
            </w:pPr>
            <w:r w:rsidRPr="00D27DA9">
              <w:rPr>
                <w:rFonts w:cstheme="minorHAnsi"/>
                <w:iCs/>
                <w:lang w:val="sl-SI"/>
              </w:rPr>
              <w:t>Standards Reference System –</w:t>
            </w:r>
            <w:r w:rsidR="00C03429" w:rsidRPr="00D27DA9">
              <w:rPr>
                <w:rFonts w:cstheme="minorHAnsi"/>
                <w:iCs/>
                <w:lang w:val="sl-SI"/>
              </w:rPr>
              <w:t xml:space="preserve"> </w:t>
            </w:r>
            <w:r w:rsidRPr="00D27DA9">
              <w:rPr>
                <w:rFonts w:cstheme="minorHAnsi"/>
                <w:iCs/>
                <w:lang w:val="sl-SI"/>
              </w:rPr>
              <w:t>EDSTAR). Standardi se redno</w:t>
            </w:r>
            <w:r w:rsidR="00C03429" w:rsidRPr="00D27DA9">
              <w:rPr>
                <w:rFonts w:cstheme="minorHAnsi"/>
                <w:iCs/>
                <w:lang w:val="sl-SI"/>
              </w:rPr>
              <w:t xml:space="preserve"> </w:t>
            </w:r>
            <w:r w:rsidRPr="00D27DA9">
              <w:rPr>
                <w:rFonts w:cstheme="minorHAnsi"/>
                <w:iCs/>
                <w:lang w:val="sl-SI"/>
              </w:rPr>
              <w:t>implementirajo in distribuirajo vsem</w:t>
            </w:r>
          </w:p>
          <w:p w14:paraId="726D1742" w14:textId="4653A4EF" w:rsidR="006321CE" w:rsidRPr="00D27DA9" w:rsidRDefault="00F90357" w:rsidP="00E51346">
            <w:pPr>
              <w:jc w:val="both"/>
              <w:rPr>
                <w:rFonts w:cstheme="minorHAnsi"/>
                <w:lang w:val="sl-SI"/>
              </w:rPr>
            </w:pPr>
            <w:r w:rsidRPr="00D27DA9">
              <w:rPr>
                <w:rFonts w:cstheme="minorHAnsi"/>
                <w:iCs/>
                <w:lang w:val="sl-SI"/>
              </w:rPr>
              <w:t>strukturam.</w:t>
            </w:r>
          </w:p>
        </w:tc>
        <w:tc>
          <w:tcPr>
            <w:tcW w:w="4110" w:type="dxa"/>
            <w:vAlign w:val="center"/>
          </w:tcPr>
          <w:p w14:paraId="5E223BE1" w14:textId="3D635A7A" w:rsidR="006321CE" w:rsidRPr="00D27DA9" w:rsidRDefault="00F90357" w:rsidP="009B633B">
            <w:pPr>
              <w:autoSpaceDE w:val="0"/>
              <w:autoSpaceDN w:val="0"/>
              <w:adjustRightInd w:val="0"/>
              <w:jc w:val="both"/>
              <w:rPr>
                <w:rFonts w:cstheme="minorHAnsi"/>
                <w:lang w:val="sl-SI"/>
              </w:rPr>
            </w:pPr>
            <w:r w:rsidRPr="00D27DA9">
              <w:rPr>
                <w:rFonts w:cstheme="minorHAnsi"/>
                <w:iCs/>
                <w:lang w:val="sl-SI"/>
              </w:rPr>
              <w:lastRenderedPageBreak/>
              <w:t>Slovenija v celoti podpira enotne tehnične in</w:t>
            </w:r>
            <w:r w:rsidR="00C03429" w:rsidRPr="00D27DA9">
              <w:rPr>
                <w:rFonts w:cstheme="minorHAnsi"/>
                <w:iCs/>
                <w:lang w:val="sl-SI"/>
              </w:rPr>
              <w:t xml:space="preserve"> </w:t>
            </w:r>
            <w:r w:rsidRPr="00D27DA9">
              <w:rPr>
                <w:rFonts w:cstheme="minorHAnsi"/>
                <w:iCs/>
                <w:lang w:val="sl-SI"/>
              </w:rPr>
              <w:t>operativne standarde za zagotavljanje</w:t>
            </w:r>
            <w:r w:rsidR="00C03429" w:rsidRPr="00D27DA9">
              <w:rPr>
                <w:rFonts w:cstheme="minorHAnsi"/>
                <w:iCs/>
                <w:lang w:val="sl-SI"/>
              </w:rPr>
              <w:t xml:space="preserve"> </w:t>
            </w:r>
            <w:r w:rsidRPr="00D27DA9">
              <w:rPr>
                <w:rFonts w:cstheme="minorHAnsi"/>
                <w:iCs/>
                <w:lang w:val="sl-SI"/>
              </w:rPr>
              <w:t>medsebojne interoperabilnosti ter</w:t>
            </w:r>
            <w:r w:rsidR="009B633B" w:rsidRPr="00D27DA9">
              <w:rPr>
                <w:rFonts w:cstheme="minorHAnsi"/>
                <w:iCs/>
                <w:lang w:val="sl-SI"/>
              </w:rPr>
              <w:t xml:space="preserve"> </w:t>
            </w:r>
            <w:r w:rsidRPr="00D27DA9">
              <w:rPr>
                <w:rFonts w:cstheme="minorHAnsi"/>
                <w:iCs/>
                <w:lang w:val="sl-SI"/>
              </w:rPr>
              <w:t>interoperabilnosti z Natom.</w:t>
            </w:r>
          </w:p>
        </w:tc>
        <w:tc>
          <w:tcPr>
            <w:tcW w:w="4253" w:type="dxa"/>
            <w:shd w:val="clear" w:color="auto" w:fill="FFFFFF" w:themeFill="background1"/>
            <w:vAlign w:val="center"/>
          </w:tcPr>
          <w:p w14:paraId="3E478092" w14:textId="1216BDEE" w:rsidR="00F90357" w:rsidRPr="00D27DA9" w:rsidRDefault="00F90357" w:rsidP="009B633B">
            <w:pPr>
              <w:autoSpaceDE w:val="0"/>
              <w:autoSpaceDN w:val="0"/>
              <w:adjustRightInd w:val="0"/>
              <w:jc w:val="both"/>
              <w:rPr>
                <w:rFonts w:cstheme="minorHAnsi"/>
                <w:iCs/>
                <w:lang w:val="sl-SI"/>
              </w:rPr>
            </w:pPr>
            <w:r w:rsidRPr="00D27DA9">
              <w:rPr>
                <w:rFonts w:cstheme="minorHAnsi"/>
                <w:iCs/>
                <w:lang w:val="sl-SI"/>
              </w:rPr>
              <w:t>Slovenija bo tudi v prihodnje podpirala enotne</w:t>
            </w:r>
            <w:r w:rsidR="00C03429" w:rsidRPr="00D27DA9">
              <w:rPr>
                <w:rFonts w:cstheme="minorHAnsi"/>
                <w:iCs/>
                <w:lang w:val="sl-SI"/>
              </w:rPr>
              <w:t xml:space="preserve"> </w:t>
            </w:r>
            <w:r w:rsidRPr="00D27DA9">
              <w:rPr>
                <w:rFonts w:cstheme="minorHAnsi"/>
                <w:iCs/>
                <w:lang w:val="sl-SI"/>
              </w:rPr>
              <w:t>tehnične in operativne standarde za</w:t>
            </w:r>
          </w:p>
          <w:p w14:paraId="581C3170" w14:textId="77777777" w:rsidR="00F90357" w:rsidRPr="00D27DA9" w:rsidRDefault="00F90357" w:rsidP="009B633B">
            <w:pPr>
              <w:autoSpaceDE w:val="0"/>
              <w:autoSpaceDN w:val="0"/>
              <w:adjustRightInd w:val="0"/>
              <w:jc w:val="both"/>
              <w:rPr>
                <w:rFonts w:cstheme="minorHAnsi"/>
                <w:iCs/>
                <w:lang w:val="sl-SI"/>
              </w:rPr>
            </w:pPr>
            <w:r w:rsidRPr="00D27DA9">
              <w:rPr>
                <w:rFonts w:cstheme="minorHAnsi"/>
                <w:iCs/>
                <w:lang w:val="sl-SI"/>
              </w:rPr>
              <w:t>zagotavljanje medsebojne interoperabilnosti</w:t>
            </w:r>
          </w:p>
          <w:p w14:paraId="62601F25" w14:textId="0D1079E3" w:rsidR="006321CE" w:rsidRPr="00D27DA9" w:rsidRDefault="00C03429" w:rsidP="009B633B">
            <w:pPr>
              <w:jc w:val="both"/>
              <w:rPr>
                <w:rFonts w:cstheme="minorHAnsi"/>
                <w:lang w:val="sl-SI"/>
              </w:rPr>
            </w:pPr>
            <w:r w:rsidRPr="00D27DA9">
              <w:rPr>
                <w:rFonts w:cstheme="minorHAnsi"/>
                <w:iCs/>
                <w:lang w:val="sl-SI"/>
              </w:rPr>
              <w:t>ter</w:t>
            </w:r>
            <w:r w:rsidR="00F90357" w:rsidRPr="00D27DA9">
              <w:rPr>
                <w:rFonts w:cstheme="minorHAnsi"/>
                <w:iCs/>
                <w:lang w:val="sl-SI"/>
              </w:rPr>
              <w:t xml:space="preserve"> interoperabilnosti z Natom.</w:t>
            </w:r>
          </w:p>
        </w:tc>
      </w:tr>
      <w:tr w:rsidR="00B047DE" w:rsidRPr="00D27DA9" w14:paraId="4DA13647" w14:textId="77777777" w:rsidTr="007F1A94">
        <w:trPr>
          <w:trHeight w:val="5690"/>
        </w:trPr>
        <w:tc>
          <w:tcPr>
            <w:tcW w:w="1394" w:type="dxa"/>
            <w:vAlign w:val="center"/>
          </w:tcPr>
          <w:p w14:paraId="06470879" w14:textId="77777777" w:rsidR="00B047DE" w:rsidRPr="00D27DA9" w:rsidRDefault="00B047DE" w:rsidP="00B047DE">
            <w:pPr>
              <w:rPr>
                <w:rFonts w:eastAsia="Calibri" w:cstheme="minorHAnsi"/>
                <w:b/>
                <w:lang w:val="sl-SI"/>
              </w:rPr>
            </w:pPr>
            <w:r w:rsidRPr="00D27DA9">
              <w:rPr>
                <w:rFonts w:eastAsia="Calibri" w:cstheme="minorHAnsi"/>
                <w:b/>
                <w:lang w:val="sl-SI"/>
              </w:rPr>
              <w:lastRenderedPageBreak/>
              <w:t>Zaveza 13.3</w:t>
            </w:r>
          </w:p>
        </w:tc>
        <w:tc>
          <w:tcPr>
            <w:tcW w:w="3686" w:type="dxa"/>
            <w:vAlign w:val="center"/>
          </w:tcPr>
          <w:p w14:paraId="4717DC93" w14:textId="616D37E2" w:rsidR="00B047DE" w:rsidRPr="00D27DA9" w:rsidRDefault="00B047DE" w:rsidP="00C03429">
            <w:pPr>
              <w:jc w:val="both"/>
              <w:rPr>
                <w:rFonts w:cstheme="minorHAnsi"/>
                <w:lang w:val="sl-SI"/>
              </w:rPr>
            </w:pPr>
            <w:r w:rsidRPr="00D27DA9">
              <w:rPr>
                <w:rFonts w:cstheme="minorHAnsi"/>
                <w:lang w:val="sl-SI"/>
              </w:rPr>
              <w:t xml:space="preserve">Slovenija je aktivna pridružena članica v pobudi Usklajevanja premikov v osrednji Evropi (Movement </w:t>
            </w:r>
            <w:r w:rsidR="00C03429" w:rsidRPr="00D27DA9">
              <w:rPr>
                <w:rFonts w:cstheme="minorHAnsi"/>
                <w:lang w:val="sl-SI"/>
              </w:rPr>
              <w:t>C</w:t>
            </w:r>
            <w:r w:rsidRPr="00D27DA9">
              <w:rPr>
                <w:rFonts w:cstheme="minorHAnsi"/>
                <w:lang w:val="sl-SI"/>
              </w:rPr>
              <w:t>oordination Centre Europe - MCCE), prek katere sodeluje v iniciativi</w:t>
            </w:r>
            <w:r w:rsidRPr="00D27DA9">
              <w:rPr>
                <w:rFonts w:cstheme="minorHAnsi"/>
                <w:strike/>
                <w:lang w:val="sl-SI"/>
              </w:rPr>
              <w:t xml:space="preserve"> </w:t>
            </w:r>
            <w:r w:rsidRPr="00D27DA9">
              <w:rPr>
                <w:rFonts w:cstheme="minorHAnsi"/>
                <w:lang w:val="sl-SI"/>
              </w:rPr>
              <w:t>zagotavljanja in izmenjave zmogljivosti zračnega transporta ter prečrpavanja goriva v zraku (Air Transport and Air to Air Refueling Exchange of Services - ATARES). Slovenija v program ATARES prispeva oz. ponuja zmogljivosti zračnega transporta (ure letenja iz iniciativ SAC in SALIS) ter lastne letalske zmogljivosti (Falcon in He AS532L Cougar).</w:t>
            </w:r>
          </w:p>
          <w:p w14:paraId="7975BFD3" w14:textId="6739F118" w:rsidR="00B047DE" w:rsidRPr="00D27DA9" w:rsidRDefault="00B047DE" w:rsidP="00C03429">
            <w:pPr>
              <w:jc w:val="both"/>
              <w:rPr>
                <w:rFonts w:cstheme="minorHAnsi"/>
                <w:lang w:val="sl-SI"/>
              </w:rPr>
            </w:pPr>
          </w:p>
          <w:p w14:paraId="5DC79213" w14:textId="70114066" w:rsidR="00B047DE" w:rsidRPr="00D27DA9" w:rsidRDefault="00B047DE" w:rsidP="00C03429">
            <w:pPr>
              <w:jc w:val="both"/>
              <w:rPr>
                <w:rFonts w:cstheme="minorHAnsi"/>
                <w:lang w:val="sl-SI"/>
              </w:rPr>
            </w:pPr>
            <w:r w:rsidRPr="00D27DA9">
              <w:rPr>
                <w:rFonts w:cstheme="minorHAnsi"/>
                <w:lang w:val="sl-SI"/>
              </w:rPr>
              <w:t>Konec leta 2020 je Slovenija podala vlogo za pridružitev tudi k iniciativi izmenjave storitev v kopenskem in pomorskem transportu (Surface Exchange of</w:t>
            </w:r>
            <w:r w:rsidR="00C03429" w:rsidRPr="00D27DA9">
              <w:rPr>
                <w:rFonts w:cstheme="minorHAnsi"/>
                <w:lang w:val="sl-SI"/>
              </w:rPr>
              <w:t xml:space="preserve"> Services - SEOS) znotraj MCCE.</w:t>
            </w:r>
          </w:p>
        </w:tc>
        <w:tc>
          <w:tcPr>
            <w:tcW w:w="4110" w:type="dxa"/>
            <w:vAlign w:val="center"/>
          </w:tcPr>
          <w:p w14:paraId="54EA1D1B" w14:textId="77777777" w:rsidR="00B047DE" w:rsidRPr="00D27DA9" w:rsidRDefault="00B047DE" w:rsidP="00C03429">
            <w:pPr>
              <w:jc w:val="both"/>
              <w:rPr>
                <w:rFonts w:cstheme="minorHAnsi"/>
                <w:lang w:val="sl-SI"/>
              </w:rPr>
            </w:pPr>
            <w:r w:rsidRPr="00D27DA9">
              <w:rPr>
                <w:rFonts w:cstheme="minorHAnsi"/>
                <w:lang w:val="sl-SI"/>
              </w:rPr>
              <w:t xml:space="preserve">Nadaljevalo se bo sodelovanje v okviru pobude MCCE. Po pridružitvi k iniciativi SEOS je predvideno prispevanje kopenskih transportnih zmogljivosti </w:t>
            </w:r>
          </w:p>
          <w:p w14:paraId="16AFCC34" w14:textId="77777777" w:rsidR="001B070E" w:rsidRPr="00D27DA9" w:rsidRDefault="001B070E" w:rsidP="00C03429">
            <w:pPr>
              <w:jc w:val="both"/>
              <w:rPr>
                <w:rFonts w:cstheme="minorHAnsi"/>
                <w:lang w:val="sl-SI"/>
              </w:rPr>
            </w:pPr>
          </w:p>
          <w:p w14:paraId="5B97CA22" w14:textId="63BB1A23" w:rsidR="001B070E" w:rsidRPr="00D27DA9" w:rsidRDefault="001B070E" w:rsidP="00C03429">
            <w:pPr>
              <w:autoSpaceDE w:val="0"/>
              <w:autoSpaceDN w:val="0"/>
              <w:adjustRightInd w:val="0"/>
              <w:jc w:val="both"/>
              <w:rPr>
                <w:rFonts w:cstheme="minorHAnsi"/>
                <w:iCs/>
                <w:lang w:val="sl-SI"/>
              </w:rPr>
            </w:pPr>
            <w:r w:rsidRPr="00D27DA9">
              <w:rPr>
                <w:rFonts w:cstheme="minorHAnsi"/>
                <w:iCs/>
                <w:lang w:val="sl-SI"/>
              </w:rPr>
              <w:t>V letu 202</w:t>
            </w:r>
            <w:r w:rsidR="00861A87">
              <w:rPr>
                <w:rFonts w:cstheme="minorHAnsi"/>
                <w:iCs/>
                <w:lang w:val="sl-SI"/>
              </w:rPr>
              <w:t>1</w:t>
            </w:r>
            <w:r w:rsidRPr="00D27DA9">
              <w:rPr>
                <w:rFonts w:cstheme="minorHAnsi"/>
                <w:iCs/>
                <w:lang w:val="sl-SI"/>
              </w:rPr>
              <w:t xml:space="preserve"> bo Slovenija še naprej</w:t>
            </w:r>
            <w:r w:rsidR="00C03429" w:rsidRPr="00D27DA9">
              <w:rPr>
                <w:rFonts w:cstheme="minorHAnsi"/>
                <w:iCs/>
                <w:lang w:val="sl-SI"/>
              </w:rPr>
              <w:t xml:space="preserve"> </w:t>
            </w:r>
            <w:r w:rsidRPr="00D27DA9">
              <w:rPr>
                <w:rFonts w:cstheme="minorHAnsi"/>
                <w:iCs/>
                <w:lang w:val="sl-SI"/>
              </w:rPr>
              <w:t>sodelovala v pobudi Usklajevanja premikov</w:t>
            </w:r>
          </w:p>
          <w:p w14:paraId="193FE811" w14:textId="6AC5F402" w:rsidR="001B070E" w:rsidRPr="00D27DA9" w:rsidRDefault="001B070E" w:rsidP="007F1A94">
            <w:pPr>
              <w:autoSpaceDE w:val="0"/>
              <w:autoSpaceDN w:val="0"/>
              <w:adjustRightInd w:val="0"/>
              <w:jc w:val="both"/>
              <w:rPr>
                <w:rFonts w:cstheme="minorHAnsi"/>
                <w:lang w:val="sl-SI"/>
              </w:rPr>
            </w:pPr>
            <w:r w:rsidRPr="00D27DA9">
              <w:rPr>
                <w:rFonts w:cstheme="minorHAnsi"/>
                <w:iCs/>
                <w:lang w:val="sl-SI"/>
              </w:rPr>
              <w:t xml:space="preserve">v osrednji Evropi (MCCE/ATARES). </w:t>
            </w:r>
          </w:p>
        </w:tc>
        <w:tc>
          <w:tcPr>
            <w:tcW w:w="4253" w:type="dxa"/>
            <w:shd w:val="clear" w:color="auto" w:fill="FFFFFF" w:themeFill="background1"/>
            <w:vAlign w:val="center"/>
          </w:tcPr>
          <w:p w14:paraId="4AA43B51" w14:textId="77777777" w:rsidR="00B047DE" w:rsidRPr="00D27DA9" w:rsidRDefault="00B047DE" w:rsidP="00C03429">
            <w:pPr>
              <w:jc w:val="both"/>
              <w:rPr>
                <w:rFonts w:cstheme="minorHAnsi"/>
                <w:lang w:val="sl-SI"/>
              </w:rPr>
            </w:pPr>
            <w:r w:rsidRPr="00D27DA9">
              <w:rPr>
                <w:rFonts w:cstheme="minorHAnsi"/>
                <w:lang w:val="sl-SI"/>
              </w:rPr>
              <w:t>Skladno z interesi, potrebami, obveznostmi in možnostmi si bo Slovenija tudi v prihodnje prizadevala za krepitev prispevka znotraj večnacionalnih struktur. Pri tem bo upoštevano načelo enotnega nabora sil.</w:t>
            </w:r>
          </w:p>
          <w:p w14:paraId="49312852" w14:textId="77777777" w:rsidR="001B070E" w:rsidRPr="00D27DA9" w:rsidRDefault="001B070E" w:rsidP="00C03429">
            <w:pPr>
              <w:jc w:val="both"/>
              <w:rPr>
                <w:rFonts w:cstheme="minorHAnsi"/>
                <w:lang w:val="sl-SI"/>
              </w:rPr>
            </w:pPr>
          </w:p>
          <w:p w14:paraId="43B68F38" w14:textId="784AAA35" w:rsidR="001B070E" w:rsidRPr="00D27DA9" w:rsidRDefault="001B070E" w:rsidP="00C03429">
            <w:pPr>
              <w:autoSpaceDE w:val="0"/>
              <w:autoSpaceDN w:val="0"/>
              <w:adjustRightInd w:val="0"/>
              <w:jc w:val="both"/>
              <w:rPr>
                <w:rFonts w:cstheme="minorHAnsi"/>
                <w:lang w:val="sl-SI"/>
              </w:rPr>
            </w:pPr>
          </w:p>
        </w:tc>
      </w:tr>
    </w:tbl>
    <w:p w14:paraId="713A842E" w14:textId="77777777" w:rsidR="00C335D2" w:rsidRPr="00D27DA9" w:rsidRDefault="00C335D2" w:rsidP="0020179A">
      <w:pPr>
        <w:spacing w:after="0"/>
        <w:rPr>
          <w:rFonts w:cstheme="minorHAnsi"/>
          <w:b/>
        </w:rPr>
      </w:pPr>
    </w:p>
    <w:p w14:paraId="7A1A81BA" w14:textId="77777777" w:rsidR="0080648A" w:rsidRPr="00D27DA9" w:rsidRDefault="0080648A">
      <w:pPr>
        <w:rPr>
          <w:rFonts w:cstheme="minorHAnsi"/>
          <w:b/>
        </w:rPr>
      </w:pPr>
      <w:r w:rsidRPr="00D27DA9">
        <w:rPr>
          <w:rFonts w:cstheme="minorHAnsi"/>
          <w:b/>
        </w:rPr>
        <w:br w:type="page"/>
      </w:r>
    </w:p>
    <w:p w14:paraId="43D09429" w14:textId="26CBF8F4" w:rsidR="00597921" w:rsidRPr="00D27DA9" w:rsidRDefault="00597921" w:rsidP="00597921">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cstheme="minorHAnsi"/>
          <w:b/>
        </w:rPr>
      </w:pPr>
      <w:r w:rsidRPr="00D27DA9">
        <w:rPr>
          <w:rFonts w:cstheme="minorHAnsi"/>
          <w:b/>
        </w:rPr>
        <w:lastRenderedPageBreak/>
        <w:t xml:space="preserve">Zaveza 14: </w:t>
      </w:r>
      <w:r w:rsidR="00A11185" w:rsidRPr="00D27DA9">
        <w:rPr>
          <w:rFonts w:cstheme="minorHAnsi"/>
        </w:rPr>
        <w:t>P</w:t>
      </w:r>
      <w:r w:rsidR="006710A7" w:rsidRPr="00D27DA9">
        <w:rPr>
          <w:rFonts w:cstheme="minorHAnsi"/>
        </w:rPr>
        <w:t>rizadevale za ambiciozen pristop k skupnemu financiranju vojaških operacij in misij v okviru SVOP, kar bo opredeljeno kot skupni stroški v skladu s sklepom Sveta o Atheni</w:t>
      </w:r>
      <w:r w:rsidRPr="00D27DA9">
        <w:rPr>
          <w:rFonts w:cstheme="minorHAnsi"/>
          <w:b/>
        </w:rPr>
        <w:t xml:space="preserve">. </w:t>
      </w:r>
    </w:p>
    <w:p w14:paraId="0500A609" w14:textId="77777777" w:rsidR="00597921" w:rsidRPr="00D27DA9" w:rsidRDefault="00597921" w:rsidP="00597921">
      <w:pPr>
        <w:spacing w:after="0"/>
        <w:rPr>
          <w:rFonts w:cstheme="minorHAnsi"/>
        </w:rPr>
      </w:pPr>
    </w:p>
    <w:tbl>
      <w:tblPr>
        <w:tblStyle w:val="Tabelamrea"/>
        <w:tblW w:w="13839"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1790"/>
        <w:gridCol w:w="3686"/>
        <w:gridCol w:w="4110"/>
        <w:gridCol w:w="4253"/>
      </w:tblGrid>
      <w:tr w:rsidR="00597921" w:rsidRPr="00D27DA9" w14:paraId="5291214F" w14:textId="77777777" w:rsidTr="005F792D">
        <w:trPr>
          <w:trHeight w:val="359"/>
        </w:trPr>
        <w:tc>
          <w:tcPr>
            <w:tcW w:w="1790" w:type="dxa"/>
            <w:shd w:val="clear" w:color="auto" w:fill="F2F2F2" w:themeFill="background1" w:themeFillShade="F2"/>
            <w:vAlign w:val="center"/>
          </w:tcPr>
          <w:p w14:paraId="04EE653D" w14:textId="77777777" w:rsidR="00597921" w:rsidRPr="00D27DA9" w:rsidRDefault="00597921" w:rsidP="00D362DB">
            <w:pPr>
              <w:jc w:val="center"/>
              <w:rPr>
                <w:rFonts w:eastAsia="Calibri" w:cstheme="minorHAnsi"/>
                <w:b/>
                <w:bCs/>
                <w:lang w:val="sl-SI"/>
              </w:rPr>
            </w:pPr>
          </w:p>
        </w:tc>
        <w:tc>
          <w:tcPr>
            <w:tcW w:w="3686" w:type="dxa"/>
            <w:shd w:val="clear" w:color="auto" w:fill="F2F2F2" w:themeFill="background1" w:themeFillShade="F2"/>
            <w:vAlign w:val="center"/>
          </w:tcPr>
          <w:p w14:paraId="48AE90F4" w14:textId="70E6A9F4" w:rsidR="00597921" w:rsidRPr="00D27DA9" w:rsidRDefault="00BE0FBA" w:rsidP="00D362DB">
            <w:pPr>
              <w:jc w:val="center"/>
              <w:rPr>
                <w:rFonts w:eastAsia="Calibri" w:cstheme="minorHAnsi"/>
                <w:b/>
                <w:bCs/>
                <w:lang w:val="sl-SI"/>
              </w:rPr>
            </w:pPr>
            <w:r w:rsidRPr="00D27DA9">
              <w:rPr>
                <w:rFonts w:eastAsia="Calibri" w:cstheme="minorHAnsi"/>
                <w:b/>
                <w:bCs/>
                <w:lang w:val="sl-SI"/>
              </w:rPr>
              <w:t>2020</w:t>
            </w:r>
            <w:r w:rsidR="00597921" w:rsidRPr="00D27DA9">
              <w:rPr>
                <w:rFonts w:eastAsia="Calibri" w:cstheme="minorHAnsi"/>
                <w:b/>
                <w:bCs/>
                <w:lang w:val="sl-SI"/>
              </w:rPr>
              <w:t xml:space="preserve"> </w:t>
            </w:r>
          </w:p>
          <w:p w14:paraId="6BFBB887" w14:textId="77777777" w:rsidR="00597921" w:rsidRPr="00D27DA9" w:rsidRDefault="00597921" w:rsidP="00D362DB">
            <w:pPr>
              <w:jc w:val="center"/>
              <w:rPr>
                <w:rFonts w:eastAsia="Calibri" w:cstheme="minorHAnsi"/>
                <w:b/>
                <w:bCs/>
                <w:lang w:val="sl-SI"/>
              </w:rPr>
            </w:pPr>
            <w:r w:rsidRPr="00D27DA9">
              <w:rPr>
                <w:rFonts w:eastAsia="Calibri" w:cstheme="minorHAnsi"/>
                <w:b/>
                <w:bCs/>
                <w:lang w:val="sl-SI"/>
              </w:rPr>
              <w:t>(samoocena)</w:t>
            </w:r>
          </w:p>
        </w:tc>
        <w:tc>
          <w:tcPr>
            <w:tcW w:w="4110" w:type="dxa"/>
            <w:shd w:val="clear" w:color="auto" w:fill="F2F2F2" w:themeFill="background1" w:themeFillShade="F2"/>
            <w:vAlign w:val="center"/>
          </w:tcPr>
          <w:p w14:paraId="32E315B8" w14:textId="76507392" w:rsidR="00597921" w:rsidRPr="00D27DA9" w:rsidRDefault="00BE0FBA" w:rsidP="00D362DB">
            <w:pPr>
              <w:jc w:val="center"/>
              <w:rPr>
                <w:rFonts w:eastAsia="Calibri" w:cstheme="minorHAnsi"/>
                <w:b/>
                <w:bCs/>
                <w:lang w:val="sl-SI"/>
              </w:rPr>
            </w:pPr>
            <w:r w:rsidRPr="00D27DA9">
              <w:rPr>
                <w:rFonts w:eastAsia="Calibri" w:cstheme="minorHAnsi"/>
                <w:b/>
                <w:bCs/>
                <w:lang w:val="sl-SI"/>
              </w:rPr>
              <w:t>2021</w:t>
            </w:r>
            <w:r w:rsidR="00597921" w:rsidRPr="00D27DA9">
              <w:rPr>
                <w:rFonts w:eastAsia="Calibri" w:cstheme="minorHAnsi"/>
                <w:b/>
                <w:bCs/>
                <w:lang w:val="sl-SI"/>
              </w:rPr>
              <w:t xml:space="preserve"> </w:t>
            </w:r>
          </w:p>
          <w:p w14:paraId="4CC5054A" w14:textId="77777777" w:rsidR="00597921" w:rsidRPr="00D27DA9" w:rsidRDefault="00597921" w:rsidP="00D362DB">
            <w:pPr>
              <w:jc w:val="center"/>
              <w:rPr>
                <w:rFonts w:eastAsia="Calibri" w:cstheme="minorHAnsi"/>
                <w:b/>
                <w:lang w:val="sl-SI"/>
              </w:rPr>
            </w:pPr>
            <w:r w:rsidRPr="00D27DA9">
              <w:rPr>
                <w:rFonts w:eastAsia="Calibri" w:cstheme="minorHAnsi"/>
                <w:b/>
                <w:bCs/>
                <w:lang w:val="sl-SI"/>
              </w:rPr>
              <w:t>(predvideno)</w:t>
            </w:r>
          </w:p>
        </w:tc>
        <w:tc>
          <w:tcPr>
            <w:tcW w:w="4253" w:type="dxa"/>
            <w:shd w:val="clear" w:color="auto" w:fill="F2F2F2" w:themeFill="background1" w:themeFillShade="F2"/>
            <w:vAlign w:val="center"/>
          </w:tcPr>
          <w:p w14:paraId="3D68D2BB" w14:textId="31D1587F" w:rsidR="00597921" w:rsidRPr="00D27DA9" w:rsidRDefault="00BE0FBA" w:rsidP="00D362DB">
            <w:pPr>
              <w:jc w:val="center"/>
              <w:rPr>
                <w:rFonts w:eastAsia="Calibri" w:cstheme="minorHAnsi"/>
                <w:b/>
                <w:bCs/>
                <w:lang w:val="sl-SI"/>
              </w:rPr>
            </w:pPr>
            <w:r w:rsidRPr="00D27DA9">
              <w:rPr>
                <w:rFonts w:eastAsia="Calibri" w:cstheme="minorHAnsi"/>
                <w:b/>
                <w:bCs/>
                <w:lang w:val="sl-SI"/>
              </w:rPr>
              <w:t>2022</w:t>
            </w:r>
            <w:r w:rsidR="00597921" w:rsidRPr="00D27DA9">
              <w:rPr>
                <w:rFonts w:eastAsia="Calibri" w:cstheme="minorHAnsi"/>
                <w:b/>
                <w:bCs/>
                <w:lang w:val="sl-SI"/>
              </w:rPr>
              <w:t xml:space="preserve">-2025 </w:t>
            </w:r>
          </w:p>
          <w:p w14:paraId="79692A85" w14:textId="77777777" w:rsidR="00597921" w:rsidRPr="00D27DA9" w:rsidRDefault="00597921" w:rsidP="00D362DB">
            <w:pPr>
              <w:jc w:val="center"/>
              <w:rPr>
                <w:rFonts w:eastAsia="Calibri" w:cstheme="minorHAnsi"/>
                <w:b/>
                <w:lang w:val="sl-SI"/>
              </w:rPr>
            </w:pPr>
            <w:r w:rsidRPr="00D27DA9">
              <w:rPr>
                <w:rFonts w:eastAsia="Calibri" w:cstheme="minorHAnsi"/>
                <w:b/>
                <w:bCs/>
                <w:lang w:val="sl-SI"/>
              </w:rPr>
              <w:t>(predvideno)</w:t>
            </w:r>
          </w:p>
        </w:tc>
      </w:tr>
      <w:tr w:rsidR="00597921" w:rsidRPr="00D27DA9" w14:paraId="7223B0FF" w14:textId="77777777" w:rsidTr="005F792D">
        <w:trPr>
          <w:trHeight w:val="3883"/>
        </w:trPr>
        <w:tc>
          <w:tcPr>
            <w:tcW w:w="1790" w:type="dxa"/>
            <w:vAlign w:val="center"/>
          </w:tcPr>
          <w:p w14:paraId="24B7AA3E" w14:textId="77777777" w:rsidR="00597921" w:rsidRPr="00D27DA9" w:rsidRDefault="00597921" w:rsidP="00D362DB">
            <w:pPr>
              <w:rPr>
                <w:rFonts w:eastAsia="Calibri" w:cstheme="minorHAnsi"/>
                <w:b/>
                <w:lang w:val="sl-SI"/>
              </w:rPr>
            </w:pPr>
            <w:r w:rsidRPr="00D27DA9">
              <w:rPr>
                <w:rFonts w:eastAsia="Calibri" w:cstheme="minorHAnsi"/>
                <w:b/>
                <w:lang w:val="sl-SI"/>
              </w:rPr>
              <w:t>Zaveza 14</w:t>
            </w:r>
          </w:p>
        </w:tc>
        <w:tc>
          <w:tcPr>
            <w:tcW w:w="3686" w:type="dxa"/>
            <w:vAlign w:val="center"/>
          </w:tcPr>
          <w:p w14:paraId="6B04101B" w14:textId="77777777" w:rsidR="00216C86" w:rsidRDefault="00216C86" w:rsidP="00216C86">
            <w:pPr>
              <w:jc w:val="both"/>
              <w:rPr>
                <w:rFonts w:eastAsia="Calibri" w:cstheme="minorHAnsi"/>
                <w:lang w:val="sl-SI"/>
              </w:rPr>
            </w:pPr>
            <w:r w:rsidRPr="00E85522">
              <w:rPr>
                <w:rFonts w:eastAsia="Calibri" w:cstheme="minorHAnsi"/>
              </w:rPr>
              <w:t>Slovenija je v mehanizem Atena prispevala</w:t>
            </w:r>
            <w:r w:rsidRPr="00872117">
              <w:rPr>
                <w:rFonts w:eastAsia="Calibri" w:cstheme="minorHAnsi"/>
                <w:lang w:val="sl-SI"/>
              </w:rPr>
              <w:t xml:space="preserve"> 301.809 </w:t>
            </w:r>
            <w:r w:rsidRPr="00E85522">
              <w:rPr>
                <w:rFonts w:eastAsia="Calibri" w:cstheme="minorHAnsi"/>
              </w:rPr>
              <w:t>evrov</w:t>
            </w:r>
            <w:r w:rsidRPr="00872117">
              <w:rPr>
                <w:rFonts w:eastAsia="Calibri" w:cstheme="minorHAnsi"/>
                <w:lang w:val="sl-SI"/>
              </w:rPr>
              <w:t>.</w:t>
            </w:r>
          </w:p>
          <w:p w14:paraId="15EAC157" w14:textId="77777777" w:rsidR="00216C86" w:rsidRDefault="00216C86" w:rsidP="00216C86">
            <w:pPr>
              <w:jc w:val="both"/>
              <w:rPr>
                <w:rFonts w:eastAsia="Calibri" w:cstheme="minorHAnsi"/>
                <w:lang w:val="sl-SI"/>
              </w:rPr>
            </w:pPr>
          </w:p>
          <w:p w14:paraId="43B67E20" w14:textId="1FEBFBFE" w:rsidR="00597921" w:rsidRPr="00D27DA9" w:rsidRDefault="00216C86" w:rsidP="00216C86">
            <w:pPr>
              <w:jc w:val="both"/>
              <w:rPr>
                <w:rFonts w:eastAsia="Calibri" w:cstheme="minorHAnsi"/>
                <w:lang w:val="sl-SI"/>
              </w:rPr>
            </w:pPr>
            <w:r>
              <w:rPr>
                <w:rFonts w:eastAsia="Calibri" w:cstheme="minorHAnsi"/>
                <w:lang w:val="sl-SI"/>
              </w:rPr>
              <w:t>Slovenija je aktivno in s podporo kompromisnim predlogom konstruktivno prispevala k vzpostavljanju Evropskega mirovnega sklada (European Peace Facility).</w:t>
            </w:r>
          </w:p>
        </w:tc>
        <w:tc>
          <w:tcPr>
            <w:tcW w:w="4110" w:type="dxa"/>
            <w:vAlign w:val="center"/>
          </w:tcPr>
          <w:p w14:paraId="584CC758" w14:textId="77777777" w:rsidR="00216C86" w:rsidRDefault="00216C86" w:rsidP="00216C86">
            <w:pPr>
              <w:jc w:val="both"/>
              <w:rPr>
                <w:rFonts w:cstheme="minorHAnsi"/>
                <w:lang w:val="sl-SI"/>
              </w:rPr>
            </w:pPr>
            <w:r>
              <w:rPr>
                <w:rFonts w:cstheme="minorHAnsi"/>
                <w:lang w:val="sl-SI"/>
              </w:rPr>
              <w:t xml:space="preserve">Predviden prispevek v mehanizem Athena je </w:t>
            </w:r>
            <w:r w:rsidRPr="00D27DA9">
              <w:rPr>
                <w:rFonts w:cstheme="minorHAnsi"/>
                <w:lang w:val="sl-SI"/>
              </w:rPr>
              <w:t>387.013</w:t>
            </w:r>
            <w:r>
              <w:rPr>
                <w:rFonts w:cstheme="minorHAnsi"/>
                <w:lang w:val="sl-SI"/>
              </w:rPr>
              <w:t xml:space="preserve"> evrov.</w:t>
            </w:r>
          </w:p>
          <w:p w14:paraId="1488594E" w14:textId="77777777" w:rsidR="00216C86" w:rsidRDefault="00216C86" w:rsidP="00216C86">
            <w:pPr>
              <w:jc w:val="both"/>
              <w:rPr>
                <w:rFonts w:cstheme="minorHAnsi"/>
                <w:lang w:val="sl-SI"/>
              </w:rPr>
            </w:pPr>
          </w:p>
          <w:p w14:paraId="4B1175F4" w14:textId="77C778F3" w:rsidR="00597921" w:rsidRPr="00D27DA9" w:rsidRDefault="00216C86" w:rsidP="00216C86">
            <w:pPr>
              <w:jc w:val="both"/>
              <w:rPr>
                <w:rFonts w:eastAsia="Calibri" w:cstheme="minorHAnsi"/>
                <w:lang w:val="sl-SI"/>
              </w:rPr>
            </w:pPr>
            <w:r>
              <w:rPr>
                <w:rFonts w:eastAsia="Calibri" w:cstheme="minorHAnsi"/>
                <w:lang w:val="sl-SI"/>
              </w:rPr>
              <w:t>Slovenija bo nadalje aktivno in konstruktivno podpirala dejavnosti za či</w:t>
            </w:r>
            <w:r w:rsidR="00EA7391">
              <w:rPr>
                <w:rFonts w:eastAsia="Calibri" w:cstheme="minorHAnsi"/>
                <w:lang w:val="sl-SI"/>
              </w:rPr>
              <w:t>m</w:t>
            </w:r>
            <w:r>
              <w:rPr>
                <w:rFonts w:eastAsia="Calibri" w:cstheme="minorHAnsi"/>
                <w:lang w:val="sl-SI"/>
              </w:rPr>
              <w:t>prejšnjo vzpostavitev Evropskega mirovnega sklada.</w:t>
            </w:r>
          </w:p>
        </w:tc>
        <w:tc>
          <w:tcPr>
            <w:tcW w:w="4253" w:type="dxa"/>
            <w:shd w:val="clear" w:color="auto" w:fill="FFFFFF" w:themeFill="background1"/>
            <w:vAlign w:val="center"/>
          </w:tcPr>
          <w:p w14:paraId="77E6F3CB" w14:textId="6F125B22" w:rsidR="00597921" w:rsidRPr="00D27DA9" w:rsidRDefault="001060F5" w:rsidP="00216C86">
            <w:pPr>
              <w:autoSpaceDE w:val="0"/>
              <w:autoSpaceDN w:val="0"/>
              <w:adjustRightInd w:val="0"/>
              <w:rPr>
                <w:rFonts w:cstheme="minorHAnsi"/>
                <w:lang w:val="sl-SI"/>
              </w:rPr>
            </w:pPr>
            <w:r w:rsidRPr="00D27DA9">
              <w:rPr>
                <w:rFonts w:cstheme="minorHAnsi"/>
                <w:lang w:val="sl-SI"/>
              </w:rPr>
              <w:t>MO prispevek okoli 400.000</w:t>
            </w:r>
            <w:r w:rsidR="00216C86">
              <w:rPr>
                <w:rFonts w:cstheme="minorHAnsi"/>
                <w:lang w:val="sl-SI"/>
              </w:rPr>
              <w:t xml:space="preserve"> l</w:t>
            </w:r>
            <w:r w:rsidRPr="00D27DA9">
              <w:rPr>
                <w:rFonts w:cstheme="minorHAnsi"/>
                <w:lang w:val="sl-SI"/>
              </w:rPr>
              <w:t>etno</w:t>
            </w:r>
            <w:r w:rsidR="00216C86">
              <w:rPr>
                <w:rFonts w:cstheme="minorHAnsi"/>
                <w:lang w:val="sl-SI"/>
              </w:rPr>
              <w:t>.</w:t>
            </w:r>
          </w:p>
        </w:tc>
      </w:tr>
    </w:tbl>
    <w:p w14:paraId="5E229374" w14:textId="365AB8A1" w:rsidR="00E74A0F" w:rsidRPr="00D27DA9" w:rsidRDefault="00E74A0F">
      <w:pPr>
        <w:rPr>
          <w:rFonts w:cstheme="minorHAnsi"/>
          <w:b/>
        </w:rPr>
      </w:pPr>
    </w:p>
    <w:p w14:paraId="6ABD14B5" w14:textId="77777777" w:rsidR="0080648A" w:rsidRPr="00D27DA9" w:rsidRDefault="0080648A">
      <w:pPr>
        <w:rPr>
          <w:rFonts w:cstheme="minorHAnsi"/>
          <w:b/>
        </w:rPr>
      </w:pPr>
      <w:r w:rsidRPr="00D27DA9">
        <w:rPr>
          <w:rFonts w:cstheme="minorHAnsi"/>
          <w:b/>
        </w:rPr>
        <w:br w:type="page"/>
      </w:r>
    </w:p>
    <w:p w14:paraId="6F7FB6D5" w14:textId="17CE91D3" w:rsidR="00787F12" w:rsidRPr="00D27DA9" w:rsidRDefault="00787F12" w:rsidP="00787F12">
      <w:pPr>
        <w:pBdr>
          <w:top w:val="single" w:sz="4" w:space="1" w:color="auto"/>
          <w:left w:val="single" w:sz="4" w:space="4" w:color="auto"/>
          <w:bottom w:val="single" w:sz="4" w:space="1" w:color="auto"/>
          <w:right w:val="single" w:sz="4" w:space="4" w:color="auto"/>
        </w:pBdr>
        <w:shd w:val="clear" w:color="auto" w:fill="DBE5F1" w:themeFill="accent1" w:themeFillTint="33"/>
        <w:spacing w:after="0"/>
        <w:jc w:val="center"/>
        <w:rPr>
          <w:rFonts w:cstheme="minorHAnsi"/>
          <w:b/>
        </w:rPr>
      </w:pPr>
      <w:r w:rsidRPr="00D27DA9">
        <w:rPr>
          <w:rFonts w:cstheme="minorHAnsi"/>
          <w:b/>
        </w:rPr>
        <w:lastRenderedPageBreak/>
        <w:t>“(d) sodelova</w:t>
      </w:r>
      <w:r w:rsidR="00C66F4F" w:rsidRPr="00D27DA9">
        <w:rPr>
          <w:rFonts w:cstheme="minorHAnsi"/>
          <w:b/>
        </w:rPr>
        <w:t>le</w:t>
      </w:r>
      <w:r w:rsidRPr="00D27DA9">
        <w:rPr>
          <w:rFonts w:cstheme="minorHAnsi"/>
          <w:b/>
        </w:rPr>
        <w:t>, da bi zagotovile sprejetje potrebnih ukrepov za zapolnitev vrzeli ugotovljenih v okviru "Mehanizma razvoja zmogljivosti" tudi z več-državnim pristopom in brez poseganja v naloge v okviru Organizacije Severnoatlantske pogodbe.”</w:t>
      </w:r>
    </w:p>
    <w:p w14:paraId="11960696" w14:textId="77777777" w:rsidR="00787F12" w:rsidRPr="00D27DA9" w:rsidRDefault="00787F12" w:rsidP="00787F12">
      <w:pPr>
        <w:rPr>
          <w:rFonts w:cstheme="minorHAnsi"/>
          <w:b/>
        </w:rPr>
      </w:pPr>
    </w:p>
    <w:p w14:paraId="3DE2681B" w14:textId="18FFF180" w:rsidR="00787F12" w:rsidRPr="00D27DA9" w:rsidRDefault="005A59B2" w:rsidP="00787F12">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cstheme="minorHAnsi"/>
          <w:b/>
        </w:rPr>
      </w:pPr>
      <w:r w:rsidRPr="00D27DA9">
        <w:rPr>
          <w:rFonts w:cstheme="minorHAnsi"/>
          <w:b/>
        </w:rPr>
        <w:t>Zaveza 15</w:t>
      </w:r>
      <w:r w:rsidR="005F792D" w:rsidRPr="00D27DA9">
        <w:rPr>
          <w:rFonts w:cstheme="minorHAnsi"/>
          <w:b/>
        </w:rPr>
        <w:t xml:space="preserve">: </w:t>
      </w:r>
      <w:r w:rsidR="00A11185" w:rsidRPr="00D27DA9">
        <w:rPr>
          <w:rFonts w:cstheme="minorHAnsi"/>
        </w:rPr>
        <w:t>P</w:t>
      </w:r>
      <w:r w:rsidR="00C66F4F" w:rsidRPr="00D27DA9">
        <w:rPr>
          <w:rFonts w:cstheme="minorHAnsi"/>
        </w:rPr>
        <w:t>omagale odpraviti pomanjkljivosti pri zmogljivostih, ugotovljene v načrtu za razvoj zmogljivosti in letnem pregledu na področju obrambe. Ti projekti za zmogljivost bodo povečali strateško avtonomijo Evrope in okrepili tehnološko in industrijsko bazo evropske obrambe</w:t>
      </w:r>
      <w:r w:rsidR="005F792D" w:rsidRPr="00D27DA9">
        <w:rPr>
          <w:rFonts w:cstheme="minorHAnsi"/>
        </w:rPr>
        <w:t>.</w:t>
      </w:r>
    </w:p>
    <w:p w14:paraId="6338A30E" w14:textId="77777777" w:rsidR="00DB4D7C" w:rsidRPr="00D27DA9" w:rsidRDefault="00DB4D7C" w:rsidP="00DB4D7C">
      <w:pPr>
        <w:spacing w:after="0"/>
        <w:rPr>
          <w:rFonts w:cstheme="minorHAnsi"/>
        </w:rPr>
      </w:pPr>
    </w:p>
    <w:tbl>
      <w:tblPr>
        <w:tblStyle w:val="Tabelamrea"/>
        <w:tblW w:w="13164" w:type="dxa"/>
        <w:tblInd w:w="8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1559"/>
        <w:gridCol w:w="3242"/>
        <w:gridCol w:w="4110"/>
        <w:gridCol w:w="4253"/>
      </w:tblGrid>
      <w:tr w:rsidR="00DB4D7C" w:rsidRPr="00D27DA9" w14:paraId="090D03C3" w14:textId="77777777" w:rsidTr="00796A94">
        <w:trPr>
          <w:trHeight w:val="359"/>
        </w:trPr>
        <w:tc>
          <w:tcPr>
            <w:tcW w:w="1559" w:type="dxa"/>
            <w:shd w:val="clear" w:color="auto" w:fill="F2F2F2" w:themeFill="background1" w:themeFillShade="F2"/>
            <w:vAlign w:val="center"/>
          </w:tcPr>
          <w:p w14:paraId="0ED44487" w14:textId="77777777" w:rsidR="00DB4D7C" w:rsidRPr="00D27DA9" w:rsidRDefault="00DB4D7C" w:rsidP="00D362DB">
            <w:pPr>
              <w:jc w:val="center"/>
              <w:rPr>
                <w:rFonts w:eastAsia="Calibri" w:cstheme="minorHAnsi"/>
                <w:b/>
                <w:bCs/>
                <w:lang w:val="sl-SI"/>
              </w:rPr>
            </w:pPr>
          </w:p>
        </w:tc>
        <w:tc>
          <w:tcPr>
            <w:tcW w:w="3242" w:type="dxa"/>
            <w:shd w:val="clear" w:color="auto" w:fill="F2F2F2" w:themeFill="background1" w:themeFillShade="F2"/>
            <w:vAlign w:val="center"/>
          </w:tcPr>
          <w:p w14:paraId="0055ACDD" w14:textId="48DAEBF5" w:rsidR="00DB4D7C" w:rsidRPr="00D27DA9" w:rsidRDefault="00BE0FBA" w:rsidP="00D362DB">
            <w:pPr>
              <w:jc w:val="center"/>
              <w:rPr>
                <w:rFonts w:eastAsia="Calibri" w:cstheme="minorHAnsi"/>
                <w:b/>
                <w:bCs/>
                <w:lang w:val="sl-SI"/>
              </w:rPr>
            </w:pPr>
            <w:r w:rsidRPr="00D27DA9">
              <w:rPr>
                <w:rFonts w:eastAsia="Calibri" w:cstheme="minorHAnsi"/>
                <w:b/>
                <w:bCs/>
                <w:lang w:val="sl-SI"/>
              </w:rPr>
              <w:t>2020</w:t>
            </w:r>
            <w:r w:rsidR="00DB4D7C" w:rsidRPr="00D27DA9">
              <w:rPr>
                <w:rFonts w:eastAsia="Calibri" w:cstheme="minorHAnsi"/>
                <w:b/>
                <w:bCs/>
                <w:lang w:val="sl-SI"/>
              </w:rPr>
              <w:t xml:space="preserve"> </w:t>
            </w:r>
          </w:p>
          <w:p w14:paraId="71D54823" w14:textId="77777777" w:rsidR="00DB4D7C" w:rsidRPr="00D27DA9" w:rsidRDefault="00DB4D7C" w:rsidP="00D362DB">
            <w:pPr>
              <w:jc w:val="center"/>
              <w:rPr>
                <w:rFonts w:eastAsia="Calibri" w:cstheme="minorHAnsi"/>
                <w:b/>
                <w:bCs/>
                <w:lang w:val="sl-SI"/>
              </w:rPr>
            </w:pPr>
            <w:r w:rsidRPr="00D27DA9">
              <w:rPr>
                <w:rFonts w:eastAsia="Calibri" w:cstheme="minorHAnsi"/>
                <w:b/>
                <w:bCs/>
                <w:lang w:val="sl-SI"/>
              </w:rPr>
              <w:t>(samoocena)</w:t>
            </w:r>
          </w:p>
        </w:tc>
        <w:tc>
          <w:tcPr>
            <w:tcW w:w="4110" w:type="dxa"/>
            <w:shd w:val="clear" w:color="auto" w:fill="F2F2F2" w:themeFill="background1" w:themeFillShade="F2"/>
            <w:vAlign w:val="center"/>
          </w:tcPr>
          <w:p w14:paraId="1E3D6D37" w14:textId="52020DC9" w:rsidR="00DB4D7C" w:rsidRPr="00D27DA9" w:rsidRDefault="00DB4D7C" w:rsidP="00D362DB">
            <w:pPr>
              <w:jc w:val="center"/>
              <w:rPr>
                <w:rFonts w:eastAsia="Calibri" w:cstheme="minorHAnsi"/>
                <w:b/>
                <w:bCs/>
                <w:lang w:val="sl-SI"/>
              </w:rPr>
            </w:pPr>
            <w:r w:rsidRPr="00D27DA9">
              <w:rPr>
                <w:rFonts w:eastAsia="Calibri" w:cstheme="minorHAnsi"/>
                <w:b/>
                <w:bCs/>
                <w:lang w:val="sl-SI"/>
              </w:rPr>
              <w:t>202</w:t>
            </w:r>
            <w:r w:rsidR="00BE0FBA" w:rsidRPr="00D27DA9">
              <w:rPr>
                <w:rFonts w:eastAsia="Calibri" w:cstheme="minorHAnsi"/>
                <w:b/>
                <w:bCs/>
                <w:lang w:val="sl-SI"/>
              </w:rPr>
              <w:t>1</w:t>
            </w:r>
            <w:r w:rsidRPr="00D27DA9">
              <w:rPr>
                <w:rFonts w:eastAsia="Calibri" w:cstheme="minorHAnsi"/>
                <w:b/>
                <w:bCs/>
                <w:lang w:val="sl-SI"/>
              </w:rPr>
              <w:t xml:space="preserve"> </w:t>
            </w:r>
          </w:p>
          <w:p w14:paraId="35939AA4" w14:textId="77777777" w:rsidR="00DB4D7C" w:rsidRPr="00D27DA9" w:rsidRDefault="00DB4D7C" w:rsidP="00D362DB">
            <w:pPr>
              <w:jc w:val="center"/>
              <w:rPr>
                <w:rFonts w:eastAsia="Calibri" w:cstheme="minorHAnsi"/>
                <w:b/>
                <w:lang w:val="sl-SI"/>
              </w:rPr>
            </w:pPr>
            <w:r w:rsidRPr="00D27DA9">
              <w:rPr>
                <w:rFonts w:eastAsia="Calibri" w:cstheme="minorHAnsi"/>
                <w:b/>
                <w:bCs/>
                <w:lang w:val="sl-SI"/>
              </w:rPr>
              <w:t>(predvideno)</w:t>
            </w:r>
          </w:p>
        </w:tc>
        <w:tc>
          <w:tcPr>
            <w:tcW w:w="4253" w:type="dxa"/>
            <w:shd w:val="clear" w:color="auto" w:fill="F2F2F2" w:themeFill="background1" w:themeFillShade="F2"/>
            <w:vAlign w:val="center"/>
          </w:tcPr>
          <w:p w14:paraId="7AA0603D" w14:textId="5F182AAF" w:rsidR="00DB4D7C" w:rsidRPr="00D27DA9" w:rsidRDefault="00BE0FBA" w:rsidP="00D362DB">
            <w:pPr>
              <w:jc w:val="center"/>
              <w:rPr>
                <w:rFonts w:eastAsia="Calibri" w:cstheme="minorHAnsi"/>
                <w:b/>
                <w:bCs/>
                <w:lang w:val="sl-SI"/>
              </w:rPr>
            </w:pPr>
            <w:r w:rsidRPr="00D27DA9">
              <w:rPr>
                <w:rFonts w:eastAsia="Calibri" w:cstheme="minorHAnsi"/>
                <w:b/>
                <w:bCs/>
                <w:lang w:val="sl-SI"/>
              </w:rPr>
              <w:t>2022</w:t>
            </w:r>
            <w:r w:rsidR="00DB4D7C" w:rsidRPr="00D27DA9">
              <w:rPr>
                <w:rFonts w:eastAsia="Calibri" w:cstheme="minorHAnsi"/>
                <w:b/>
                <w:bCs/>
                <w:lang w:val="sl-SI"/>
              </w:rPr>
              <w:t xml:space="preserve">-2025 </w:t>
            </w:r>
          </w:p>
          <w:p w14:paraId="7598FC1E" w14:textId="267B961A" w:rsidR="00DB4D7C" w:rsidRPr="00D27DA9" w:rsidRDefault="00C03429" w:rsidP="00D362DB">
            <w:pPr>
              <w:jc w:val="center"/>
              <w:rPr>
                <w:rFonts w:eastAsia="Calibri" w:cstheme="minorHAnsi"/>
                <w:b/>
                <w:lang w:val="sl-SI"/>
              </w:rPr>
            </w:pPr>
            <w:r w:rsidRPr="00D27DA9">
              <w:rPr>
                <w:rFonts w:eastAsia="Calibri" w:cstheme="minorHAnsi"/>
                <w:b/>
                <w:bCs/>
                <w:lang w:val="sl-SI"/>
              </w:rPr>
              <w:t>(</w:t>
            </w:r>
            <w:r w:rsidR="00DB4D7C" w:rsidRPr="00D27DA9">
              <w:rPr>
                <w:rFonts w:eastAsia="Calibri" w:cstheme="minorHAnsi"/>
                <w:b/>
                <w:bCs/>
                <w:lang w:val="sl-SI"/>
              </w:rPr>
              <w:t>predvideno)</w:t>
            </w:r>
          </w:p>
        </w:tc>
      </w:tr>
      <w:tr w:rsidR="00DB4D7C" w:rsidRPr="00D27DA9" w14:paraId="23F47406" w14:textId="77777777" w:rsidTr="00C03429">
        <w:trPr>
          <w:trHeight w:val="972"/>
        </w:trPr>
        <w:tc>
          <w:tcPr>
            <w:tcW w:w="1559" w:type="dxa"/>
            <w:vAlign w:val="center"/>
          </w:tcPr>
          <w:p w14:paraId="535602DD" w14:textId="77777777" w:rsidR="00DB4D7C" w:rsidRPr="00D27DA9" w:rsidRDefault="00DB4D7C" w:rsidP="00D362DB">
            <w:pPr>
              <w:rPr>
                <w:rFonts w:eastAsia="Calibri" w:cstheme="minorHAnsi"/>
                <w:b/>
                <w:lang w:val="sl-SI"/>
              </w:rPr>
            </w:pPr>
            <w:r w:rsidRPr="00D27DA9">
              <w:rPr>
                <w:rFonts w:eastAsia="Calibri" w:cstheme="minorHAnsi"/>
                <w:b/>
                <w:lang w:val="sl-SI"/>
              </w:rPr>
              <w:t>Zaveza 15</w:t>
            </w:r>
          </w:p>
        </w:tc>
        <w:tc>
          <w:tcPr>
            <w:tcW w:w="3242" w:type="dxa"/>
          </w:tcPr>
          <w:p w14:paraId="720360A3" w14:textId="77777777" w:rsidR="00FF75F1" w:rsidRPr="00D27DA9" w:rsidRDefault="00FF75F1" w:rsidP="00C03429">
            <w:pPr>
              <w:jc w:val="both"/>
              <w:rPr>
                <w:rFonts w:eastAsia="Calibri" w:cstheme="minorHAnsi"/>
                <w:lang w:val="sl-SI"/>
              </w:rPr>
            </w:pPr>
            <w:r w:rsidRPr="00D27DA9">
              <w:rPr>
                <w:rFonts w:eastAsia="Calibri" w:cstheme="minorHAnsi"/>
                <w:lang w:val="sl-SI"/>
              </w:rPr>
              <w:t>Slovenija je sodelovala v PESCO projektih Nadzor JRKB kot storitev (CBRN SaaS), Vojaška mobilnost, Mreža logističnih vozlišč v Evropi in podpora operacijam in Integriran Skupni Center za usposabljanje in simulacije – EUROSIM.</w:t>
            </w:r>
          </w:p>
          <w:p w14:paraId="1D6BB2F8" w14:textId="2F36CF5C" w:rsidR="00DF5592" w:rsidRPr="00D27DA9" w:rsidRDefault="00FF75F1" w:rsidP="00EA7391">
            <w:pPr>
              <w:jc w:val="both"/>
              <w:rPr>
                <w:rFonts w:eastAsia="Calibri" w:cstheme="minorHAnsi"/>
                <w:lang w:val="sl-SI"/>
              </w:rPr>
            </w:pPr>
            <w:r w:rsidRPr="00D27DA9">
              <w:rPr>
                <w:rFonts w:eastAsia="Calibri" w:cstheme="minorHAnsi"/>
                <w:lang w:val="sl-SI"/>
              </w:rPr>
              <w:t xml:space="preserve">V začetku leta 2020 je bila sprejeta Bela knjiga o obrambi, ki je nakazala nadaljnji razvoj obrambnega sistema. Sprejet je bil </w:t>
            </w:r>
            <w:r w:rsidR="00EA7391">
              <w:rPr>
                <w:rFonts w:eastAsia="Calibri" w:cstheme="minorHAnsi"/>
                <w:lang w:val="sl-SI"/>
              </w:rPr>
              <w:t>Z</w:t>
            </w:r>
            <w:r w:rsidRPr="00D27DA9">
              <w:rPr>
                <w:rFonts w:eastAsia="Calibri" w:cstheme="minorHAnsi"/>
                <w:lang w:val="sl-SI"/>
              </w:rPr>
              <w:t>akon o zagotavljanju sredstev za investicije v Slovenski vojski, ki bo zagotovil dodatnih 780 milijonov evrov naslednjih 5 letih za izvajanje najpomembnejših investicij.</w:t>
            </w:r>
          </w:p>
        </w:tc>
        <w:tc>
          <w:tcPr>
            <w:tcW w:w="4110" w:type="dxa"/>
            <w:tcBorders>
              <w:right w:val="single" w:sz="4" w:space="0" w:color="auto"/>
            </w:tcBorders>
          </w:tcPr>
          <w:p w14:paraId="449D172C" w14:textId="4FCA0E00" w:rsidR="00FF75F1" w:rsidRPr="00D27DA9" w:rsidRDefault="00FF75F1" w:rsidP="00C03429">
            <w:pPr>
              <w:jc w:val="both"/>
              <w:rPr>
                <w:rFonts w:cstheme="minorHAnsi"/>
                <w:lang w:val="sl-SI"/>
              </w:rPr>
            </w:pPr>
            <w:r w:rsidRPr="00D27DA9">
              <w:rPr>
                <w:rFonts w:cstheme="minorHAnsi"/>
                <w:lang w:val="sl-SI"/>
              </w:rPr>
              <w:t>Novi srednje in dolgoročni obrambni planski dokumenti bodo vključevali in opredelili nacionalne zmogljivosti in projekte, ki bodo hkrati predstavljali zapolnitev primanjkljajev opredeljenih v CDP, vključno s Strateškimi kontekstualnimi primeri (SCC) in CARD.</w:t>
            </w:r>
          </w:p>
          <w:p w14:paraId="1483AA3B" w14:textId="2ACF6531" w:rsidR="00DF5592" w:rsidRPr="00D27DA9" w:rsidRDefault="00FF75F1" w:rsidP="00C03429">
            <w:pPr>
              <w:jc w:val="both"/>
              <w:rPr>
                <w:rFonts w:cstheme="minorHAnsi"/>
                <w:lang w:val="sl-SI"/>
              </w:rPr>
            </w:pPr>
            <w:r w:rsidRPr="00D27DA9">
              <w:rPr>
                <w:rFonts w:cstheme="minorHAnsi"/>
                <w:lang w:val="sl-SI"/>
              </w:rPr>
              <w:t xml:space="preserve">V primeru potencialnih projektov </w:t>
            </w:r>
            <w:r w:rsidR="00EA7391">
              <w:rPr>
                <w:rFonts w:cstheme="minorHAnsi"/>
                <w:lang w:val="sl-SI"/>
              </w:rPr>
              <w:t>bomo najprej preverili</w:t>
            </w:r>
            <w:r w:rsidRPr="00D27DA9">
              <w:rPr>
                <w:rFonts w:cstheme="minorHAnsi"/>
                <w:lang w:val="sl-SI"/>
              </w:rPr>
              <w:t xml:space="preserve"> možna sodelovanja v okviru EU industrije.</w:t>
            </w:r>
          </w:p>
        </w:tc>
        <w:tc>
          <w:tcPr>
            <w:tcW w:w="4253" w:type="dxa"/>
            <w:tcBorders>
              <w:left w:val="single" w:sz="4" w:space="0" w:color="auto"/>
            </w:tcBorders>
            <w:shd w:val="clear" w:color="auto" w:fill="FFFFFF" w:themeFill="background1"/>
          </w:tcPr>
          <w:p w14:paraId="5C118CA3" w14:textId="6DB08ED1" w:rsidR="000D6CD1" w:rsidRPr="00D27DA9" w:rsidRDefault="000D6CD1" w:rsidP="00C03429">
            <w:pPr>
              <w:rPr>
                <w:rFonts w:cstheme="minorHAnsi"/>
                <w:lang w:val="sl-SI"/>
              </w:rPr>
            </w:pPr>
            <w:r w:rsidRPr="00D27DA9">
              <w:rPr>
                <w:rFonts w:cstheme="minorHAnsi"/>
                <w:lang w:val="sl-SI"/>
              </w:rPr>
              <w:t>Novi srednje in dolgoročni obrambni planski dokumenti bodo vključevali in opredelili nacionalne zmogljivosti in projekte, ki bodo hkrati predstavljali zapolnitev primanjkljajev opredeljenih v CDP, vključno s Strateškimi kontekstualnimi primeri (SCC) in CARD.</w:t>
            </w:r>
          </w:p>
          <w:p w14:paraId="2963E97A" w14:textId="77777777" w:rsidR="00C03429" w:rsidRPr="00D27DA9" w:rsidRDefault="00C03429" w:rsidP="00C03429">
            <w:pPr>
              <w:rPr>
                <w:rFonts w:cstheme="minorHAnsi"/>
                <w:lang w:val="sl-SI"/>
              </w:rPr>
            </w:pPr>
          </w:p>
          <w:p w14:paraId="442A4060" w14:textId="0A4E2A27" w:rsidR="00DF5592" w:rsidRPr="00D27DA9" w:rsidRDefault="000D6CD1" w:rsidP="00C03429">
            <w:pPr>
              <w:rPr>
                <w:rFonts w:cstheme="minorHAnsi"/>
                <w:lang w:val="sl-SI"/>
              </w:rPr>
            </w:pPr>
            <w:r w:rsidRPr="00D27DA9">
              <w:rPr>
                <w:rFonts w:cstheme="minorHAnsi"/>
                <w:lang w:val="sl-SI"/>
              </w:rPr>
              <w:t xml:space="preserve">V primeru potencialnih projektov </w:t>
            </w:r>
            <w:r w:rsidR="00EA7391">
              <w:rPr>
                <w:rFonts w:cstheme="minorHAnsi"/>
                <w:lang w:val="sl-SI"/>
              </w:rPr>
              <w:t>bomo najprej preverili</w:t>
            </w:r>
            <w:r w:rsidRPr="00D27DA9">
              <w:rPr>
                <w:rFonts w:cstheme="minorHAnsi"/>
                <w:lang w:val="sl-SI"/>
              </w:rPr>
              <w:t xml:space="preserve"> možna sodelovanja v okviru EU industrije.</w:t>
            </w:r>
          </w:p>
        </w:tc>
      </w:tr>
    </w:tbl>
    <w:p w14:paraId="7413D927" w14:textId="77777777" w:rsidR="00DB4D7C" w:rsidRPr="00D27DA9" w:rsidRDefault="00DB4D7C">
      <w:pPr>
        <w:rPr>
          <w:rFonts w:cstheme="minorHAnsi"/>
          <w:b/>
        </w:rPr>
      </w:pPr>
      <w:r w:rsidRPr="00D27DA9">
        <w:rPr>
          <w:rFonts w:cstheme="minorHAnsi"/>
          <w:b/>
        </w:rPr>
        <w:br w:type="page"/>
      </w:r>
    </w:p>
    <w:p w14:paraId="387E983E" w14:textId="77777777" w:rsidR="00DB4D7C" w:rsidRPr="00D27DA9" w:rsidRDefault="00DB4D7C" w:rsidP="00DB4D7C">
      <w:pPr>
        <w:spacing w:after="0"/>
        <w:rPr>
          <w:rFonts w:cstheme="minorHAnsi"/>
          <w:b/>
        </w:rPr>
      </w:pPr>
    </w:p>
    <w:p w14:paraId="6BA34BBA" w14:textId="77777777" w:rsidR="00D63D51" w:rsidRPr="00D27DA9" w:rsidRDefault="00D63D51" w:rsidP="00D63D51">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cstheme="minorHAnsi"/>
          <w:b/>
        </w:rPr>
      </w:pPr>
      <w:r w:rsidRPr="00D27DA9">
        <w:rPr>
          <w:rFonts w:cstheme="minorHAnsi"/>
          <w:b/>
        </w:rPr>
        <w:t xml:space="preserve">Zaveza 16: </w:t>
      </w:r>
    </w:p>
    <w:p w14:paraId="729D0A2A" w14:textId="132576E9" w:rsidR="00D63D51" w:rsidRPr="00D27DA9" w:rsidRDefault="00A11185" w:rsidP="00D63D51">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cstheme="minorHAnsi"/>
          <w:b/>
        </w:rPr>
      </w:pPr>
      <w:r w:rsidRPr="00D27DA9">
        <w:rPr>
          <w:rFonts w:cstheme="minorHAnsi"/>
        </w:rPr>
        <w:t>P</w:t>
      </w:r>
      <w:r w:rsidR="00C66F4F" w:rsidRPr="00D27DA9">
        <w:rPr>
          <w:rFonts w:cstheme="minorHAnsi"/>
        </w:rPr>
        <w:t>rednostno obravnavale pristop evropskega sodelovanja, da bi odpravili pomanjkljivosti v zmogljivostih, ugotovljenih na nacionalni ravni, in praviloma uporabljali izključno nacionalni pristop le, če je bil takšen pregled že opravljen</w:t>
      </w:r>
      <w:r w:rsidR="00D63D51" w:rsidRPr="00D27DA9">
        <w:rPr>
          <w:rFonts w:cstheme="minorHAnsi"/>
          <w:b/>
        </w:rPr>
        <w:t>.</w:t>
      </w:r>
    </w:p>
    <w:p w14:paraId="4574837F" w14:textId="77777777" w:rsidR="00656856" w:rsidRPr="00D27DA9" w:rsidRDefault="00656856" w:rsidP="00E56FCE">
      <w:pPr>
        <w:spacing w:line="240" w:lineRule="auto"/>
        <w:jc w:val="both"/>
        <w:rPr>
          <w:rFonts w:cstheme="minorHAnsi"/>
          <w:color w:val="000000"/>
        </w:rPr>
      </w:pPr>
    </w:p>
    <w:tbl>
      <w:tblPr>
        <w:tblStyle w:val="Tabelamrea"/>
        <w:tblW w:w="13164" w:type="dxa"/>
        <w:tblInd w:w="8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1115"/>
        <w:gridCol w:w="3686"/>
        <w:gridCol w:w="4110"/>
        <w:gridCol w:w="4253"/>
      </w:tblGrid>
      <w:tr w:rsidR="00D63D51" w:rsidRPr="00D27DA9" w14:paraId="6AB2DE21" w14:textId="77777777" w:rsidTr="00D362DB">
        <w:trPr>
          <w:trHeight w:val="359"/>
        </w:trPr>
        <w:tc>
          <w:tcPr>
            <w:tcW w:w="1115" w:type="dxa"/>
            <w:shd w:val="clear" w:color="auto" w:fill="F2F2F2" w:themeFill="background1" w:themeFillShade="F2"/>
            <w:vAlign w:val="center"/>
          </w:tcPr>
          <w:p w14:paraId="053B27C4" w14:textId="77777777" w:rsidR="00D63D51" w:rsidRPr="00D27DA9" w:rsidRDefault="00D63D51" w:rsidP="00D362DB">
            <w:pPr>
              <w:jc w:val="center"/>
              <w:rPr>
                <w:rFonts w:eastAsia="Calibri" w:cstheme="minorHAnsi"/>
                <w:b/>
                <w:bCs/>
                <w:lang w:val="sl-SI"/>
              </w:rPr>
            </w:pPr>
          </w:p>
        </w:tc>
        <w:tc>
          <w:tcPr>
            <w:tcW w:w="3686" w:type="dxa"/>
            <w:shd w:val="clear" w:color="auto" w:fill="F2F2F2" w:themeFill="background1" w:themeFillShade="F2"/>
            <w:vAlign w:val="center"/>
          </w:tcPr>
          <w:p w14:paraId="49714B51" w14:textId="1C687A27" w:rsidR="00D63D51" w:rsidRPr="00D27DA9" w:rsidRDefault="00BE0FBA" w:rsidP="00D362DB">
            <w:pPr>
              <w:jc w:val="center"/>
              <w:rPr>
                <w:rFonts w:eastAsia="Calibri" w:cstheme="minorHAnsi"/>
                <w:b/>
                <w:bCs/>
                <w:lang w:val="sl-SI"/>
              </w:rPr>
            </w:pPr>
            <w:r w:rsidRPr="00D27DA9">
              <w:rPr>
                <w:rFonts w:eastAsia="Calibri" w:cstheme="minorHAnsi"/>
                <w:b/>
                <w:bCs/>
                <w:lang w:val="sl-SI"/>
              </w:rPr>
              <w:t>2020</w:t>
            </w:r>
            <w:r w:rsidR="00D63D51" w:rsidRPr="00D27DA9">
              <w:rPr>
                <w:rFonts w:eastAsia="Calibri" w:cstheme="minorHAnsi"/>
                <w:b/>
                <w:bCs/>
                <w:lang w:val="sl-SI"/>
              </w:rPr>
              <w:t xml:space="preserve"> </w:t>
            </w:r>
          </w:p>
          <w:p w14:paraId="1A633659" w14:textId="77777777" w:rsidR="00D63D51" w:rsidRPr="00D27DA9" w:rsidRDefault="00D63D51" w:rsidP="00D362DB">
            <w:pPr>
              <w:jc w:val="center"/>
              <w:rPr>
                <w:rFonts w:eastAsia="Calibri" w:cstheme="minorHAnsi"/>
                <w:b/>
                <w:bCs/>
                <w:lang w:val="sl-SI"/>
              </w:rPr>
            </w:pPr>
            <w:r w:rsidRPr="00D27DA9">
              <w:rPr>
                <w:rFonts w:eastAsia="Calibri" w:cstheme="minorHAnsi"/>
                <w:b/>
                <w:bCs/>
                <w:lang w:val="sl-SI"/>
              </w:rPr>
              <w:t>(samoocena)</w:t>
            </w:r>
          </w:p>
        </w:tc>
        <w:tc>
          <w:tcPr>
            <w:tcW w:w="4110" w:type="dxa"/>
            <w:shd w:val="clear" w:color="auto" w:fill="F2F2F2" w:themeFill="background1" w:themeFillShade="F2"/>
            <w:vAlign w:val="center"/>
          </w:tcPr>
          <w:p w14:paraId="6B28B897" w14:textId="233776A7" w:rsidR="00D63D51" w:rsidRPr="00D27DA9" w:rsidRDefault="00D63D51" w:rsidP="00D362DB">
            <w:pPr>
              <w:jc w:val="center"/>
              <w:rPr>
                <w:rFonts w:eastAsia="Calibri" w:cstheme="minorHAnsi"/>
                <w:b/>
                <w:bCs/>
                <w:lang w:val="sl-SI"/>
              </w:rPr>
            </w:pPr>
            <w:r w:rsidRPr="00D27DA9">
              <w:rPr>
                <w:rFonts w:eastAsia="Calibri" w:cstheme="minorHAnsi"/>
                <w:b/>
                <w:bCs/>
                <w:lang w:val="sl-SI"/>
              </w:rPr>
              <w:t>202</w:t>
            </w:r>
            <w:r w:rsidR="00BE0FBA" w:rsidRPr="00D27DA9">
              <w:rPr>
                <w:rFonts w:eastAsia="Calibri" w:cstheme="minorHAnsi"/>
                <w:b/>
                <w:bCs/>
                <w:lang w:val="sl-SI"/>
              </w:rPr>
              <w:t>1</w:t>
            </w:r>
            <w:r w:rsidRPr="00D27DA9">
              <w:rPr>
                <w:rFonts w:eastAsia="Calibri" w:cstheme="minorHAnsi"/>
                <w:b/>
                <w:bCs/>
                <w:lang w:val="sl-SI"/>
              </w:rPr>
              <w:t xml:space="preserve"> </w:t>
            </w:r>
          </w:p>
          <w:p w14:paraId="143E64E8" w14:textId="77777777" w:rsidR="00D63D51" w:rsidRPr="00D27DA9" w:rsidRDefault="00D63D51" w:rsidP="00D362DB">
            <w:pPr>
              <w:jc w:val="center"/>
              <w:rPr>
                <w:rFonts w:eastAsia="Calibri" w:cstheme="minorHAnsi"/>
                <w:b/>
                <w:lang w:val="sl-SI"/>
              </w:rPr>
            </w:pPr>
            <w:r w:rsidRPr="00D27DA9">
              <w:rPr>
                <w:rFonts w:eastAsia="Calibri" w:cstheme="minorHAnsi"/>
                <w:b/>
                <w:bCs/>
                <w:lang w:val="sl-SI"/>
              </w:rPr>
              <w:t>(predvideno)</w:t>
            </w:r>
          </w:p>
        </w:tc>
        <w:tc>
          <w:tcPr>
            <w:tcW w:w="4253" w:type="dxa"/>
            <w:shd w:val="clear" w:color="auto" w:fill="F2F2F2" w:themeFill="background1" w:themeFillShade="F2"/>
            <w:vAlign w:val="center"/>
          </w:tcPr>
          <w:p w14:paraId="38B1C90F" w14:textId="78D6C1C6" w:rsidR="00D63D51" w:rsidRPr="00D27DA9" w:rsidRDefault="00BE0FBA" w:rsidP="00D362DB">
            <w:pPr>
              <w:jc w:val="center"/>
              <w:rPr>
                <w:rFonts w:eastAsia="Calibri" w:cstheme="minorHAnsi"/>
                <w:b/>
                <w:bCs/>
                <w:lang w:val="sl-SI"/>
              </w:rPr>
            </w:pPr>
            <w:r w:rsidRPr="00D27DA9">
              <w:rPr>
                <w:rFonts w:eastAsia="Calibri" w:cstheme="minorHAnsi"/>
                <w:b/>
                <w:bCs/>
                <w:lang w:val="sl-SI"/>
              </w:rPr>
              <w:t>2022</w:t>
            </w:r>
            <w:r w:rsidR="00D63D51" w:rsidRPr="00D27DA9">
              <w:rPr>
                <w:rFonts w:eastAsia="Calibri" w:cstheme="minorHAnsi"/>
                <w:b/>
                <w:bCs/>
                <w:lang w:val="sl-SI"/>
              </w:rPr>
              <w:t xml:space="preserve">-2025 </w:t>
            </w:r>
          </w:p>
          <w:p w14:paraId="177B27CF" w14:textId="77777777" w:rsidR="00D63D51" w:rsidRPr="00D27DA9" w:rsidRDefault="00D63D51" w:rsidP="00D362DB">
            <w:pPr>
              <w:jc w:val="center"/>
              <w:rPr>
                <w:rFonts w:eastAsia="Calibri" w:cstheme="minorHAnsi"/>
                <w:b/>
                <w:lang w:val="sl-SI"/>
              </w:rPr>
            </w:pPr>
            <w:r w:rsidRPr="00D27DA9">
              <w:rPr>
                <w:rFonts w:eastAsia="Calibri" w:cstheme="minorHAnsi"/>
                <w:b/>
                <w:bCs/>
                <w:lang w:val="sl-SI"/>
              </w:rPr>
              <w:t>(predvideno)</w:t>
            </w:r>
          </w:p>
        </w:tc>
      </w:tr>
      <w:tr w:rsidR="00450D52" w:rsidRPr="00D27DA9" w14:paraId="76C526FB" w14:textId="77777777" w:rsidTr="00C03429">
        <w:trPr>
          <w:trHeight w:val="2486"/>
        </w:trPr>
        <w:tc>
          <w:tcPr>
            <w:tcW w:w="1115" w:type="dxa"/>
            <w:vAlign w:val="center"/>
          </w:tcPr>
          <w:p w14:paraId="6B007F16" w14:textId="77777777" w:rsidR="00450D52" w:rsidRPr="00D27DA9" w:rsidRDefault="00450D52" w:rsidP="00D362DB">
            <w:pPr>
              <w:rPr>
                <w:rFonts w:eastAsia="Calibri" w:cstheme="minorHAnsi"/>
                <w:b/>
                <w:lang w:val="sl-SI"/>
              </w:rPr>
            </w:pPr>
            <w:r w:rsidRPr="00D27DA9">
              <w:rPr>
                <w:rFonts w:eastAsia="Calibri" w:cstheme="minorHAnsi"/>
                <w:b/>
                <w:lang w:val="sl-SI"/>
              </w:rPr>
              <w:t>Zaveza 16</w:t>
            </w:r>
          </w:p>
        </w:tc>
        <w:tc>
          <w:tcPr>
            <w:tcW w:w="3686" w:type="dxa"/>
          </w:tcPr>
          <w:p w14:paraId="7D12A70C" w14:textId="6F852E72" w:rsidR="00450D52" w:rsidRPr="00D27DA9" w:rsidRDefault="00C5001C" w:rsidP="00C03429">
            <w:pPr>
              <w:jc w:val="both"/>
              <w:rPr>
                <w:rFonts w:eastAsia="Calibri" w:cstheme="minorHAnsi"/>
                <w:lang w:val="sl-SI"/>
              </w:rPr>
            </w:pPr>
            <w:r w:rsidRPr="00D27DA9">
              <w:rPr>
                <w:rFonts w:eastAsia="Calibri" w:cstheme="minorHAnsi"/>
                <w:lang w:val="sl-SI"/>
              </w:rPr>
              <w:t>Sprejeti Zakon o zagotavljanju sredstev za investicije v Slovenski vojski bo zagotovil dodatno financiranje za investicije v naslednjih 5 letih. Pri nabavi zmogljivosti bomo preverili tudi možnosti nabave ali razvoja v okviru skupnih iniciativ in preverili možna sodelovanja v okviru EU industrije.</w:t>
            </w:r>
          </w:p>
        </w:tc>
        <w:tc>
          <w:tcPr>
            <w:tcW w:w="4110" w:type="dxa"/>
          </w:tcPr>
          <w:p w14:paraId="0B04EC71" w14:textId="56370B56" w:rsidR="00450D52" w:rsidRPr="00D27DA9" w:rsidRDefault="00C5001C" w:rsidP="00C03429">
            <w:pPr>
              <w:jc w:val="both"/>
              <w:rPr>
                <w:rFonts w:cstheme="minorHAnsi"/>
                <w:lang w:val="sl-SI"/>
              </w:rPr>
            </w:pPr>
            <w:r w:rsidRPr="00D27DA9">
              <w:rPr>
                <w:rFonts w:cstheme="minorHAnsi"/>
                <w:lang w:val="sl-SI"/>
              </w:rPr>
              <w:t>Novi srednje in dolgoročni dokumenti bodo podrobneje definirali potrebne zmogljivosti. Pri njihovi izgradnji se bomo, če bo mogoče, posluževali tudi nabav in razvoja v okviru projektov in iniciativ EU.</w:t>
            </w:r>
          </w:p>
        </w:tc>
        <w:tc>
          <w:tcPr>
            <w:tcW w:w="4253" w:type="dxa"/>
            <w:shd w:val="clear" w:color="auto" w:fill="FFFFFF" w:themeFill="background1"/>
          </w:tcPr>
          <w:p w14:paraId="4EDC5C13" w14:textId="6491313D" w:rsidR="00450D52" w:rsidRPr="00D27DA9" w:rsidRDefault="00C5001C" w:rsidP="00C03429">
            <w:pPr>
              <w:jc w:val="both"/>
              <w:rPr>
                <w:rFonts w:cstheme="minorHAnsi"/>
                <w:lang w:val="sl-SI"/>
              </w:rPr>
            </w:pPr>
            <w:r w:rsidRPr="00D27DA9">
              <w:rPr>
                <w:rFonts w:cstheme="minorHAnsi"/>
                <w:lang w:val="sl-SI"/>
              </w:rPr>
              <w:t>Novi srednje in dolgoročni dokumenti bodo podrobneje definirali potrebne zmogljivosti. Pri njihovi izgradnji se bomo, če bo mogoče, posluževali tudi nabav in razvoja v okviru projektov in iniciativ EU.</w:t>
            </w:r>
          </w:p>
        </w:tc>
      </w:tr>
    </w:tbl>
    <w:p w14:paraId="467D6468" w14:textId="38BA94BA" w:rsidR="000D7DBD" w:rsidRPr="00D27DA9" w:rsidRDefault="000D7DBD">
      <w:pPr>
        <w:rPr>
          <w:rFonts w:cstheme="minorHAnsi"/>
          <w:b/>
        </w:rPr>
      </w:pPr>
      <w:r w:rsidRPr="00D27DA9">
        <w:rPr>
          <w:rFonts w:cstheme="minorHAnsi"/>
          <w:b/>
        </w:rPr>
        <w:br w:type="page"/>
      </w:r>
    </w:p>
    <w:p w14:paraId="5381B29C" w14:textId="344B3BCC" w:rsidR="00E212D3" w:rsidRPr="00D27DA9" w:rsidRDefault="00E212D3" w:rsidP="004666EE">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cstheme="minorHAnsi"/>
          <w:b/>
        </w:rPr>
      </w:pPr>
      <w:r w:rsidRPr="00D27DA9">
        <w:rPr>
          <w:rFonts w:cstheme="minorHAnsi"/>
          <w:b/>
        </w:rPr>
        <w:lastRenderedPageBreak/>
        <w:t xml:space="preserve">Zaveza 17: </w:t>
      </w:r>
      <w:r w:rsidR="004666EE" w:rsidRPr="00D27DA9">
        <w:rPr>
          <w:rFonts w:cstheme="minorHAnsi"/>
        </w:rPr>
        <w:t>Sodelovale pri vsaj enem projektu v okviru PESCO, ki razvija ali zagotavlja zmogljivosti, ki so jih države članice opredelile kot strateško pomembne.</w:t>
      </w:r>
    </w:p>
    <w:p w14:paraId="4DBB03D2" w14:textId="2A7263AD" w:rsidR="00E212D3" w:rsidRPr="00D27DA9" w:rsidRDefault="00E212D3" w:rsidP="00E212D3">
      <w:pPr>
        <w:spacing w:after="0"/>
        <w:rPr>
          <w:rFonts w:cstheme="minorHAnsi"/>
        </w:rPr>
      </w:pPr>
    </w:p>
    <w:tbl>
      <w:tblPr>
        <w:tblStyle w:val="Tabelamrea"/>
        <w:tblW w:w="0" w:type="auto"/>
        <w:tblInd w:w="8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2107"/>
        <w:gridCol w:w="4536"/>
        <w:gridCol w:w="6096"/>
      </w:tblGrid>
      <w:tr w:rsidR="00E212D3" w:rsidRPr="00D27DA9" w14:paraId="1F3D06AF" w14:textId="77777777" w:rsidTr="008C3C4E">
        <w:trPr>
          <w:trHeight w:val="359"/>
        </w:trPr>
        <w:tc>
          <w:tcPr>
            <w:tcW w:w="2107" w:type="dxa"/>
            <w:shd w:val="clear" w:color="auto" w:fill="F2F2F2" w:themeFill="background1" w:themeFillShade="F2"/>
            <w:vAlign w:val="center"/>
          </w:tcPr>
          <w:p w14:paraId="1A8E5F51" w14:textId="77777777" w:rsidR="00E212D3" w:rsidRPr="00D27DA9" w:rsidRDefault="00E212D3" w:rsidP="00D362DB">
            <w:pPr>
              <w:jc w:val="center"/>
              <w:rPr>
                <w:rFonts w:eastAsia="Calibri" w:cstheme="minorHAnsi"/>
                <w:b/>
                <w:bCs/>
                <w:lang w:val="sl-SI"/>
              </w:rPr>
            </w:pPr>
            <w:r w:rsidRPr="00D27DA9">
              <w:rPr>
                <w:rFonts w:eastAsia="Calibri" w:cstheme="minorHAnsi"/>
                <w:b/>
                <w:bCs/>
                <w:lang w:val="sl-SI"/>
              </w:rPr>
              <w:t>Projekt</w:t>
            </w:r>
          </w:p>
        </w:tc>
        <w:tc>
          <w:tcPr>
            <w:tcW w:w="4536" w:type="dxa"/>
            <w:shd w:val="clear" w:color="auto" w:fill="F2F2F2" w:themeFill="background1" w:themeFillShade="F2"/>
            <w:vAlign w:val="center"/>
          </w:tcPr>
          <w:p w14:paraId="62EB599A" w14:textId="77777777" w:rsidR="00E212D3" w:rsidRPr="00D27DA9" w:rsidRDefault="00E212D3" w:rsidP="00D362DB">
            <w:pPr>
              <w:jc w:val="center"/>
              <w:rPr>
                <w:rFonts w:eastAsia="Calibri" w:cstheme="minorHAnsi"/>
                <w:b/>
                <w:bCs/>
                <w:lang w:val="sl-SI"/>
              </w:rPr>
            </w:pPr>
            <w:r w:rsidRPr="00D27DA9">
              <w:rPr>
                <w:rFonts w:eastAsia="Calibri" w:cstheme="minorHAnsi"/>
                <w:b/>
                <w:bCs/>
                <w:lang w:val="sl-SI"/>
              </w:rPr>
              <w:t>Prispevek SLO  - VIRI (kadrovski, finančni, ipd.)</w:t>
            </w:r>
          </w:p>
        </w:tc>
        <w:tc>
          <w:tcPr>
            <w:tcW w:w="6096" w:type="dxa"/>
            <w:shd w:val="clear" w:color="auto" w:fill="F2F2F2" w:themeFill="background1" w:themeFillShade="F2"/>
            <w:vAlign w:val="center"/>
          </w:tcPr>
          <w:p w14:paraId="79D9451B" w14:textId="77777777" w:rsidR="00E212D3" w:rsidRPr="00D27DA9" w:rsidRDefault="00E212D3" w:rsidP="00D362DB">
            <w:pPr>
              <w:jc w:val="center"/>
              <w:rPr>
                <w:rFonts w:eastAsia="Calibri" w:cstheme="minorHAnsi"/>
                <w:b/>
                <w:lang w:val="sl-SI"/>
              </w:rPr>
            </w:pPr>
            <w:r w:rsidRPr="00D27DA9">
              <w:rPr>
                <w:rFonts w:eastAsia="Calibri" w:cstheme="minorHAnsi"/>
                <w:b/>
                <w:bCs/>
                <w:lang w:val="sl-SI"/>
              </w:rPr>
              <w:t>Opis predvidenega strateškega vpliva projekta</w:t>
            </w:r>
          </w:p>
        </w:tc>
      </w:tr>
      <w:tr w:rsidR="00547AD3" w:rsidRPr="00D27DA9" w14:paraId="68517254" w14:textId="77777777" w:rsidTr="008C3C4E">
        <w:trPr>
          <w:trHeight w:val="1539"/>
        </w:trPr>
        <w:tc>
          <w:tcPr>
            <w:tcW w:w="2107" w:type="dxa"/>
            <w:vAlign w:val="center"/>
          </w:tcPr>
          <w:p w14:paraId="03363461" w14:textId="77777777" w:rsidR="00547AD3" w:rsidRPr="00D27DA9" w:rsidRDefault="00547AD3" w:rsidP="00547AD3">
            <w:pPr>
              <w:rPr>
                <w:rFonts w:eastAsia="Calibri" w:cstheme="minorHAnsi"/>
                <w:b/>
                <w:lang w:val="sl-SI"/>
              </w:rPr>
            </w:pPr>
            <w:r w:rsidRPr="00D27DA9">
              <w:rPr>
                <w:rFonts w:eastAsia="Calibri" w:cstheme="minorHAnsi"/>
                <w:b/>
                <w:lang w:val="sl-SI"/>
              </w:rPr>
              <w:t>Članica:</w:t>
            </w:r>
          </w:p>
          <w:p w14:paraId="15832CFC" w14:textId="77777777" w:rsidR="00547AD3" w:rsidRPr="00D27DA9" w:rsidRDefault="00547AD3" w:rsidP="00547AD3">
            <w:pPr>
              <w:rPr>
                <w:rFonts w:eastAsia="Calibri" w:cstheme="minorHAnsi"/>
                <w:b/>
                <w:lang w:val="sl-SI"/>
              </w:rPr>
            </w:pPr>
            <w:r w:rsidRPr="00D27DA9">
              <w:rPr>
                <w:rFonts w:eastAsia="Calibri" w:cstheme="minorHAnsi"/>
                <w:b/>
                <w:lang w:val="sl-SI"/>
              </w:rPr>
              <w:t>Vojaška mobilnost (Military Mobility)</w:t>
            </w:r>
          </w:p>
          <w:p w14:paraId="518427AE" w14:textId="4F979523" w:rsidR="00547AD3" w:rsidRPr="00D27DA9" w:rsidRDefault="00547AD3" w:rsidP="00547AD3">
            <w:pPr>
              <w:rPr>
                <w:rFonts w:eastAsia="Calibri" w:cstheme="minorHAnsi"/>
                <w:b/>
                <w:highlight w:val="green"/>
                <w:lang w:val="sl-SI"/>
              </w:rPr>
            </w:pPr>
          </w:p>
        </w:tc>
        <w:tc>
          <w:tcPr>
            <w:tcW w:w="4536" w:type="dxa"/>
            <w:vAlign w:val="center"/>
          </w:tcPr>
          <w:p w14:paraId="6EFDF97C" w14:textId="77777777" w:rsidR="00547AD3" w:rsidRPr="00D27DA9" w:rsidRDefault="00547AD3" w:rsidP="00547AD3">
            <w:pPr>
              <w:jc w:val="both"/>
              <w:rPr>
                <w:rFonts w:eastAsia="Calibri" w:cstheme="minorHAnsi"/>
                <w:lang w:val="sl-SI"/>
              </w:rPr>
            </w:pPr>
            <w:r w:rsidRPr="00D27DA9">
              <w:rPr>
                <w:rFonts w:eastAsia="Calibri" w:cstheme="minorHAnsi"/>
                <w:lang w:val="sl-SI"/>
              </w:rPr>
              <w:t xml:space="preserve">V PESCO projektu Vojaška mobilnost sodelujeta predstavnik Direktorata za obrambne zadeve in predstavnik GŠSV.  Projekt predstavlja platformo za usklajevanje in usmerjanje dela na področju vojaške mobilnosti s ciljem izboljšanja vojaške mobilnosti v Evropi. Ta projekt je del širšega sklopa pobud, katerega dodana vrednost je ta, da lahko prestolnice tesno sodelujejo in usklajujejo aktivnosti vezane na vojaško mobilnost. Kratkoročno in srednjeročno se v okviru projekta razpravlja in ocenjuje napredek in izvajanje zaveze Sveta za zunanje zadeve EU (v nadaljevanju: FAC), z dne 25. 6. 2018, v zvezi z oblikovanjem mreže enotnih nacionalnih kontaktnih točk (SNPOCs)  za vojaško mobilnost. </w:t>
            </w:r>
          </w:p>
          <w:p w14:paraId="55F33220" w14:textId="2058F5F2" w:rsidR="00547AD3" w:rsidRPr="00D27DA9" w:rsidRDefault="00547AD3" w:rsidP="00547AD3">
            <w:pPr>
              <w:jc w:val="both"/>
              <w:rPr>
                <w:rFonts w:eastAsia="Calibri" w:cstheme="minorHAnsi"/>
                <w:lang w:val="sl-SI"/>
              </w:rPr>
            </w:pPr>
            <w:r w:rsidRPr="00D27DA9">
              <w:rPr>
                <w:rFonts w:eastAsia="Calibri" w:cstheme="minorHAnsi"/>
                <w:lang w:val="sl-SI"/>
              </w:rPr>
              <w:t xml:space="preserve">Skladno z zavezo FAC, z dne 25. 6. 2018, je v okviru projekta trenutno v pripravi in usklajevanju dokument »Terms of Reference for European Union National Point of Contacts Network Concerning Facilitating Interconnected Communication Between Participating EU MS«, ki naj bi bil sprejet v letu 2021. </w:t>
            </w:r>
            <w:r w:rsidRPr="00D27DA9">
              <w:rPr>
                <w:rFonts w:cstheme="minorHAnsi"/>
                <w:lang w:val="sl-SI"/>
              </w:rPr>
              <w:t>Vlaganja v prilagoditve prometne infrastrukture za dvojno rabo sledijo Akcijskemu načrtu EU za vojaško mobilnost in na ta način skozi nacionalni implementacijski načrt (NIP).</w:t>
            </w:r>
          </w:p>
        </w:tc>
        <w:tc>
          <w:tcPr>
            <w:tcW w:w="6096" w:type="dxa"/>
            <w:vAlign w:val="center"/>
          </w:tcPr>
          <w:p w14:paraId="0FE00DF9" w14:textId="64B130D0" w:rsidR="00547AD3" w:rsidRPr="00D27DA9" w:rsidRDefault="00547AD3" w:rsidP="00547AD3">
            <w:pPr>
              <w:jc w:val="both"/>
              <w:rPr>
                <w:rFonts w:cstheme="minorHAnsi"/>
                <w:lang w:val="sl-SI"/>
              </w:rPr>
            </w:pPr>
            <w:r w:rsidRPr="00D27DA9">
              <w:rPr>
                <w:rFonts w:cstheme="minorHAnsi"/>
                <w:lang w:val="sl-SI"/>
              </w:rPr>
              <w:t xml:space="preserve">Sprejete rešitve na področju vojaške mobilnosti v zvezi </w:t>
            </w:r>
            <w:r w:rsidR="008B416D">
              <w:rPr>
                <w:rFonts w:cstheme="minorHAnsi"/>
                <w:lang w:val="sl-SI"/>
              </w:rPr>
              <w:t xml:space="preserve">z </w:t>
            </w:r>
            <w:r w:rsidRPr="00D27DA9">
              <w:rPr>
                <w:rFonts w:cstheme="minorHAnsi"/>
                <w:lang w:val="sl-SI"/>
              </w:rPr>
              <w:t xml:space="preserve">optimizacijo čezmejnih premikov vojaškega osebja in opreme v Evropi za potrebe zagotavljanja nacionalne in kolektivne varnosti bodo nadgradile in optimizirale rešitve v Načrtu zagotavljanja države podpore gostiteljice v Republiki Sloveniji ter bodo pripomogle tudi k optimiziranju premikov zavezniških sil čez ozemlje Republike Slovenije, njene teritorialne vode in zračni prostor. </w:t>
            </w:r>
            <w:r w:rsidRPr="00D27DA9">
              <w:rPr>
                <w:rFonts w:eastAsia="Calibri" w:cstheme="minorHAnsi"/>
                <w:lang w:val="sl-SI"/>
              </w:rPr>
              <w:t>RS pri implementaciji nalog na področju vojaške mobilnosti na nacionalni ravni izhaja iz načela enotnega nabora zmogljivosti in komplementarnosti z Natom.</w:t>
            </w:r>
            <w:r w:rsidRPr="00D27DA9">
              <w:rPr>
                <w:rFonts w:cstheme="minorHAnsi"/>
                <w:lang w:val="sl-SI"/>
              </w:rPr>
              <w:t xml:space="preserve"> Skladno z navedenim bodo prizadevanja na področju vojaške mobilnosti in podpore države gostiteljice osredotočena na dosledno izvajanje sprejetih zavez v EU in Natu, na implementiranje sprejetih rešitev, s čemer bo RS</w:t>
            </w:r>
            <w:r w:rsidR="00C03429" w:rsidRPr="00D27DA9">
              <w:rPr>
                <w:rFonts w:cstheme="minorHAnsi"/>
                <w:lang w:val="sl-SI"/>
              </w:rPr>
              <w:t xml:space="preserve"> </w:t>
            </w:r>
            <w:r w:rsidRPr="00D27DA9">
              <w:rPr>
                <w:rFonts w:cstheme="minorHAnsi"/>
                <w:lang w:val="sl-SI"/>
              </w:rPr>
              <w:t>aktivno sodelovala pri zagotavljanju nacionalne in kolektivne varnosti ter dejavno prispevala k izvajanju SVOP.</w:t>
            </w:r>
          </w:p>
          <w:p w14:paraId="6DD6E664" w14:textId="3909290B" w:rsidR="00547AD3" w:rsidRPr="00D27DA9" w:rsidRDefault="00547AD3" w:rsidP="00547AD3">
            <w:pPr>
              <w:jc w:val="both"/>
              <w:rPr>
                <w:rFonts w:cstheme="minorHAnsi"/>
                <w:lang w:val="sl-SI"/>
              </w:rPr>
            </w:pPr>
          </w:p>
        </w:tc>
      </w:tr>
      <w:tr w:rsidR="00547AD3" w:rsidRPr="00D27DA9" w14:paraId="29FEAA22" w14:textId="77777777" w:rsidTr="008C3C4E">
        <w:trPr>
          <w:trHeight w:val="830"/>
        </w:trPr>
        <w:tc>
          <w:tcPr>
            <w:tcW w:w="2107" w:type="dxa"/>
            <w:vAlign w:val="center"/>
          </w:tcPr>
          <w:p w14:paraId="179BDEDA" w14:textId="77777777" w:rsidR="00547AD3" w:rsidRPr="00D27DA9" w:rsidRDefault="00547AD3" w:rsidP="00547AD3">
            <w:pPr>
              <w:rPr>
                <w:rFonts w:eastAsia="Calibri" w:cstheme="minorHAnsi"/>
                <w:b/>
                <w:lang w:val="sl-SI"/>
              </w:rPr>
            </w:pPr>
            <w:r w:rsidRPr="00D27DA9">
              <w:rPr>
                <w:rFonts w:eastAsia="Calibri" w:cstheme="minorHAnsi"/>
                <w:b/>
                <w:lang w:val="sl-SI"/>
              </w:rPr>
              <w:lastRenderedPageBreak/>
              <w:t>Članica:</w:t>
            </w:r>
          </w:p>
          <w:p w14:paraId="424B0FC7" w14:textId="77777777" w:rsidR="00547AD3" w:rsidRPr="00D27DA9" w:rsidRDefault="00547AD3" w:rsidP="00547AD3">
            <w:pPr>
              <w:rPr>
                <w:rFonts w:eastAsia="Calibri" w:cstheme="minorHAnsi"/>
                <w:b/>
                <w:lang w:val="sl-SI"/>
              </w:rPr>
            </w:pPr>
            <w:r w:rsidRPr="00D27DA9">
              <w:rPr>
                <w:rFonts w:eastAsia="Calibri" w:cstheme="minorHAnsi"/>
                <w:b/>
                <w:lang w:val="sl-SI"/>
              </w:rPr>
              <w:t>Mreža logističnih vozlišč v Evropi in podpora operacijam (Network of logistic Hubs in Europe and support to Operations)</w:t>
            </w:r>
          </w:p>
          <w:p w14:paraId="51C11EF8" w14:textId="422991F7" w:rsidR="00547AD3" w:rsidRPr="00D27DA9" w:rsidRDefault="00547AD3" w:rsidP="00547AD3">
            <w:pPr>
              <w:rPr>
                <w:rFonts w:eastAsia="Calibri" w:cstheme="minorHAnsi"/>
                <w:b/>
                <w:highlight w:val="green"/>
                <w:lang w:val="sl-SI"/>
              </w:rPr>
            </w:pPr>
          </w:p>
        </w:tc>
        <w:tc>
          <w:tcPr>
            <w:tcW w:w="4536" w:type="dxa"/>
            <w:vAlign w:val="center"/>
          </w:tcPr>
          <w:p w14:paraId="76FFF131" w14:textId="77777777" w:rsidR="00547AD3" w:rsidRPr="00D27DA9" w:rsidRDefault="00547AD3" w:rsidP="00C03429">
            <w:pPr>
              <w:jc w:val="both"/>
              <w:rPr>
                <w:rFonts w:eastAsia="Calibri" w:cstheme="minorHAnsi"/>
                <w:lang w:val="sl-SI"/>
              </w:rPr>
            </w:pPr>
            <w:r w:rsidRPr="00D27DA9">
              <w:rPr>
                <w:rFonts w:eastAsia="Calibri" w:cstheme="minorHAnsi"/>
                <w:lang w:val="sl-SI"/>
              </w:rPr>
              <w:t xml:space="preserve">V PESCO projektu Mreža logističnih vozlišč v Evropi in podpora operacijam sodelujeta predstavnik GŠSV, ki je nosilec projekta ter predstavnik DOZ, ki v projektu sodeluje z vidika komplementarnosti PESCO projekta Vojaška mobilnost. </w:t>
            </w:r>
          </w:p>
          <w:p w14:paraId="53D4C921" w14:textId="77777777" w:rsidR="00547AD3" w:rsidRPr="00D27DA9" w:rsidRDefault="00547AD3" w:rsidP="00C03429">
            <w:pPr>
              <w:jc w:val="both"/>
              <w:rPr>
                <w:rFonts w:eastAsia="Calibri" w:cstheme="minorHAnsi"/>
                <w:lang w:val="sl-SI"/>
              </w:rPr>
            </w:pPr>
            <w:r w:rsidRPr="00D27DA9">
              <w:rPr>
                <w:rFonts w:eastAsia="Calibri" w:cstheme="minorHAnsi"/>
                <w:lang w:val="sl-SI"/>
              </w:rPr>
              <w:t>SV namerava v okviru tega projekta svoje kapacitete, ki jih že ima opredeljene za potrebe podpore država gostiteljice (HNS)  v okviru Nata, uporabiti tudi v ta namen. Trenutno opredeljene kapacitete SV v okviru tega projekta bo v naslednjem obdobju potrebno prilagoditi zahtevanim standardom EU oziroma dogovorom v okviru NATO. Skladno z navedenim SV načrtuje vlaganja v logistična vozlišča oziroma posamezne dela vozlišč, ki le-to podpirajo; to so skladiščne kapacitete za strelivo Mačkovec pri Postojni, skladišče za splošni tovor Kidričevo, vojaško letališče in oskrbovalna postaja za zrakoplove Cerklje ob Krki z njenim bodočimi novimi skladiščnim kapacitetami Gazice.</w:t>
            </w:r>
          </w:p>
          <w:p w14:paraId="6851BF2C" w14:textId="77777777" w:rsidR="00547AD3" w:rsidRPr="00D27DA9" w:rsidRDefault="00547AD3" w:rsidP="00C03429">
            <w:pPr>
              <w:jc w:val="both"/>
              <w:rPr>
                <w:rFonts w:eastAsia="Calibri" w:cstheme="minorHAnsi"/>
                <w:lang w:val="sl-SI"/>
              </w:rPr>
            </w:pPr>
          </w:p>
          <w:p w14:paraId="76BF63B5" w14:textId="77777777" w:rsidR="001B070E" w:rsidRPr="00D27DA9" w:rsidRDefault="001B070E" w:rsidP="00C03429">
            <w:pPr>
              <w:autoSpaceDE w:val="0"/>
              <w:autoSpaceDN w:val="0"/>
              <w:adjustRightInd w:val="0"/>
              <w:jc w:val="both"/>
              <w:rPr>
                <w:rFonts w:cstheme="minorHAnsi"/>
                <w:b/>
                <w:bCs/>
                <w:lang w:val="sl-SI"/>
              </w:rPr>
            </w:pPr>
            <w:r w:rsidRPr="00D27DA9">
              <w:rPr>
                <w:rFonts w:cstheme="minorHAnsi"/>
                <w:b/>
                <w:bCs/>
                <w:lang w:val="sl-SI"/>
              </w:rPr>
              <w:t>Mreža logističnih vozlišč v Evropi in podpora za</w:t>
            </w:r>
          </w:p>
          <w:p w14:paraId="68E2703D" w14:textId="639742C1" w:rsidR="001B070E" w:rsidRPr="00D27DA9" w:rsidRDefault="001B070E" w:rsidP="00C03429">
            <w:pPr>
              <w:autoSpaceDE w:val="0"/>
              <w:autoSpaceDN w:val="0"/>
              <w:adjustRightInd w:val="0"/>
              <w:jc w:val="both"/>
              <w:rPr>
                <w:rFonts w:cstheme="minorHAnsi"/>
                <w:lang w:val="sl-SI"/>
              </w:rPr>
            </w:pPr>
            <w:r w:rsidRPr="00D27DA9">
              <w:rPr>
                <w:rFonts w:cstheme="minorHAnsi"/>
                <w:b/>
                <w:bCs/>
                <w:lang w:val="sl-SI"/>
              </w:rPr>
              <w:t xml:space="preserve">operacije: </w:t>
            </w:r>
            <w:r w:rsidRPr="00D27DA9">
              <w:rPr>
                <w:rFonts w:cstheme="minorHAnsi"/>
                <w:lang w:val="sl-SI"/>
              </w:rPr>
              <w:t xml:space="preserve">je komplementaren PESCO </w:t>
            </w:r>
            <w:r w:rsidR="00C03429" w:rsidRPr="00D27DA9">
              <w:rPr>
                <w:rFonts w:cstheme="minorHAnsi"/>
                <w:lang w:val="sl-SI"/>
              </w:rPr>
              <w:t xml:space="preserve">projekt </w:t>
            </w:r>
            <w:r w:rsidRPr="00D27DA9">
              <w:rPr>
                <w:rFonts w:cstheme="minorHAnsi"/>
                <w:lang w:val="sl-SI"/>
              </w:rPr>
              <w:t>projektu Vojaška mobilnost, katerega cilj je</w:t>
            </w:r>
            <w:r w:rsidR="00C03429" w:rsidRPr="00D27DA9">
              <w:rPr>
                <w:rFonts w:cstheme="minorHAnsi"/>
                <w:lang w:val="sl-SI"/>
              </w:rPr>
              <w:t xml:space="preserve"> </w:t>
            </w:r>
            <w:r w:rsidRPr="00D27DA9">
              <w:rPr>
                <w:rFonts w:cstheme="minorHAnsi"/>
                <w:lang w:val="sl-SI"/>
              </w:rPr>
              <w:t>vzpostaviti večnacionalno omrežje, ki bo</w:t>
            </w:r>
            <w:r w:rsidR="00C03429" w:rsidRPr="00D27DA9">
              <w:rPr>
                <w:rFonts w:cstheme="minorHAnsi"/>
                <w:lang w:val="sl-SI"/>
              </w:rPr>
              <w:t xml:space="preserve"> </w:t>
            </w:r>
            <w:r w:rsidRPr="00D27DA9">
              <w:rPr>
                <w:rFonts w:cstheme="minorHAnsi"/>
                <w:lang w:val="sl-SI"/>
              </w:rPr>
              <w:t>temeljilo na obstoječi logistični vojaški</w:t>
            </w:r>
            <w:r w:rsidR="00C03429" w:rsidRPr="00D27DA9">
              <w:rPr>
                <w:rFonts w:cstheme="minorHAnsi"/>
                <w:lang w:val="sl-SI"/>
              </w:rPr>
              <w:t xml:space="preserve"> </w:t>
            </w:r>
            <w:r w:rsidRPr="00D27DA9">
              <w:rPr>
                <w:rFonts w:cstheme="minorHAnsi"/>
                <w:lang w:val="sl-SI"/>
              </w:rPr>
              <w:t>infrastrukturi, kjer bo mogoče pripraviti vojaško</w:t>
            </w:r>
          </w:p>
          <w:p w14:paraId="578BB680" w14:textId="74DB0BD9" w:rsidR="001B070E" w:rsidRPr="00D27DA9" w:rsidRDefault="001B070E" w:rsidP="00C03429">
            <w:pPr>
              <w:autoSpaceDE w:val="0"/>
              <w:autoSpaceDN w:val="0"/>
              <w:adjustRightInd w:val="0"/>
              <w:jc w:val="both"/>
              <w:rPr>
                <w:rFonts w:cstheme="minorHAnsi"/>
                <w:lang w:val="sl-SI"/>
              </w:rPr>
            </w:pPr>
            <w:r w:rsidRPr="00D27DA9">
              <w:rPr>
                <w:rFonts w:cstheme="minorHAnsi"/>
                <w:lang w:val="sl-SI"/>
              </w:rPr>
              <w:t>opremo za transport na območja delovanja,</w:t>
            </w:r>
            <w:r w:rsidR="00C03429" w:rsidRPr="00D27DA9">
              <w:rPr>
                <w:rFonts w:cstheme="minorHAnsi"/>
                <w:lang w:val="sl-SI"/>
              </w:rPr>
              <w:t xml:space="preserve"> </w:t>
            </w:r>
            <w:r w:rsidRPr="00D27DA9">
              <w:rPr>
                <w:rFonts w:cstheme="minorHAnsi"/>
                <w:lang w:val="sl-SI"/>
              </w:rPr>
              <w:t>izvajati pretovore med različnimi vrstami</w:t>
            </w:r>
            <w:r w:rsidR="00C03429" w:rsidRPr="00D27DA9">
              <w:rPr>
                <w:rFonts w:cstheme="minorHAnsi"/>
                <w:lang w:val="sl-SI"/>
              </w:rPr>
              <w:t xml:space="preserve"> </w:t>
            </w:r>
            <w:r w:rsidRPr="00D27DA9">
              <w:rPr>
                <w:rFonts w:cstheme="minorHAnsi"/>
                <w:lang w:val="sl-SI"/>
              </w:rPr>
              <w:t>transporta, uporabiti skladiščne prostore tako za</w:t>
            </w:r>
          </w:p>
          <w:p w14:paraId="25E529B6" w14:textId="77777777" w:rsidR="001B070E" w:rsidRPr="00D27DA9" w:rsidRDefault="001B070E" w:rsidP="00C03429">
            <w:pPr>
              <w:autoSpaceDE w:val="0"/>
              <w:autoSpaceDN w:val="0"/>
              <w:adjustRightInd w:val="0"/>
              <w:jc w:val="both"/>
              <w:rPr>
                <w:rFonts w:cstheme="minorHAnsi"/>
                <w:lang w:val="sl-SI"/>
              </w:rPr>
            </w:pPr>
            <w:r w:rsidRPr="00D27DA9">
              <w:rPr>
                <w:rFonts w:cstheme="minorHAnsi"/>
                <w:lang w:val="sl-SI"/>
              </w:rPr>
              <w:t>splošni tovor kot tudi nevarno blago ter izvajati</w:t>
            </w:r>
          </w:p>
          <w:p w14:paraId="2F338705" w14:textId="377D8E6D" w:rsidR="001B070E" w:rsidRPr="00D27DA9" w:rsidRDefault="001B070E" w:rsidP="00C03429">
            <w:pPr>
              <w:autoSpaceDE w:val="0"/>
              <w:autoSpaceDN w:val="0"/>
              <w:adjustRightInd w:val="0"/>
              <w:jc w:val="both"/>
              <w:rPr>
                <w:rFonts w:cstheme="minorHAnsi"/>
                <w:lang w:val="sl-SI"/>
              </w:rPr>
            </w:pPr>
            <w:r w:rsidRPr="00D27DA9">
              <w:rPr>
                <w:rFonts w:cstheme="minorHAnsi"/>
                <w:lang w:val="sl-SI"/>
              </w:rPr>
              <w:t>procese za uskladitev dejavnosti premikov in</w:t>
            </w:r>
            <w:r w:rsidR="00C03429" w:rsidRPr="00D27DA9">
              <w:rPr>
                <w:rFonts w:cstheme="minorHAnsi"/>
                <w:lang w:val="sl-SI"/>
              </w:rPr>
              <w:t xml:space="preserve"> </w:t>
            </w:r>
            <w:r w:rsidRPr="00D27DA9">
              <w:rPr>
                <w:rFonts w:cstheme="minorHAnsi"/>
                <w:lang w:val="sl-SI"/>
              </w:rPr>
              <w:t>transporta ter začasno kratko namestitev</w:t>
            </w:r>
            <w:r w:rsidR="00C03429" w:rsidRPr="00D27DA9">
              <w:rPr>
                <w:rFonts w:cstheme="minorHAnsi"/>
                <w:lang w:val="sl-SI"/>
              </w:rPr>
              <w:t xml:space="preserve"> </w:t>
            </w:r>
            <w:r w:rsidRPr="00D27DA9">
              <w:rPr>
                <w:rFonts w:cstheme="minorHAnsi"/>
                <w:lang w:val="sl-SI"/>
              </w:rPr>
              <w:lastRenderedPageBreak/>
              <w:t>vojaških oseb. Na ta način se bo posledično zmanjšal odzivni čas za odziv EU na krizna stanja</w:t>
            </w:r>
          </w:p>
          <w:p w14:paraId="66CF858F" w14:textId="05A50F5F" w:rsidR="001B070E" w:rsidRPr="00D27DA9" w:rsidRDefault="001B070E" w:rsidP="00C03429">
            <w:pPr>
              <w:autoSpaceDE w:val="0"/>
              <w:autoSpaceDN w:val="0"/>
              <w:adjustRightInd w:val="0"/>
              <w:jc w:val="both"/>
              <w:rPr>
                <w:rFonts w:cstheme="minorHAnsi"/>
                <w:lang w:val="sl-SI"/>
              </w:rPr>
            </w:pPr>
            <w:r w:rsidRPr="00D27DA9">
              <w:rPr>
                <w:rFonts w:cstheme="minorHAnsi"/>
                <w:lang w:val="sl-SI"/>
              </w:rPr>
              <w:t>ali podporo EU misijam.</w:t>
            </w:r>
            <w:r w:rsidR="00C03429" w:rsidRPr="00D27DA9">
              <w:rPr>
                <w:rFonts w:cstheme="minorHAnsi"/>
                <w:lang w:val="sl-SI"/>
              </w:rPr>
              <w:t xml:space="preserve"> </w:t>
            </w:r>
          </w:p>
          <w:p w14:paraId="284B6E61" w14:textId="77777777" w:rsidR="00C03429" w:rsidRPr="00D27DA9" w:rsidRDefault="00C03429" w:rsidP="00C03429">
            <w:pPr>
              <w:autoSpaceDE w:val="0"/>
              <w:autoSpaceDN w:val="0"/>
              <w:adjustRightInd w:val="0"/>
              <w:jc w:val="both"/>
              <w:rPr>
                <w:rFonts w:cstheme="minorHAnsi"/>
                <w:lang w:val="sl-SI"/>
              </w:rPr>
            </w:pPr>
          </w:p>
          <w:p w14:paraId="389F3428" w14:textId="199C2D03" w:rsidR="001B070E" w:rsidRPr="00D27DA9" w:rsidRDefault="001B070E" w:rsidP="00C03429">
            <w:pPr>
              <w:autoSpaceDE w:val="0"/>
              <w:autoSpaceDN w:val="0"/>
              <w:adjustRightInd w:val="0"/>
              <w:jc w:val="both"/>
              <w:rPr>
                <w:rFonts w:cstheme="minorHAnsi"/>
                <w:lang w:val="sl-SI"/>
              </w:rPr>
            </w:pPr>
            <w:r w:rsidRPr="00D27DA9">
              <w:rPr>
                <w:rFonts w:cstheme="minorHAnsi"/>
                <w:lang w:val="sl-SI"/>
              </w:rPr>
              <w:t>Vlada Republike Slovenije se je s sklepom št.</w:t>
            </w:r>
            <w:r w:rsidR="00C03429" w:rsidRPr="00D27DA9">
              <w:rPr>
                <w:rFonts w:cstheme="minorHAnsi"/>
                <w:lang w:val="sl-SI"/>
              </w:rPr>
              <w:t xml:space="preserve"> </w:t>
            </w:r>
            <w:r w:rsidRPr="00D27DA9">
              <w:rPr>
                <w:rFonts w:cstheme="minorHAnsi"/>
                <w:lang w:val="sl-SI"/>
              </w:rPr>
              <w:t>51002-33/2020/3 z dne 5. 11. 2020, seznanila z</w:t>
            </w:r>
          </w:p>
          <w:p w14:paraId="78CDFEC2" w14:textId="208AAE09" w:rsidR="001B070E" w:rsidRPr="00D27DA9" w:rsidRDefault="001B070E" w:rsidP="00C03429">
            <w:pPr>
              <w:autoSpaceDE w:val="0"/>
              <w:autoSpaceDN w:val="0"/>
              <w:adjustRightInd w:val="0"/>
              <w:jc w:val="both"/>
              <w:rPr>
                <w:rFonts w:eastAsia="Calibri" w:cstheme="minorHAnsi"/>
                <w:lang w:val="sl-SI"/>
              </w:rPr>
            </w:pPr>
            <w:r w:rsidRPr="00D27DA9">
              <w:rPr>
                <w:rFonts w:cstheme="minorHAnsi"/>
                <w:lang w:val="sl-SI"/>
              </w:rPr>
              <w:t>Informacijo o nameravanem podpisu Dogovora o</w:t>
            </w:r>
            <w:r w:rsidR="00C03429" w:rsidRPr="00D27DA9">
              <w:rPr>
                <w:rFonts w:cstheme="minorHAnsi"/>
                <w:lang w:val="sl-SI"/>
              </w:rPr>
              <w:t xml:space="preserve"> </w:t>
            </w:r>
            <w:r w:rsidRPr="00D27DA9">
              <w:rPr>
                <w:rFonts w:cstheme="minorHAnsi"/>
                <w:lang w:val="sl-SI"/>
              </w:rPr>
              <w:t>vodenju projekta PESCO Mreža logističnih vozlišč</w:t>
            </w:r>
            <w:r w:rsidR="00C03429" w:rsidRPr="00D27DA9">
              <w:rPr>
                <w:rFonts w:cstheme="minorHAnsi"/>
                <w:lang w:val="sl-SI"/>
              </w:rPr>
              <w:t xml:space="preserve"> </w:t>
            </w:r>
            <w:r w:rsidRPr="00D27DA9">
              <w:rPr>
                <w:rFonts w:cstheme="minorHAnsi"/>
                <w:lang w:val="sl-SI"/>
              </w:rPr>
              <w:t>v Evropi in podpora za operacije. Dogovor o</w:t>
            </w:r>
            <w:r w:rsidR="00C03429" w:rsidRPr="00D27DA9">
              <w:rPr>
                <w:rFonts w:cstheme="minorHAnsi"/>
                <w:lang w:val="sl-SI"/>
              </w:rPr>
              <w:t xml:space="preserve"> </w:t>
            </w:r>
            <w:r w:rsidRPr="00D27DA9">
              <w:rPr>
                <w:rFonts w:cstheme="minorHAnsi"/>
                <w:lang w:val="sl-SI"/>
              </w:rPr>
              <w:t>vodenju projekta PESCO Mreža logističnih vozlišč</w:t>
            </w:r>
            <w:r w:rsidR="00C03429" w:rsidRPr="00D27DA9">
              <w:rPr>
                <w:rFonts w:cstheme="minorHAnsi"/>
                <w:lang w:val="sl-SI"/>
              </w:rPr>
              <w:t xml:space="preserve"> </w:t>
            </w:r>
            <w:r w:rsidRPr="00D27DA9">
              <w:rPr>
                <w:rFonts w:cstheme="minorHAnsi"/>
                <w:lang w:val="sl-SI"/>
              </w:rPr>
              <w:t>v Evropi in podpora za operacije bo podpisan v</w:t>
            </w:r>
            <w:r w:rsidR="00C03429" w:rsidRPr="00D27DA9">
              <w:rPr>
                <w:rFonts w:cstheme="minorHAnsi"/>
                <w:lang w:val="sl-SI"/>
              </w:rPr>
              <w:t xml:space="preserve"> </w:t>
            </w:r>
            <w:r w:rsidRPr="00D27DA9">
              <w:rPr>
                <w:rFonts w:cstheme="minorHAnsi"/>
                <w:lang w:val="sl-SI"/>
              </w:rPr>
              <w:t>mesecu december 2020.</w:t>
            </w:r>
            <w:r w:rsidR="00C03429" w:rsidRPr="00D27DA9">
              <w:rPr>
                <w:rFonts w:cstheme="minorHAnsi"/>
                <w:lang w:val="sl-SI"/>
              </w:rPr>
              <w:t xml:space="preserve"> </w:t>
            </w:r>
            <w:r w:rsidRPr="00D27DA9">
              <w:rPr>
                <w:rFonts w:cstheme="minorHAnsi"/>
                <w:lang w:val="sl-SI"/>
              </w:rPr>
              <w:t>SV v okviru tega projekta ne namerava podvajati</w:t>
            </w:r>
            <w:r w:rsidR="00C03429" w:rsidRPr="00D27DA9">
              <w:rPr>
                <w:rFonts w:cstheme="minorHAnsi"/>
                <w:lang w:val="sl-SI"/>
              </w:rPr>
              <w:t xml:space="preserve"> </w:t>
            </w:r>
            <w:r w:rsidRPr="00D27DA9">
              <w:rPr>
                <w:rFonts w:cstheme="minorHAnsi"/>
                <w:lang w:val="sl-SI"/>
              </w:rPr>
              <w:t>svojih kapacitet, ampak že opredeljene</w:t>
            </w:r>
            <w:r w:rsidR="00C03429" w:rsidRPr="00D27DA9">
              <w:rPr>
                <w:rFonts w:cstheme="minorHAnsi"/>
                <w:lang w:val="sl-SI"/>
              </w:rPr>
              <w:t xml:space="preserve"> </w:t>
            </w:r>
            <w:r w:rsidRPr="00D27DA9">
              <w:rPr>
                <w:rFonts w:cstheme="minorHAnsi"/>
                <w:lang w:val="sl-SI"/>
              </w:rPr>
              <w:t>kapacitete v okviru NATO projekta podpora</w:t>
            </w:r>
            <w:r w:rsidR="00C03429" w:rsidRPr="00D27DA9">
              <w:rPr>
                <w:rFonts w:cstheme="minorHAnsi"/>
                <w:lang w:val="sl-SI"/>
              </w:rPr>
              <w:t xml:space="preserve"> </w:t>
            </w:r>
            <w:r w:rsidRPr="00D27DA9">
              <w:rPr>
                <w:rFonts w:cstheme="minorHAnsi"/>
                <w:lang w:val="sl-SI"/>
              </w:rPr>
              <w:t>država gostiteljice (HNS) uporabiti tudi v ta</w:t>
            </w:r>
            <w:r w:rsidR="00C03429" w:rsidRPr="00D27DA9">
              <w:rPr>
                <w:rFonts w:cstheme="minorHAnsi"/>
                <w:lang w:val="sl-SI"/>
              </w:rPr>
              <w:t xml:space="preserve"> </w:t>
            </w:r>
            <w:r w:rsidRPr="00D27DA9">
              <w:rPr>
                <w:rFonts w:cstheme="minorHAnsi"/>
                <w:lang w:val="sl-SI"/>
              </w:rPr>
              <w:t>namen. Trenutno opredeljene kapacitete SV v</w:t>
            </w:r>
            <w:r w:rsidR="00C03429" w:rsidRPr="00D27DA9">
              <w:rPr>
                <w:rFonts w:cstheme="minorHAnsi"/>
                <w:lang w:val="sl-SI"/>
              </w:rPr>
              <w:t xml:space="preserve"> </w:t>
            </w:r>
            <w:r w:rsidRPr="00D27DA9">
              <w:rPr>
                <w:rFonts w:cstheme="minorHAnsi"/>
                <w:lang w:val="sl-SI"/>
              </w:rPr>
              <w:t>okviru tega projekta bo v naslednjem obdobju</w:t>
            </w:r>
            <w:r w:rsidR="00C03429" w:rsidRPr="00D27DA9">
              <w:rPr>
                <w:rFonts w:cstheme="minorHAnsi"/>
                <w:lang w:val="sl-SI"/>
              </w:rPr>
              <w:t xml:space="preserve"> </w:t>
            </w:r>
            <w:r w:rsidRPr="00D27DA9">
              <w:rPr>
                <w:rFonts w:cstheme="minorHAnsi"/>
                <w:lang w:val="sl-SI"/>
              </w:rPr>
              <w:t>potrebno prila</w:t>
            </w:r>
            <w:r w:rsidR="00C03429" w:rsidRPr="00D27DA9">
              <w:rPr>
                <w:rFonts w:cstheme="minorHAnsi"/>
                <w:lang w:val="sl-SI"/>
              </w:rPr>
              <w:t xml:space="preserve">goditi zahtevanim standardom EU </w:t>
            </w:r>
            <w:r w:rsidRPr="00D27DA9">
              <w:rPr>
                <w:rFonts w:cstheme="minorHAnsi"/>
                <w:lang w:val="sl-SI"/>
              </w:rPr>
              <w:t>oziroma dogovorom v okviru NATO. Skladno z</w:t>
            </w:r>
            <w:r w:rsidR="00C03429" w:rsidRPr="00D27DA9">
              <w:rPr>
                <w:rFonts w:cstheme="minorHAnsi"/>
                <w:lang w:val="sl-SI"/>
              </w:rPr>
              <w:t xml:space="preserve"> </w:t>
            </w:r>
            <w:r w:rsidRPr="00D27DA9">
              <w:rPr>
                <w:rFonts w:cstheme="minorHAnsi"/>
                <w:lang w:val="sl-SI"/>
              </w:rPr>
              <w:t>navede</w:t>
            </w:r>
            <w:r w:rsidR="00C03429" w:rsidRPr="00D27DA9">
              <w:rPr>
                <w:rFonts w:cstheme="minorHAnsi"/>
                <w:lang w:val="sl-SI"/>
              </w:rPr>
              <w:t>n</w:t>
            </w:r>
            <w:r w:rsidRPr="00D27DA9">
              <w:rPr>
                <w:rFonts w:cstheme="minorHAnsi"/>
                <w:lang w:val="sl-SI"/>
              </w:rPr>
              <w:t>im SV načrtuje vlaganja v logistična</w:t>
            </w:r>
            <w:r w:rsidR="00C03429" w:rsidRPr="00D27DA9">
              <w:rPr>
                <w:rFonts w:cstheme="minorHAnsi"/>
                <w:lang w:val="sl-SI"/>
              </w:rPr>
              <w:t xml:space="preserve"> </w:t>
            </w:r>
            <w:r w:rsidRPr="00D27DA9">
              <w:rPr>
                <w:rFonts w:cstheme="minorHAnsi"/>
                <w:lang w:val="sl-SI"/>
              </w:rPr>
              <w:t>vozlišča oziroma p</w:t>
            </w:r>
            <w:r w:rsidR="00C03429" w:rsidRPr="00D27DA9">
              <w:rPr>
                <w:rFonts w:cstheme="minorHAnsi"/>
                <w:lang w:val="sl-SI"/>
              </w:rPr>
              <w:t xml:space="preserve">osamezne dela vozlišč, ki le-to </w:t>
            </w:r>
            <w:r w:rsidRPr="00D27DA9">
              <w:rPr>
                <w:rFonts w:cstheme="minorHAnsi"/>
                <w:lang w:val="sl-SI"/>
              </w:rPr>
              <w:t>podpirajo; to so skladiščne kapacitete za strelivo</w:t>
            </w:r>
            <w:r w:rsidR="00C03429" w:rsidRPr="00D27DA9">
              <w:rPr>
                <w:rFonts w:cstheme="minorHAnsi"/>
                <w:lang w:val="sl-SI"/>
              </w:rPr>
              <w:t xml:space="preserve"> </w:t>
            </w:r>
            <w:r w:rsidRPr="00D27DA9">
              <w:rPr>
                <w:rFonts w:cstheme="minorHAnsi"/>
                <w:lang w:val="sl-SI"/>
              </w:rPr>
              <w:t>Mačkovec pri Postojni, skladišče za splošni tovor</w:t>
            </w:r>
            <w:r w:rsidR="00C03429" w:rsidRPr="00D27DA9">
              <w:rPr>
                <w:rFonts w:cstheme="minorHAnsi"/>
                <w:lang w:val="sl-SI"/>
              </w:rPr>
              <w:t xml:space="preserve"> </w:t>
            </w:r>
            <w:r w:rsidRPr="00D27DA9">
              <w:rPr>
                <w:rFonts w:cstheme="minorHAnsi"/>
                <w:lang w:val="sl-SI"/>
              </w:rPr>
              <w:t>Kidričevo, vojaško letališče in oskrbovalna</w:t>
            </w:r>
            <w:r w:rsidR="00C03429" w:rsidRPr="00D27DA9">
              <w:rPr>
                <w:rFonts w:cstheme="minorHAnsi"/>
                <w:lang w:val="sl-SI"/>
              </w:rPr>
              <w:t xml:space="preserve"> </w:t>
            </w:r>
            <w:r w:rsidRPr="00D27DA9">
              <w:rPr>
                <w:rFonts w:cstheme="minorHAnsi"/>
                <w:lang w:val="sl-SI"/>
              </w:rPr>
              <w:t>postaja za zrakoplove Cerklje ob Krki z njenim</w:t>
            </w:r>
            <w:r w:rsidR="00C03429" w:rsidRPr="00D27DA9">
              <w:rPr>
                <w:rFonts w:cstheme="minorHAnsi"/>
                <w:lang w:val="sl-SI"/>
              </w:rPr>
              <w:t xml:space="preserve"> </w:t>
            </w:r>
            <w:r w:rsidRPr="00D27DA9">
              <w:rPr>
                <w:rFonts w:cstheme="minorHAnsi"/>
                <w:lang w:val="sl-SI"/>
              </w:rPr>
              <w:t>bodočimi novimi skladiščnim kapacitetami</w:t>
            </w:r>
            <w:r w:rsidR="00C03429" w:rsidRPr="00D27DA9">
              <w:rPr>
                <w:rFonts w:cstheme="minorHAnsi"/>
                <w:lang w:val="sl-SI"/>
              </w:rPr>
              <w:t xml:space="preserve"> </w:t>
            </w:r>
            <w:r w:rsidRPr="00D27DA9">
              <w:rPr>
                <w:rFonts w:cstheme="minorHAnsi"/>
                <w:lang w:val="sl-SI"/>
              </w:rPr>
              <w:t>Gazice.</w:t>
            </w:r>
          </w:p>
        </w:tc>
        <w:tc>
          <w:tcPr>
            <w:tcW w:w="6096" w:type="dxa"/>
            <w:vAlign w:val="center"/>
          </w:tcPr>
          <w:p w14:paraId="2E0E51A6" w14:textId="77777777" w:rsidR="00547AD3" w:rsidRPr="00D27DA9" w:rsidRDefault="00547AD3" w:rsidP="00547AD3">
            <w:pPr>
              <w:jc w:val="both"/>
              <w:rPr>
                <w:rFonts w:eastAsia="Calibri" w:cstheme="minorHAnsi"/>
                <w:lang w:val="sl-SI"/>
              </w:rPr>
            </w:pPr>
            <w:r w:rsidRPr="00D27DA9">
              <w:rPr>
                <w:rFonts w:eastAsia="Calibri" w:cstheme="minorHAnsi"/>
                <w:lang w:val="sl-SI"/>
              </w:rPr>
              <w:lastRenderedPageBreak/>
              <w:t xml:space="preserve">Cilj projekta Mreža logističnih vozlišč v Evropi in podpora operacijam je vzpostaviti večnacionalno omrežje, ki bo temeljilo na obstoječi logistični vojaški infrastrukturi, kjer bo mogoče pripraviti vojaško opremo za transport na območja delovanja, izvajati pretovore med različnimi vrstami transporta, uporabiti skladiščne prostore tako za splošni tovor kot tudi nevarno blago ter izvajati procese za uskladitev dejavnosti premikov in transporta ter začasno kratko namestitev vojaških oseb. Na ta način se bo posledično zmanjšal odzivni čas za odziv EU na krizna stanja ali podporo EU misijam. Logistične zmogljivosti bodo uporabljene tudi za potrebe izvajanja aktivnosti vezanih na zagotavljanje kolektivne varnosti v okviru zavezništva. </w:t>
            </w:r>
          </w:p>
          <w:p w14:paraId="1DE96689" w14:textId="77777777" w:rsidR="001B070E" w:rsidRPr="00D27DA9" w:rsidRDefault="001B070E" w:rsidP="00547AD3">
            <w:pPr>
              <w:jc w:val="both"/>
              <w:rPr>
                <w:rFonts w:eastAsia="Calibri" w:cstheme="minorHAnsi"/>
                <w:lang w:val="sl-SI"/>
              </w:rPr>
            </w:pPr>
          </w:p>
          <w:p w14:paraId="11B3638C" w14:textId="0E1CA510" w:rsidR="001B070E" w:rsidRPr="00D27DA9" w:rsidRDefault="001B070E" w:rsidP="00C03429">
            <w:pPr>
              <w:autoSpaceDE w:val="0"/>
              <w:autoSpaceDN w:val="0"/>
              <w:adjustRightInd w:val="0"/>
              <w:jc w:val="both"/>
              <w:rPr>
                <w:rFonts w:cstheme="minorHAnsi"/>
                <w:lang w:val="sl-SI"/>
              </w:rPr>
            </w:pPr>
            <w:r w:rsidRPr="00D27DA9">
              <w:rPr>
                <w:rFonts w:cstheme="minorHAnsi"/>
                <w:lang w:val="sl-SI"/>
              </w:rPr>
              <w:t xml:space="preserve">Državni Sekretar MORS je dne </w:t>
            </w:r>
            <w:r w:rsidR="00AD4F87" w:rsidRPr="00AD4F87">
              <w:rPr>
                <w:rFonts w:cstheme="minorHAnsi"/>
                <w:lang w:val="sl-SI"/>
              </w:rPr>
              <w:t>14</w:t>
            </w:r>
            <w:r w:rsidRPr="00AD4F87">
              <w:rPr>
                <w:rFonts w:cstheme="minorHAnsi"/>
                <w:lang w:val="sl-SI"/>
              </w:rPr>
              <w:t>.</w:t>
            </w:r>
            <w:r w:rsidRPr="00D27DA9">
              <w:rPr>
                <w:rFonts w:cstheme="minorHAnsi"/>
                <w:lang w:val="sl-SI"/>
              </w:rPr>
              <w:t xml:space="preserve"> 01. 2021 podpisal PESCO Project</w:t>
            </w:r>
            <w:r w:rsidR="00C03429" w:rsidRPr="00D27DA9">
              <w:rPr>
                <w:rFonts w:cstheme="minorHAnsi"/>
                <w:lang w:val="sl-SI"/>
              </w:rPr>
              <w:t xml:space="preserve"> Management Arrangement “N</w:t>
            </w:r>
            <w:r w:rsidRPr="00D27DA9">
              <w:rPr>
                <w:rFonts w:cstheme="minorHAnsi"/>
                <w:lang w:val="sl-SI"/>
              </w:rPr>
              <w:t>etwork of logistic Hubs in Europe</w:t>
            </w:r>
            <w:r w:rsidR="00C03429" w:rsidRPr="00D27DA9">
              <w:rPr>
                <w:rFonts w:cstheme="minorHAnsi"/>
                <w:lang w:val="sl-SI"/>
              </w:rPr>
              <w:t xml:space="preserve"> </w:t>
            </w:r>
            <w:r w:rsidRPr="00D27DA9">
              <w:rPr>
                <w:rFonts w:cstheme="minorHAnsi"/>
                <w:lang w:val="sl-SI"/>
              </w:rPr>
              <w:t>and Support to Operations</w:t>
            </w:r>
            <w:r w:rsidR="00C03429" w:rsidRPr="00D27DA9">
              <w:rPr>
                <w:rFonts w:cstheme="minorHAnsi"/>
                <w:lang w:val="sl-SI"/>
              </w:rPr>
              <w:t>”</w:t>
            </w:r>
            <w:r w:rsidRPr="00D27DA9">
              <w:rPr>
                <w:rFonts w:cstheme="minorHAnsi"/>
                <w:lang w:val="sl-SI"/>
              </w:rPr>
              <w:t>.</w:t>
            </w:r>
            <w:r w:rsidR="00C03429" w:rsidRPr="00D27DA9">
              <w:rPr>
                <w:rFonts w:cstheme="minorHAnsi"/>
                <w:lang w:val="sl-SI"/>
              </w:rPr>
              <w:t xml:space="preserve"> </w:t>
            </w:r>
            <w:r w:rsidRPr="00D27DA9">
              <w:rPr>
                <w:rFonts w:cstheme="minorHAnsi"/>
                <w:lang w:val="sl-SI"/>
              </w:rPr>
              <w:t>Cilj projekta je izboljšati strateško logistično podporo in</w:t>
            </w:r>
            <w:r w:rsidR="00C03429" w:rsidRPr="00D27DA9">
              <w:rPr>
                <w:rFonts w:cstheme="minorHAnsi"/>
                <w:lang w:val="sl-SI"/>
              </w:rPr>
              <w:t xml:space="preserve"> </w:t>
            </w:r>
            <w:r w:rsidRPr="00D27DA9">
              <w:rPr>
                <w:rFonts w:cstheme="minorHAnsi"/>
                <w:lang w:val="sl-SI"/>
              </w:rPr>
              <w:t>usmerjanje sil na misijah in operacijah EU. Namen je vzpostavitev</w:t>
            </w:r>
            <w:r w:rsidR="00C03429" w:rsidRPr="00D27DA9">
              <w:rPr>
                <w:rFonts w:cstheme="minorHAnsi"/>
                <w:lang w:val="sl-SI"/>
              </w:rPr>
              <w:t xml:space="preserve"> </w:t>
            </w:r>
            <w:r w:rsidRPr="00D27DA9">
              <w:rPr>
                <w:rFonts w:cstheme="minorHAnsi"/>
                <w:lang w:val="sl-SI"/>
              </w:rPr>
              <w:t>čezmejne rešitve za bolj učinkovit</w:t>
            </w:r>
            <w:r w:rsidR="00C03429" w:rsidRPr="00D27DA9">
              <w:rPr>
                <w:rFonts w:cstheme="minorHAnsi"/>
                <w:lang w:val="sl-SI"/>
              </w:rPr>
              <w:t xml:space="preserve">o vojaško transportno logistiko </w:t>
            </w:r>
            <w:r w:rsidRPr="00D27DA9">
              <w:rPr>
                <w:rFonts w:cstheme="minorHAnsi"/>
                <w:lang w:val="sl-SI"/>
              </w:rPr>
              <w:t xml:space="preserve">in povezavo z </w:t>
            </w:r>
            <w:r w:rsidR="00C03429" w:rsidRPr="00D27DA9">
              <w:rPr>
                <w:rFonts w:cstheme="minorHAnsi"/>
                <w:lang w:val="sl-SI"/>
              </w:rPr>
              <w:t>o</w:t>
            </w:r>
            <w:r w:rsidRPr="00D27DA9">
              <w:rPr>
                <w:rFonts w:cstheme="minorHAnsi"/>
                <w:lang w:val="sl-SI"/>
              </w:rPr>
              <w:t>bstoječimi evropskimi iniciativami pod skupnim</w:t>
            </w:r>
            <w:r w:rsidR="00C03429" w:rsidRPr="00D27DA9">
              <w:rPr>
                <w:rFonts w:cstheme="minorHAnsi"/>
                <w:lang w:val="sl-SI"/>
              </w:rPr>
              <w:t xml:space="preserve"> </w:t>
            </w:r>
            <w:r w:rsidRPr="00D27DA9">
              <w:rPr>
                <w:rFonts w:cstheme="minorHAnsi"/>
                <w:lang w:val="sl-SI"/>
              </w:rPr>
              <w:t>logističnim dežnikom. Od projekta se pričakuje izboljšanje</w:t>
            </w:r>
            <w:r w:rsidR="00C03429" w:rsidRPr="00D27DA9">
              <w:rPr>
                <w:rFonts w:cstheme="minorHAnsi"/>
                <w:lang w:val="sl-SI"/>
              </w:rPr>
              <w:t xml:space="preserve"> </w:t>
            </w:r>
            <w:r w:rsidRPr="00D27DA9">
              <w:rPr>
                <w:rFonts w:cstheme="minorHAnsi"/>
                <w:lang w:val="sl-SI"/>
              </w:rPr>
              <w:t>logističnega načrtovanja in gibanja, kot tudi predstavitev skupnih</w:t>
            </w:r>
            <w:r w:rsidR="00C03429" w:rsidRPr="00D27DA9">
              <w:rPr>
                <w:rFonts w:cstheme="minorHAnsi"/>
                <w:lang w:val="sl-SI"/>
              </w:rPr>
              <w:t xml:space="preserve"> </w:t>
            </w:r>
            <w:r w:rsidRPr="00D27DA9">
              <w:rPr>
                <w:rFonts w:cstheme="minorHAnsi"/>
                <w:lang w:val="sl-SI"/>
              </w:rPr>
              <w:t>standardov in postopkov, ki bodo izdatno izboljšali zmožnosti EU</w:t>
            </w:r>
            <w:r w:rsidR="00C03429" w:rsidRPr="00D27DA9">
              <w:rPr>
                <w:rFonts w:cstheme="minorHAnsi"/>
                <w:lang w:val="sl-SI"/>
              </w:rPr>
              <w:t xml:space="preserve"> </w:t>
            </w:r>
            <w:r w:rsidRPr="00D27DA9">
              <w:rPr>
                <w:rFonts w:cstheme="minorHAnsi"/>
                <w:lang w:val="sl-SI"/>
              </w:rPr>
              <w:t>in NATO za izvajanje najbolj zahtevnih misij.</w:t>
            </w:r>
          </w:p>
        </w:tc>
      </w:tr>
      <w:tr w:rsidR="0030667A" w:rsidRPr="00D27DA9" w14:paraId="0F8AE7A3" w14:textId="77777777" w:rsidTr="008C3C4E">
        <w:trPr>
          <w:trHeight w:val="2659"/>
        </w:trPr>
        <w:tc>
          <w:tcPr>
            <w:tcW w:w="2107" w:type="dxa"/>
            <w:vAlign w:val="center"/>
          </w:tcPr>
          <w:p w14:paraId="29D19DA4" w14:textId="77777777" w:rsidR="0030667A" w:rsidRPr="00D27DA9" w:rsidRDefault="0030667A" w:rsidP="0030667A">
            <w:pPr>
              <w:rPr>
                <w:rFonts w:eastAsia="Calibri" w:cstheme="minorHAnsi"/>
                <w:b/>
                <w:lang w:val="sl-SI"/>
              </w:rPr>
            </w:pPr>
            <w:r w:rsidRPr="00D27DA9">
              <w:rPr>
                <w:rFonts w:eastAsia="Calibri" w:cstheme="minorHAnsi"/>
                <w:b/>
                <w:lang w:val="sl-SI"/>
              </w:rPr>
              <w:lastRenderedPageBreak/>
              <w:t>Članica:</w:t>
            </w:r>
          </w:p>
          <w:p w14:paraId="714B330A" w14:textId="77777777" w:rsidR="0030667A" w:rsidRPr="00D27DA9" w:rsidRDefault="0030667A" w:rsidP="0030667A">
            <w:pPr>
              <w:rPr>
                <w:rFonts w:eastAsia="Calibri" w:cstheme="minorHAnsi"/>
                <w:b/>
                <w:lang w:val="sl-SI"/>
              </w:rPr>
            </w:pPr>
            <w:r w:rsidRPr="00D27DA9">
              <w:rPr>
                <w:rFonts w:eastAsia="Calibri" w:cstheme="minorHAnsi"/>
                <w:b/>
                <w:lang w:val="sl-SI"/>
              </w:rPr>
              <w:t>Nadzor JRKB kot storitev (CBRN Saas)</w:t>
            </w:r>
          </w:p>
          <w:p w14:paraId="69995466" w14:textId="167A2DE7" w:rsidR="0030667A" w:rsidRPr="00D27DA9" w:rsidRDefault="0030667A" w:rsidP="0030667A">
            <w:pPr>
              <w:rPr>
                <w:rFonts w:eastAsia="Calibri" w:cstheme="minorHAnsi"/>
                <w:b/>
                <w:highlight w:val="green"/>
                <w:lang w:val="sl-SI"/>
              </w:rPr>
            </w:pPr>
          </w:p>
        </w:tc>
        <w:tc>
          <w:tcPr>
            <w:tcW w:w="4536" w:type="dxa"/>
            <w:vAlign w:val="center"/>
          </w:tcPr>
          <w:p w14:paraId="3A47B342" w14:textId="086D1B15" w:rsidR="0030667A" w:rsidRPr="0030667A" w:rsidRDefault="0030667A" w:rsidP="0030667A">
            <w:pPr>
              <w:autoSpaceDE w:val="0"/>
              <w:autoSpaceDN w:val="0"/>
              <w:adjustRightInd w:val="0"/>
              <w:jc w:val="both"/>
              <w:rPr>
                <w:rFonts w:eastAsia="Calibri" w:cstheme="minorHAnsi"/>
                <w:lang w:val="sl-SI"/>
              </w:rPr>
            </w:pPr>
            <w:r w:rsidRPr="0030667A">
              <w:rPr>
                <w:rFonts w:eastAsia="Calibri" w:cstheme="minorHAnsi"/>
                <w:lang w:val="sl-SI"/>
              </w:rPr>
              <w:t xml:space="preserve">Nosilec projekta je Direktorat za logistiko, katerega predstavniki skupaj s predstavniki Direktorata za obrambno politiko ter predstavniki GŠSV sodelujejo v skupini Ministrstva za obrambo za izvajanje projektnega dogovora.  Predstavnik GŠSV je tudi imenovan  na mesto predstavnika PAMG (Project Arrangement Management Group), ki ima pri projektu tudi pravico do glasovanja. Predstavnik Oddelka za standardizacijo in kodifikacijo je tudi vodja Strokovne skupine za proces standardizacije pri celotnem projektu. Pri projektu sodelujejo tudi mala in srednja podjetja iz RS, ki so vključena v industrijski konzorcij. Podjetja bodo skupaj s sopodpisnicami projektnega dogovora enakovreden lastnik končnega produkta. Projektni dogovor je bil podpisan 12. 11. 2019 v Bruslju s strani ministra za obrambo. Finančne posledice sklenitve projektnega dogovora znašajo za RS 400.000,00 EUR. </w:t>
            </w:r>
          </w:p>
        </w:tc>
        <w:tc>
          <w:tcPr>
            <w:tcW w:w="6096" w:type="dxa"/>
            <w:vAlign w:val="center"/>
          </w:tcPr>
          <w:p w14:paraId="6BB4BB86" w14:textId="5CB4A94D" w:rsidR="0030667A" w:rsidRPr="0030667A" w:rsidRDefault="0030667A" w:rsidP="0030667A">
            <w:pPr>
              <w:autoSpaceDE w:val="0"/>
              <w:autoSpaceDN w:val="0"/>
              <w:adjustRightInd w:val="0"/>
              <w:jc w:val="both"/>
              <w:rPr>
                <w:rFonts w:cstheme="minorHAnsi"/>
                <w:lang w:val="sl-SI"/>
              </w:rPr>
            </w:pPr>
            <w:r w:rsidRPr="0030667A">
              <w:rPr>
                <w:rFonts w:cstheme="minorHAnsi"/>
                <w:iCs/>
                <w:lang w:val="sl-SI"/>
              </w:rPr>
              <w:t>Glavni namen projekta je oblikovati zmogljivost za prepoznavanje JRKB groženj v realnem času, vključevala pa bo mrežo JRKB senzorjev na različnih brezpilotnih platformah za detekcijo groženj. Zmogljivost bo na podlagi razvoja tehnologij s soudeležbo malih in srednjih podjetij ter že razvitih produktov in integracijo le-teh na skupno platformo, omogočala vzpostavitev prepoznavne JRKB slike od senzorja do poveljujočega v vojaški strukturi. Rezultat bo na razpolago tudi drugim državam članicam ali tretjim entitetam, ki bi storitev morebiti potrebovale. Gre za skupni projekt, ki so ga države Pobude za obrambno sodelovanje držav Srednje Evrope predlagale v okviru stalnega strukturnega sodelovanja in evropskega programa za razvoj obrambne industrije (EDIDP), prek katerih se implementirajo določbe 4. in 42. člena Pogodbe o Evropski uniji ter 173. Člena Pogodbe o delovanju Evropske unije.</w:t>
            </w:r>
          </w:p>
        </w:tc>
      </w:tr>
      <w:tr w:rsidR="0057252B" w:rsidRPr="00D27DA9" w14:paraId="1AA0EE3F" w14:textId="77777777" w:rsidTr="00F70C15">
        <w:trPr>
          <w:trHeight w:val="3949"/>
        </w:trPr>
        <w:tc>
          <w:tcPr>
            <w:tcW w:w="2107" w:type="dxa"/>
            <w:vAlign w:val="center"/>
          </w:tcPr>
          <w:p w14:paraId="5EE517AD" w14:textId="77777777" w:rsidR="0057252B" w:rsidRPr="00D27DA9" w:rsidRDefault="0057252B" w:rsidP="00CA36A5">
            <w:pPr>
              <w:rPr>
                <w:rFonts w:eastAsia="Calibri" w:cstheme="minorHAnsi"/>
                <w:b/>
                <w:lang w:val="sl-SI"/>
              </w:rPr>
            </w:pPr>
            <w:r w:rsidRPr="00D27DA9">
              <w:rPr>
                <w:rFonts w:eastAsia="Calibri" w:cstheme="minorHAnsi"/>
                <w:b/>
                <w:lang w:val="sl-SI"/>
              </w:rPr>
              <w:lastRenderedPageBreak/>
              <w:t>Članica:</w:t>
            </w:r>
          </w:p>
          <w:p w14:paraId="6B016217" w14:textId="77777777" w:rsidR="0057252B" w:rsidRPr="00D27DA9" w:rsidRDefault="0057252B" w:rsidP="00CA36A5">
            <w:pPr>
              <w:rPr>
                <w:rFonts w:eastAsia="Calibri" w:cstheme="minorHAnsi"/>
                <w:b/>
                <w:lang w:val="sl-SI"/>
              </w:rPr>
            </w:pPr>
            <w:r w:rsidRPr="00D27DA9">
              <w:rPr>
                <w:rFonts w:eastAsia="Calibri" w:cstheme="minorHAnsi"/>
                <w:b/>
                <w:lang w:val="sl-SI"/>
              </w:rPr>
              <w:t>Integriran Skupni Center za usposabljanje in simulacije (EUROSIM)</w:t>
            </w:r>
          </w:p>
          <w:p w14:paraId="15CA4249" w14:textId="70201C05" w:rsidR="00630921" w:rsidRPr="00D27DA9" w:rsidRDefault="00630921" w:rsidP="00630921">
            <w:pPr>
              <w:rPr>
                <w:rFonts w:eastAsia="Calibri" w:cstheme="minorHAnsi"/>
                <w:b/>
                <w:highlight w:val="green"/>
                <w:lang w:val="sl-SI"/>
              </w:rPr>
            </w:pPr>
          </w:p>
        </w:tc>
        <w:tc>
          <w:tcPr>
            <w:tcW w:w="4536" w:type="dxa"/>
          </w:tcPr>
          <w:p w14:paraId="60931D68" w14:textId="1F8A4C65" w:rsidR="001B070E" w:rsidRPr="00D27DA9" w:rsidRDefault="001B070E" w:rsidP="00BF238C">
            <w:pPr>
              <w:autoSpaceDE w:val="0"/>
              <w:autoSpaceDN w:val="0"/>
              <w:adjustRightInd w:val="0"/>
              <w:jc w:val="both"/>
              <w:rPr>
                <w:rFonts w:cstheme="minorHAnsi"/>
                <w:iCs/>
                <w:color w:val="000000" w:themeColor="text1"/>
                <w:lang w:val="sl-SI"/>
              </w:rPr>
            </w:pPr>
            <w:r w:rsidRPr="00D27DA9">
              <w:rPr>
                <w:rFonts w:cstheme="minorHAnsi"/>
                <w:iCs/>
                <w:color w:val="000000" w:themeColor="text1"/>
                <w:lang w:val="sl-SI"/>
              </w:rPr>
              <w:t>V okviru tretjega kroga PESCO projektov se je</w:t>
            </w:r>
            <w:r w:rsidR="00BF238C" w:rsidRPr="00D27DA9">
              <w:rPr>
                <w:rFonts w:cstheme="minorHAnsi"/>
                <w:iCs/>
                <w:color w:val="000000" w:themeColor="text1"/>
                <w:lang w:val="sl-SI"/>
              </w:rPr>
              <w:t xml:space="preserve"> </w:t>
            </w:r>
            <w:r w:rsidRPr="00D27DA9">
              <w:rPr>
                <w:rFonts w:cstheme="minorHAnsi"/>
                <w:iCs/>
                <w:color w:val="000000" w:themeColor="text1"/>
                <w:lang w:val="sl-SI"/>
              </w:rPr>
              <w:t>Slovenija vključila kot sodelujoča država članica v</w:t>
            </w:r>
            <w:r w:rsidR="00BF238C" w:rsidRPr="00D27DA9">
              <w:rPr>
                <w:rFonts w:cstheme="minorHAnsi"/>
                <w:iCs/>
                <w:color w:val="000000" w:themeColor="text1"/>
                <w:lang w:val="sl-SI"/>
              </w:rPr>
              <w:t xml:space="preserve"> </w:t>
            </w:r>
            <w:r w:rsidRPr="00D27DA9">
              <w:rPr>
                <w:rFonts w:cstheme="minorHAnsi"/>
                <w:iCs/>
                <w:color w:val="000000" w:themeColor="text1"/>
                <w:lang w:val="sl-SI"/>
              </w:rPr>
              <w:t>projekt (Integriran Skupni Center za</w:t>
            </w:r>
            <w:r w:rsidR="00BF238C" w:rsidRPr="00D27DA9">
              <w:rPr>
                <w:rFonts w:cstheme="minorHAnsi"/>
                <w:iCs/>
                <w:color w:val="000000" w:themeColor="text1"/>
                <w:lang w:val="sl-SI"/>
              </w:rPr>
              <w:t xml:space="preserve"> </w:t>
            </w:r>
            <w:r w:rsidRPr="00D27DA9">
              <w:rPr>
                <w:rFonts w:cstheme="minorHAnsi"/>
                <w:iCs/>
                <w:color w:val="000000" w:themeColor="text1"/>
                <w:lang w:val="sl-SI"/>
              </w:rPr>
              <w:t>usposabljanje in simulacije - EUROSIM), ki ga</w:t>
            </w:r>
            <w:r w:rsidR="00BF238C" w:rsidRPr="00D27DA9">
              <w:rPr>
                <w:rFonts w:cstheme="minorHAnsi"/>
                <w:iCs/>
                <w:color w:val="000000" w:themeColor="text1"/>
                <w:lang w:val="sl-SI"/>
              </w:rPr>
              <w:t xml:space="preserve"> </w:t>
            </w:r>
            <w:r w:rsidRPr="00D27DA9">
              <w:rPr>
                <w:rFonts w:cstheme="minorHAnsi"/>
                <w:iCs/>
                <w:color w:val="000000" w:themeColor="text1"/>
                <w:lang w:val="sl-SI"/>
              </w:rPr>
              <w:t>vodi Madžarska. Projekt s svojo vsebino vključuje</w:t>
            </w:r>
            <w:r w:rsidR="00BF238C" w:rsidRPr="00D27DA9">
              <w:rPr>
                <w:rFonts w:cstheme="minorHAnsi"/>
                <w:iCs/>
                <w:color w:val="000000" w:themeColor="text1"/>
                <w:lang w:val="sl-SI"/>
              </w:rPr>
              <w:t xml:space="preserve"> </w:t>
            </w:r>
            <w:r w:rsidRPr="00D27DA9">
              <w:rPr>
                <w:rFonts w:cstheme="minorHAnsi"/>
                <w:iCs/>
                <w:color w:val="000000" w:themeColor="text1"/>
                <w:lang w:val="sl-SI"/>
              </w:rPr>
              <w:t>pomembne raziskovalno tehnološke prioritete</w:t>
            </w:r>
            <w:r w:rsidR="00BF238C" w:rsidRPr="00D27DA9">
              <w:rPr>
                <w:rFonts w:cstheme="minorHAnsi"/>
                <w:iCs/>
                <w:color w:val="000000" w:themeColor="text1"/>
                <w:lang w:val="sl-SI"/>
              </w:rPr>
              <w:t xml:space="preserve"> </w:t>
            </w:r>
            <w:r w:rsidRPr="00D27DA9">
              <w:rPr>
                <w:rFonts w:cstheme="minorHAnsi"/>
                <w:iCs/>
                <w:color w:val="000000" w:themeColor="text1"/>
                <w:lang w:val="sl-SI"/>
              </w:rPr>
              <w:t>ministrstva: simulacije, usposabljanje,</w:t>
            </w:r>
            <w:r w:rsidR="00BF238C" w:rsidRPr="00D27DA9">
              <w:rPr>
                <w:rFonts w:cstheme="minorHAnsi"/>
                <w:iCs/>
                <w:color w:val="000000" w:themeColor="text1"/>
                <w:lang w:val="sl-SI"/>
              </w:rPr>
              <w:t xml:space="preserve"> </w:t>
            </w:r>
            <w:r w:rsidRPr="00D27DA9">
              <w:rPr>
                <w:rFonts w:cstheme="minorHAnsi"/>
                <w:iCs/>
                <w:color w:val="000000" w:themeColor="text1"/>
                <w:lang w:val="sl-SI"/>
              </w:rPr>
              <w:t>kibernetiko, upravljanje z velepodatki ter</w:t>
            </w:r>
            <w:r w:rsidR="00BF238C" w:rsidRPr="00D27DA9">
              <w:rPr>
                <w:rFonts w:cstheme="minorHAnsi"/>
                <w:iCs/>
                <w:color w:val="000000" w:themeColor="text1"/>
                <w:lang w:val="sl-SI"/>
              </w:rPr>
              <w:t xml:space="preserve"> </w:t>
            </w:r>
            <w:r w:rsidRPr="00D27DA9">
              <w:rPr>
                <w:rFonts w:cstheme="minorHAnsi"/>
                <w:iCs/>
                <w:color w:val="000000" w:themeColor="text1"/>
                <w:lang w:val="sl-SI"/>
              </w:rPr>
              <w:t>avtonomnost. V zasnovi projekta smo prepoznali</w:t>
            </w:r>
          </w:p>
          <w:p w14:paraId="06DC0EBA" w14:textId="77777777" w:rsidR="001B070E" w:rsidRPr="00D27DA9" w:rsidRDefault="001B070E" w:rsidP="00BF238C">
            <w:pPr>
              <w:autoSpaceDE w:val="0"/>
              <w:autoSpaceDN w:val="0"/>
              <w:adjustRightInd w:val="0"/>
              <w:jc w:val="both"/>
              <w:rPr>
                <w:rFonts w:cstheme="minorHAnsi"/>
                <w:iCs/>
                <w:color w:val="000000" w:themeColor="text1"/>
                <w:lang w:val="sl-SI"/>
              </w:rPr>
            </w:pPr>
            <w:r w:rsidRPr="00D27DA9">
              <w:rPr>
                <w:rFonts w:cstheme="minorHAnsi"/>
                <w:iCs/>
                <w:color w:val="000000" w:themeColor="text1"/>
                <w:lang w:val="sl-SI"/>
              </w:rPr>
              <w:t>možnosti in priložnost za sodelovanje slovenskih</w:t>
            </w:r>
          </w:p>
          <w:p w14:paraId="0A7EFDC2" w14:textId="69885E72" w:rsidR="001B070E" w:rsidRPr="00D27DA9" w:rsidRDefault="001B070E" w:rsidP="00BF238C">
            <w:pPr>
              <w:autoSpaceDE w:val="0"/>
              <w:autoSpaceDN w:val="0"/>
              <w:adjustRightInd w:val="0"/>
              <w:jc w:val="both"/>
              <w:rPr>
                <w:rFonts w:cstheme="minorHAnsi"/>
                <w:iCs/>
                <w:color w:val="000000" w:themeColor="text1"/>
                <w:lang w:val="sl-SI"/>
              </w:rPr>
            </w:pPr>
            <w:r w:rsidRPr="00D27DA9">
              <w:rPr>
                <w:rFonts w:cstheme="minorHAnsi"/>
                <w:iCs/>
                <w:color w:val="000000" w:themeColor="text1"/>
                <w:lang w:val="sl-SI"/>
              </w:rPr>
              <w:t>visokotehnoloških podjetji. Opisana zasnova</w:t>
            </w:r>
            <w:r w:rsidR="00BF238C" w:rsidRPr="00D27DA9">
              <w:rPr>
                <w:rFonts w:cstheme="minorHAnsi"/>
                <w:iCs/>
                <w:color w:val="000000" w:themeColor="text1"/>
                <w:lang w:val="sl-SI"/>
              </w:rPr>
              <w:t xml:space="preserve"> </w:t>
            </w:r>
            <w:r w:rsidRPr="00D27DA9">
              <w:rPr>
                <w:rFonts w:cstheme="minorHAnsi"/>
                <w:iCs/>
                <w:color w:val="000000" w:themeColor="text1"/>
                <w:lang w:val="sl-SI"/>
              </w:rPr>
              <w:t>predstavlja dobro priložnost za koriščenje</w:t>
            </w:r>
            <w:r w:rsidR="00BF238C" w:rsidRPr="00D27DA9">
              <w:rPr>
                <w:rFonts w:cstheme="minorHAnsi"/>
                <w:iCs/>
                <w:color w:val="000000" w:themeColor="text1"/>
                <w:lang w:val="sl-SI"/>
              </w:rPr>
              <w:t xml:space="preserve"> </w:t>
            </w:r>
            <w:r w:rsidRPr="00D27DA9">
              <w:rPr>
                <w:rFonts w:cstheme="minorHAnsi"/>
                <w:iCs/>
                <w:color w:val="000000" w:themeColor="text1"/>
                <w:lang w:val="sl-SI"/>
              </w:rPr>
              <w:t>sredstev iz Evropskega obrambnega sklada. Na</w:t>
            </w:r>
            <w:r w:rsidR="00BF238C" w:rsidRPr="00D27DA9">
              <w:rPr>
                <w:rFonts w:cstheme="minorHAnsi"/>
                <w:iCs/>
                <w:color w:val="000000" w:themeColor="text1"/>
                <w:lang w:val="sl-SI"/>
              </w:rPr>
              <w:t xml:space="preserve"> </w:t>
            </w:r>
            <w:r w:rsidRPr="00D27DA9">
              <w:rPr>
                <w:rFonts w:cstheme="minorHAnsi"/>
                <w:iCs/>
                <w:color w:val="000000" w:themeColor="text1"/>
                <w:lang w:val="sl-SI"/>
              </w:rPr>
              <w:t>ravni ministrstva za obrambo bo imenovana</w:t>
            </w:r>
            <w:r w:rsidR="00BF238C" w:rsidRPr="00D27DA9">
              <w:rPr>
                <w:rFonts w:cstheme="minorHAnsi"/>
                <w:iCs/>
                <w:color w:val="000000" w:themeColor="text1"/>
                <w:lang w:val="sl-SI"/>
              </w:rPr>
              <w:t xml:space="preserve"> </w:t>
            </w:r>
            <w:r w:rsidRPr="00D27DA9">
              <w:rPr>
                <w:rFonts w:cstheme="minorHAnsi"/>
                <w:iCs/>
                <w:color w:val="000000" w:themeColor="text1"/>
                <w:lang w:val="sl-SI"/>
              </w:rPr>
              <w:t>kontaktno osebo, ki se bo udeleževala začetnih</w:t>
            </w:r>
          </w:p>
          <w:p w14:paraId="74DC9318" w14:textId="77777777" w:rsidR="0057252B" w:rsidRPr="00D27DA9" w:rsidRDefault="001B070E" w:rsidP="00BF238C">
            <w:pPr>
              <w:jc w:val="both"/>
              <w:rPr>
                <w:rFonts w:cstheme="minorHAnsi"/>
                <w:iCs/>
                <w:color w:val="000000" w:themeColor="text1"/>
                <w:lang w:val="sl-SI"/>
              </w:rPr>
            </w:pPr>
            <w:r w:rsidRPr="00D27DA9">
              <w:rPr>
                <w:rFonts w:cstheme="minorHAnsi"/>
                <w:iCs/>
                <w:color w:val="000000" w:themeColor="text1"/>
                <w:lang w:val="sl-SI"/>
              </w:rPr>
              <w:t>sestankov v zvezi s projektom.</w:t>
            </w:r>
          </w:p>
          <w:p w14:paraId="0C5563DF" w14:textId="77777777" w:rsidR="00BF238C" w:rsidRPr="00D27DA9" w:rsidRDefault="00BF238C" w:rsidP="00BF238C">
            <w:pPr>
              <w:jc w:val="both"/>
              <w:rPr>
                <w:rFonts w:cstheme="minorHAnsi"/>
                <w:iCs/>
                <w:color w:val="000000" w:themeColor="text1"/>
                <w:lang w:val="sl-SI"/>
              </w:rPr>
            </w:pPr>
          </w:p>
          <w:p w14:paraId="25B1D18C" w14:textId="59BDA725" w:rsidR="00BF238C" w:rsidRPr="00D27DA9" w:rsidRDefault="00BF238C" w:rsidP="00BF238C">
            <w:pPr>
              <w:jc w:val="both"/>
              <w:rPr>
                <w:rFonts w:cstheme="minorHAnsi"/>
                <w:iCs/>
                <w:color w:val="000000" w:themeColor="text1"/>
                <w:lang w:val="sl-SI"/>
              </w:rPr>
            </w:pPr>
            <w:r w:rsidRPr="00D27DA9">
              <w:rPr>
                <w:rFonts w:cstheme="minorHAnsi"/>
                <w:iCs/>
                <w:lang w:val="sl-SI"/>
              </w:rPr>
              <w:t>Projekt bo voden kot Cat B projekt preko EDA. Vsebinski dogovori glede oblikovanja projekta še potekajo. Programski dogovor še ni sklenjen. Evropska komisija predvideva sofinanciranje raziskovalno razvojnega dela tega projekta preko Evropskega sklada za razvoj obrambne industrije EDIDP v višini 3,5 mio EUR. Konzorcij evropskih podjetij je oddal ponudbo EUFBL, s katero kandidira na sredstva za sofinanciranje projekta. V konzorcij evropskih podjetij je vključeno tudi slovensko podjetje. Rezultate razpisa pričakujemo junija 2021.</w:t>
            </w:r>
          </w:p>
          <w:p w14:paraId="2E0B5C28" w14:textId="77777777" w:rsidR="00BF238C" w:rsidRPr="00D27DA9" w:rsidRDefault="00BF238C" w:rsidP="00BF238C">
            <w:pPr>
              <w:jc w:val="both"/>
              <w:rPr>
                <w:rFonts w:cstheme="minorHAnsi"/>
                <w:iCs/>
                <w:color w:val="000000" w:themeColor="text1"/>
                <w:lang w:val="sl-SI"/>
              </w:rPr>
            </w:pPr>
          </w:p>
          <w:p w14:paraId="3888267A" w14:textId="77777777" w:rsidR="00BF238C" w:rsidRPr="00D27DA9" w:rsidRDefault="00BF238C" w:rsidP="00BF238C">
            <w:pPr>
              <w:jc w:val="both"/>
              <w:rPr>
                <w:rFonts w:cstheme="minorHAnsi"/>
                <w:iCs/>
                <w:color w:val="000000" w:themeColor="text1"/>
                <w:lang w:val="sl-SI"/>
              </w:rPr>
            </w:pPr>
          </w:p>
          <w:p w14:paraId="14649B8F" w14:textId="77777777" w:rsidR="00BF238C" w:rsidRPr="00D27DA9" w:rsidRDefault="00BF238C" w:rsidP="00BF238C">
            <w:pPr>
              <w:jc w:val="both"/>
              <w:rPr>
                <w:rFonts w:cstheme="minorHAnsi"/>
                <w:iCs/>
                <w:color w:val="000000" w:themeColor="text1"/>
                <w:lang w:val="sl-SI"/>
              </w:rPr>
            </w:pPr>
          </w:p>
          <w:p w14:paraId="738A5654" w14:textId="77777777" w:rsidR="00BF238C" w:rsidRPr="00D27DA9" w:rsidRDefault="00BF238C" w:rsidP="00BF238C">
            <w:pPr>
              <w:jc w:val="both"/>
              <w:rPr>
                <w:rFonts w:cstheme="minorHAnsi"/>
                <w:iCs/>
                <w:color w:val="000000" w:themeColor="text1"/>
                <w:lang w:val="sl-SI"/>
              </w:rPr>
            </w:pPr>
          </w:p>
          <w:p w14:paraId="6CA1D59F" w14:textId="7EEA09E3" w:rsidR="00BF238C" w:rsidRPr="00D27DA9" w:rsidRDefault="00BF238C" w:rsidP="00BF238C">
            <w:pPr>
              <w:jc w:val="both"/>
              <w:rPr>
                <w:rFonts w:eastAsia="Calibri" w:cstheme="minorHAnsi"/>
                <w:color w:val="000000" w:themeColor="text1"/>
                <w:lang w:val="sl-SI"/>
              </w:rPr>
            </w:pPr>
          </w:p>
        </w:tc>
        <w:tc>
          <w:tcPr>
            <w:tcW w:w="6096" w:type="dxa"/>
          </w:tcPr>
          <w:p w14:paraId="47BE7C3B" w14:textId="30279F03" w:rsidR="001B070E" w:rsidRPr="00D27DA9" w:rsidRDefault="001B070E" w:rsidP="00BF238C">
            <w:pPr>
              <w:autoSpaceDE w:val="0"/>
              <w:autoSpaceDN w:val="0"/>
              <w:adjustRightInd w:val="0"/>
              <w:jc w:val="both"/>
              <w:rPr>
                <w:rFonts w:cstheme="minorHAnsi"/>
                <w:iCs/>
                <w:color w:val="000000" w:themeColor="text1"/>
                <w:lang w:val="sl-SI"/>
              </w:rPr>
            </w:pPr>
            <w:r w:rsidRPr="00D27DA9">
              <w:rPr>
                <w:rFonts w:cstheme="minorHAnsi"/>
                <w:iCs/>
                <w:color w:val="000000" w:themeColor="text1"/>
                <w:lang w:val="sl-SI"/>
              </w:rPr>
              <w:t>Osnovni namen projekta je vzpostaviti središče/bazo za</w:t>
            </w:r>
            <w:r w:rsidR="00BF238C" w:rsidRPr="00D27DA9">
              <w:rPr>
                <w:rFonts w:cstheme="minorHAnsi"/>
                <w:iCs/>
                <w:color w:val="000000" w:themeColor="text1"/>
                <w:lang w:val="sl-SI"/>
              </w:rPr>
              <w:t xml:space="preserve"> </w:t>
            </w:r>
            <w:r w:rsidRPr="00D27DA9">
              <w:rPr>
                <w:rFonts w:cstheme="minorHAnsi"/>
                <w:iCs/>
                <w:color w:val="000000" w:themeColor="text1"/>
                <w:lang w:val="sl-SI"/>
              </w:rPr>
              <w:t>usposabljanje in simulacijo, ki bi vključeval večnacionalne</w:t>
            </w:r>
            <w:r w:rsidR="00BF238C" w:rsidRPr="00D27DA9">
              <w:rPr>
                <w:rFonts w:cstheme="minorHAnsi"/>
                <w:iCs/>
                <w:color w:val="000000" w:themeColor="text1"/>
                <w:lang w:val="sl-SI"/>
              </w:rPr>
              <w:t xml:space="preserve"> </w:t>
            </w:r>
            <w:r w:rsidRPr="00D27DA9">
              <w:rPr>
                <w:rFonts w:cstheme="minorHAnsi"/>
                <w:iCs/>
                <w:color w:val="000000" w:themeColor="text1"/>
                <w:lang w:val="sl-SI"/>
              </w:rPr>
              <w:t>zmogljivosti za usposabljanje, s katero bi lahko vključili evropska</w:t>
            </w:r>
            <w:r w:rsidR="00BF238C" w:rsidRPr="00D27DA9">
              <w:rPr>
                <w:rFonts w:cstheme="minorHAnsi"/>
                <w:iCs/>
                <w:color w:val="000000" w:themeColor="text1"/>
                <w:lang w:val="sl-SI"/>
              </w:rPr>
              <w:t xml:space="preserve"> </w:t>
            </w:r>
            <w:r w:rsidRPr="00D27DA9">
              <w:rPr>
                <w:rFonts w:cstheme="minorHAnsi"/>
                <w:iCs/>
                <w:color w:val="000000" w:themeColor="text1"/>
                <w:lang w:val="sl-SI"/>
              </w:rPr>
              <w:t>taktična območja treninga in simulacije v povezan enoten sistem.</w:t>
            </w:r>
          </w:p>
          <w:p w14:paraId="35B177B9" w14:textId="0E590849" w:rsidR="00BF238C" w:rsidRPr="00D27DA9" w:rsidRDefault="001B070E" w:rsidP="00BF238C">
            <w:pPr>
              <w:autoSpaceDE w:val="0"/>
              <w:autoSpaceDN w:val="0"/>
              <w:adjustRightInd w:val="0"/>
              <w:jc w:val="both"/>
              <w:rPr>
                <w:rFonts w:cstheme="minorHAnsi"/>
                <w:i/>
                <w:iCs/>
                <w:lang w:val="sl-SI"/>
              </w:rPr>
            </w:pPr>
            <w:r w:rsidRPr="00D27DA9">
              <w:rPr>
                <w:rFonts w:cstheme="minorHAnsi"/>
                <w:iCs/>
                <w:color w:val="000000" w:themeColor="text1"/>
                <w:lang w:val="sl-SI"/>
              </w:rPr>
              <w:t>Cilj je izpolniti zmogljivostne cilje, s katerimi bi zagotavljali</w:t>
            </w:r>
            <w:r w:rsidR="00BF238C" w:rsidRPr="00D27DA9">
              <w:rPr>
                <w:rFonts w:cstheme="minorHAnsi"/>
                <w:iCs/>
                <w:color w:val="000000" w:themeColor="text1"/>
                <w:lang w:val="sl-SI"/>
              </w:rPr>
              <w:t xml:space="preserve"> </w:t>
            </w:r>
            <w:r w:rsidRPr="00D27DA9">
              <w:rPr>
                <w:rFonts w:cstheme="minorHAnsi"/>
                <w:iCs/>
                <w:color w:val="000000" w:themeColor="text1"/>
                <w:lang w:val="sl-SI"/>
              </w:rPr>
              <w:t>manjkajoče zmogljivosti na področju večnacionalnih skupnih</w:t>
            </w:r>
            <w:r w:rsidR="00BF238C" w:rsidRPr="00D27DA9">
              <w:rPr>
                <w:rFonts w:cstheme="minorHAnsi"/>
                <w:iCs/>
                <w:color w:val="000000" w:themeColor="text1"/>
                <w:lang w:val="sl-SI"/>
              </w:rPr>
              <w:t xml:space="preserve"> </w:t>
            </w:r>
            <w:r w:rsidRPr="00D27DA9">
              <w:rPr>
                <w:rFonts w:cstheme="minorHAnsi"/>
                <w:iCs/>
                <w:color w:val="000000" w:themeColor="text1"/>
                <w:lang w:val="sl-SI"/>
              </w:rPr>
              <w:t>usposabljanj in vojaških vaj. Poleg tega bi projekt določil vojaške</w:t>
            </w:r>
            <w:r w:rsidR="00BF238C" w:rsidRPr="00D27DA9">
              <w:rPr>
                <w:rFonts w:cstheme="minorHAnsi"/>
                <w:iCs/>
                <w:color w:val="000000" w:themeColor="text1"/>
                <w:lang w:val="sl-SI"/>
              </w:rPr>
              <w:t xml:space="preserve"> </w:t>
            </w:r>
            <w:r w:rsidRPr="00D27DA9">
              <w:rPr>
                <w:rFonts w:cstheme="minorHAnsi"/>
                <w:iCs/>
                <w:color w:val="000000" w:themeColor="text1"/>
                <w:lang w:val="sl-SI"/>
              </w:rPr>
              <w:t>zmogljivosti in tehnične zahteve na višji stopnji.</w:t>
            </w:r>
            <w:r w:rsidR="00BF238C" w:rsidRPr="00D27DA9">
              <w:rPr>
                <w:rFonts w:cstheme="minorHAnsi"/>
                <w:i/>
                <w:iCs/>
                <w:lang w:val="sl-SI"/>
              </w:rPr>
              <w:t xml:space="preserve"> </w:t>
            </w:r>
          </w:p>
          <w:p w14:paraId="3E189686" w14:textId="77777777" w:rsidR="00BF238C" w:rsidRPr="00D27DA9" w:rsidRDefault="00BF238C" w:rsidP="00BF238C">
            <w:pPr>
              <w:jc w:val="both"/>
              <w:rPr>
                <w:rFonts w:cstheme="minorHAnsi"/>
                <w:i/>
                <w:iCs/>
                <w:lang w:val="sl-SI"/>
              </w:rPr>
            </w:pPr>
          </w:p>
          <w:p w14:paraId="178D1665" w14:textId="66113B30" w:rsidR="002B439F" w:rsidRPr="00D27DA9" w:rsidRDefault="00BF238C" w:rsidP="00BF238C">
            <w:pPr>
              <w:jc w:val="both"/>
              <w:rPr>
                <w:rFonts w:eastAsia="Calibri" w:cstheme="minorHAnsi"/>
                <w:color w:val="000000" w:themeColor="text1"/>
                <w:lang w:val="sl-SI"/>
              </w:rPr>
            </w:pPr>
            <w:r w:rsidRPr="00D27DA9">
              <w:rPr>
                <w:rFonts w:cstheme="minorHAnsi"/>
                <w:iCs/>
                <w:lang w:val="sl-SI"/>
              </w:rPr>
              <w:t>Projektni predlog EUFBL obravnava razvoj evropskega federativnega bojnega laboratorija, ki bi ga bilo mogoče širiti in bi bil modularen, odziven in dinamično interoperabilen in ki bo del sistema sistemov v vsej EU, ki lahko krepi interoperabilnost na treh področjih uporabe, tj. pri usposabljanju in vajah, načrtovanju razmestitve/podpori nalogam ter razvoju in vrednotenju konceptov (CD&amp;E). Tako zmogljivost bi bilo mogoče uporabiti na vseh ravneh (strateški, operativni in taktični), za civilno-vojaško rabo in za rabo združenih zvrsti (kopenske, zračne, pomorske, vesoljske in kibernetske) in za različne scenarije od spopadov z visoko intenzivnostjo do uveljavljanja miru, civilno-vojaškega sodelovanja in pomoči ob nesrečah.</w:t>
            </w:r>
          </w:p>
        </w:tc>
      </w:tr>
      <w:tr w:rsidR="00CA36A5" w:rsidRPr="00D27DA9" w14:paraId="2B4CE842" w14:textId="77777777" w:rsidTr="008C3C4E">
        <w:trPr>
          <w:trHeight w:val="2659"/>
        </w:trPr>
        <w:tc>
          <w:tcPr>
            <w:tcW w:w="2107" w:type="dxa"/>
            <w:vAlign w:val="center"/>
          </w:tcPr>
          <w:p w14:paraId="2AE09A4A" w14:textId="77777777" w:rsidR="004A573B" w:rsidRPr="00D27DA9" w:rsidRDefault="004A573B" w:rsidP="00D362DB">
            <w:pPr>
              <w:rPr>
                <w:rFonts w:eastAsia="Calibri" w:cstheme="minorHAnsi"/>
                <w:b/>
                <w:lang w:val="sl-SI"/>
              </w:rPr>
            </w:pPr>
            <w:r w:rsidRPr="00D27DA9">
              <w:rPr>
                <w:rFonts w:eastAsia="Calibri" w:cstheme="minorHAnsi"/>
                <w:b/>
                <w:lang w:val="sl-SI"/>
              </w:rPr>
              <w:lastRenderedPageBreak/>
              <w:t>Opazovalka:</w:t>
            </w:r>
          </w:p>
          <w:p w14:paraId="7FC67466" w14:textId="77777777" w:rsidR="00CA36A5" w:rsidRPr="00D27DA9" w:rsidRDefault="004A573B" w:rsidP="004666EE">
            <w:pPr>
              <w:rPr>
                <w:rFonts w:eastAsia="Calibri" w:cstheme="minorHAnsi"/>
                <w:b/>
                <w:lang w:val="sl-SI"/>
              </w:rPr>
            </w:pPr>
            <w:r w:rsidRPr="00D27DA9">
              <w:rPr>
                <w:rFonts w:eastAsia="Calibri" w:cstheme="minorHAnsi"/>
                <w:b/>
                <w:lang w:val="sl-SI"/>
              </w:rPr>
              <w:t>Kibernetske grožnje in platforma za odzive na incidente in izmenjavo informacij (Cyber Threats and Incident Response Information Sharing Platform)</w:t>
            </w:r>
          </w:p>
          <w:p w14:paraId="058BD397" w14:textId="71126364" w:rsidR="00A71AC6" w:rsidRPr="00D27DA9" w:rsidRDefault="00A71AC6" w:rsidP="00A71AC6">
            <w:pPr>
              <w:rPr>
                <w:rFonts w:eastAsia="Calibri" w:cstheme="minorHAnsi"/>
                <w:b/>
                <w:highlight w:val="green"/>
                <w:lang w:val="sl-SI"/>
              </w:rPr>
            </w:pPr>
          </w:p>
        </w:tc>
        <w:tc>
          <w:tcPr>
            <w:tcW w:w="4536" w:type="dxa"/>
            <w:vAlign w:val="center"/>
          </w:tcPr>
          <w:p w14:paraId="6040FF00" w14:textId="7717A8FF" w:rsidR="00CA36A5" w:rsidRPr="00D27DA9" w:rsidRDefault="00684654" w:rsidP="00D27DA9">
            <w:pPr>
              <w:autoSpaceDE w:val="0"/>
              <w:autoSpaceDN w:val="0"/>
              <w:adjustRightInd w:val="0"/>
              <w:jc w:val="both"/>
              <w:rPr>
                <w:rFonts w:eastAsia="Calibri" w:cstheme="minorHAnsi"/>
                <w:lang w:val="sl-SI"/>
              </w:rPr>
            </w:pPr>
            <w:r w:rsidRPr="00D27DA9">
              <w:rPr>
                <w:rFonts w:cstheme="minorHAnsi"/>
                <w:iCs/>
                <w:lang w:val="sl-SI"/>
              </w:rPr>
              <w:t>Na podlagi Sklepa o določitvi odgovornih</w:t>
            </w:r>
            <w:r w:rsidR="00D27DA9" w:rsidRPr="00D27DA9">
              <w:rPr>
                <w:rFonts w:cstheme="minorHAnsi"/>
                <w:iCs/>
                <w:lang w:val="sl-SI"/>
              </w:rPr>
              <w:t xml:space="preserve"> </w:t>
            </w:r>
            <w:r w:rsidRPr="00D27DA9">
              <w:rPr>
                <w:rFonts w:cstheme="minorHAnsi"/>
                <w:iCs/>
                <w:lang w:val="sl-SI"/>
              </w:rPr>
              <w:t>nosilcev za stalno strukturno sodelovanje imamo</w:t>
            </w:r>
            <w:r w:rsidR="00D27DA9" w:rsidRPr="00D27DA9">
              <w:rPr>
                <w:rFonts w:cstheme="minorHAnsi"/>
                <w:iCs/>
                <w:lang w:val="sl-SI"/>
              </w:rPr>
              <w:t xml:space="preserve"> </w:t>
            </w:r>
            <w:r w:rsidRPr="00D27DA9">
              <w:rPr>
                <w:rFonts w:cstheme="minorHAnsi"/>
                <w:iCs/>
                <w:lang w:val="sl-SI"/>
              </w:rPr>
              <w:t>na ravni ministrstva določeno kontaktno osebo,</w:t>
            </w:r>
            <w:r w:rsidR="00D27DA9" w:rsidRPr="00D27DA9">
              <w:rPr>
                <w:rFonts w:cstheme="minorHAnsi"/>
                <w:iCs/>
                <w:lang w:val="sl-SI"/>
              </w:rPr>
              <w:t xml:space="preserve"> </w:t>
            </w:r>
            <w:r w:rsidRPr="00D27DA9">
              <w:rPr>
                <w:rFonts w:cstheme="minorHAnsi"/>
                <w:iCs/>
                <w:lang w:val="sl-SI"/>
              </w:rPr>
              <w:t>ki je odgovorna za pokrivanje vsebine projekta in</w:t>
            </w:r>
            <w:r w:rsidR="00D27DA9" w:rsidRPr="00D27DA9">
              <w:rPr>
                <w:rFonts w:cstheme="minorHAnsi"/>
                <w:iCs/>
                <w:lang w:val="sl-SI"/>
              </w:rPr>
              <w:t xml:space="preserve"> </w:t>
            </w:r>
            <w:r w:rsidRPr="00D27DA9">
              <w:rPr>
                <w:rFonts w:cstheme="minorHAnsi"/>
                <w:iCs/>
                <w:lang w:val="sl-SI"/>
              </w:rPr>
              <w:t>udeleževanja sestankov.</w:t>
            </w:r>
          </w:p>
        </w:tc>
        <w:tc>
          <w:tcPr>
            <w:tcW w:w="6096" w:type="dxa"/>
            <w:vAlign w:val="center"/>
          </w:tcPr>
          <w:p w14:paraId="31E9C03A" w14:textId="63DF1BBA" w:rsidR="00684654" w:rsidRPr="00D27DA9" w:rsidRDefault="00684654" w:rsidP="00D27DA9">
            <w:pPr>
              <w:autoSpaceDE w:val="0"/>
              <w:autoSpaceDN w:val="0"/>
              <w:adjustRightInd w:val="0"/>
              <w:jc w:val="both"/>
              <w:rPr>
                <w:rFonts w:cstheme="minorHAnsi"/>
                <w:iCs/>
                <w:lang w:val="sl-SI"/>
              </w:rPr>
            </w:pPr>
            <w:r w:rsidRPr="00D27DA9">
              <w:rPr>
                <w:rFonts w:cstheme="minorHAnsi"/>
                <w:iCs/>
                <w:lang w:val="sl-SI"/>
              </w:rPr>
              <w:t>Informacijska platforma za kibernetske grožnje in odzivnost na</w:t>
            </w:r>
            <w:r w:rsidR="00BF238C" w:rsidRPr="00D27DA9">
              <w:rPr>
                <w:rFonts w:cstheme="minorHAnsi"/>
                <w:iCs/>
                <w:lang w:val="sl-SI"/>
              </w:rPr>
              <w:t xml:space="preserve"> </w:t>
            </w:r>
            <w:r w:rsidRPr="00D27DA9">
              <w:rPr>
                <w:rFonts w:cstheme="minorHAnsi"/>
                <w:iCs/>
                <w:lang w:val="sl-SI"/>
              </w:rPr>
              <w:t>incidente bo razvila bolj aktivne obrambne ukrepe, pri čemer gre</w:t>
            </w:r>
          </w:p>
          <w:p w14:paraId="6F802C69" w14:textId="77777777" w:rsidR="00684654" w:rsidRPr="00D27DA9" w:rsidRDefault="00684654" w:rsidP="00D27DA9">
            <w:pPr>
              <w:autoSpaceDE w:val="0"/>
              <w:autoSpaceDN w:val="0"/>
              <w:adjustRightInd w:val="0"/>
              <w:jc w:val="both"/>
              <w:rPr>
                <w:rFonts w:cstheme="minorHAnsi"/>
                <w:iCs/>
                <w:lang w:val="sl-SI"/>
              </w:rPr>
            </w:pPr>
            <w:r w:rsidRPr="00D27DA9">
              <w:rPr>
                <w:rFonts w:cstheme="minorHAnsi"/>
                <w:iCs/>
                <w:lang w:val="sl-SI"/>
              </w:rPr>
              <w:t>za potencialni premik od požarnih zidov do bolj aktivnih ukrepov.</w:t>
            </w:r>
          </w:p>
          <w:p w14:paraId="37C20964" w14:textId="0A94B65D" w:rsidR="00684654" w:rsidRPr="00D27DA9" w:rsidRDefault="00684654" w:rsidP="00D27DA9">
            <w:pPr>
              <w:autoSpaceDE w:val="0"/>
              <w:autoSpaceDN w:val="0"/>
              <w:adjustRightInd w:val="0"/>
              <w:jc w:val="both"/>
              <w:rPr>
                <w:rFonts w:cstheme="minorHAnsi"/>
                <w:iCs/>
                <w:lang w:val="sl-SI"/>
              </w:rPr>
            </w:pPr>
            <w:r w:rsidRPr="00D27DA9">
              <w:rPr>
                <w:rFonts w:cstheme="minorHAnsi"/>
                <w:iCs/>
                <w:lang w:val="sl-SI"/>
              </w:rPr>
              <w:t>Projekt stremi k zmanjšanju teh groženj s fokusiranjem na</w:t>
            </w:r>
            <w:r w:rsidR="00D27DA9" w:rsidRPr="00D27DA9">
              <w:rPr>
                <w:rFonts w:cstheme="minorHAnsi"/>
                <w:iCs/>
                <w:lang w:val="sl-SI"/>
              </w:rPr>
              <w:t xml:space="preserve"> </w:t>
            </w:r>
            <w:r w:rsidRPr="00D27DA9">
              <w:rPr>
                <w:rFonts w:cstheme="minorHAnsi"/>
                <w:iCs/>
                <w:lang w:val="sl-SI"/>
              </w:rPr>
              <w:t>izmenjavi podatkov nanašajočih se na kibernetske grožnje preko</w:t>
            </w:r>
          </w:p>
          <w:p w14:paraId="546538A1" w14:textId="7B3841E2" w:rsidR="00684654" w:rsidRPr="00D27DA9" w:rsidRDefault="00684654" w:rsidP="00D27DA9">
            <w:pPr>
              <w:autoSpaceDE w:val="0"/>
              <w:autoSpaceDN w:val="0"/>
              <w:adjustRightInd w:val="0"/>
              <w:jc w:val="both"/>
              <w:rPr>
                <w:rFonts w:cstheme="minorHAnsi"/>
                <w:iCs/>
                <w:lang w:val="sl-SI"/>
              </w:rPr>
            </w:pPr>
            <w:r w:rsidRPr="00D27DA9">
              <w:rPr>
                <w:rFonts w:cstheme="minorHAnsi"/>
                <w:iCs/>
                <w:lang w:val="sl-SI"/>
              </w:rPr>
              <w:t>omrežene platforme držav članic, s končnim ciljem okrepitve</w:t>
            </w:r>
            <w:r w:rsidR="00D27DA9" w:rsidRPr="00D27DA9">
              <w:rPr>
                <w:rFonts w:cstheme="minorHAnsi"/>
                <w:iCs/>
                <w:lang w:val="sl-SI"/>
              </w:rPr>
              <w:t xml:space="preserve"> </w:t>
            </w:r>
            <w:r w:rsidRPr="00D27DA9">
              <w:rPr>
                <w:rFonts w:cstheme="minorHAnsi"/>
                <w:iCs/>
                <w:lang w:val="sl-SI"/>
              </w:rPr>
              <w:t>zmogljivosti za kibernetsko obrambo držav članic.</w:t>
            </w:r>
          </w:p>
          <w:p w14:paraId="7604EB87" w14:textId="77777777" w:rsidR="00BF238C" w:rsidRPr="00D27DA9" w:rsidRDefault="00BF238C" w:rsidP="00D27DA9">
            <w:pPr>
              <w:autoSpaceDE w:val="0"/>
              <w:autoSpaceDN w:val="0"/>
              <w:adjustRightInd w:val="0"/>
              <w:jc w:val="both"/>
              <w:rPr>
                <w:rFonts w:cstheme="minorHAnsi"/>
                <w:iCs/>
                <w:lang w:val="sl-SI"/>
              </w:rPr>
            </w:pPr>
          </w:p>
          <w:p w14:paraId="38839737" w14:textId="32CCAED2" w:rsidR="00E074E1" w:rsidRPr="00D27DA9" w:rsidRDefault="00E074E1" w:rsidP="00D27DA9">
            <w:pPr>
              <w:jc w:val="both"/>
              <w:rPr>
                <w:rFonts w:cstheme="minorHAnsi"/>
                <w:lang w:val="sl-SI"/>
              </w:rPr>
            </w:pPr>
            <w:r w:rsidRPr="00D27DA9">
              <w:rPr>
                <w:rFonts w:cstheme="minorHAnsi"/>
                <w:lang w:val="sl-SI"/>
              </w:rPr>
              <w:t xml:space="preserve">V letu 2021 </w:t>
            </w:r>
            <w:r w:rsidR="00BF238C" w:rsidRPr="00D27DA9">
              <w:rPr>
                <w:rFonts w:cstheme="minorHAnsi"/>
                <w:lang w:val="sl-SI"/>
              </w:rPr>
              <w:t>bo Slovenija izstopila iz tega projekta, kjer ima status opaz</w:t>
            </w:r>
            <w:r w:rsidR="0047252B">
              <w:rPr>
                <w:rFonts w:cstheme="minorHAnsi"/>
                <w:lang w:val="sl-SI"/>
              </w:rPr>
              <w:t>o</w:t>
            </w:r>
            <w:r w:rsidR="00BF238C" w:rsidRPr="00D27DA9">
              <w:rPr>
                <w:rFonts w:cstheme="minorHAnsi"/>
                <w:lang w:val="sl-SI"/>
              </w:rPr>
              <w:t xml:space="preserve">valke. </w:t>
            </w:r>
          </w:p>
        </w:tc>
      </w:tr>
      <w:tr w:rsidR="00CA36A5" w:rsidRPr="00D27DA9" w14:paraId="72541FC2" w14:textId="77777777" w:rsidTr="008C3C4E">
        <w:trPr>
          <w:trHeight w:val="2659"/>
        </w:trPr>
        <w:tc>
          <w:tcPr>
            <w:tcW w:w="2107" w:type="dxa"/>
            <w:vAlign w:val="center"/>
          </w:tcPr>
          <w:p w14:paraId="4076E632" w14:textId="77777777" w:rsidR="00CA36A5" w:rsidRPr="00D27DA9" w:rsidRDefault="004A573B" w:rsidP="00D362DB">
            <w:pPr>
              <w:rPr>
                <w:rFonts w:eastAsia="Calibri" w:cstheme="minorHAnsi"/>
                <w:b/>
                <w:lang w:val="sl-SI"/>
              </w:rPr>
            </w:pPr>
            <w:r w:rsidRPr="00D27DA9">
              <w:rPr>
                <w:rFonts w:eastAsia="Calibri" w:cstheme="minorHAnsi"/>
                <w:b/>
                <w:lang w:val="sl-SI"/>
              </w:rPr>
              <w:t>Opazovalka:</w:t>
            </w:r>
          </w:p>
          <w:p w14:paraId="3F777A9C" w14:textId="77777777" w:rsidR="004A573B" w:rsidRPr="00D27DA9" w:rsidRDefault="004A573B" w:rsidP="004666EE">
            <w:pPr>
              <w:rPr>
                <w:rFonts w:eastAsia="Calibri" w:cstheme="minorHAnsi"/>
                <w:b/>
                <w:lang w:val="sl-SI"/>
              </w:rPr>
            </w:pPr>
            <w:r w:rsidRPr="00D27DA9">
              <w:rPr>
                <w:rFonts w:eastAsia="Calibri" w:cstheme="minorHAnsi"/>
                <w:b/>
                <w:lang w:val="sl-SI"/>
              </w:rPr>
              <w:t>Skupine za hitro odzivanje in medsebojno pomoč pri kibernetski varnosti (Cyber Rapid Response Teams and Mutual Assistance in Cyber Security)</w:t>
            </w:r>
          </w:p>
          <w:p w14:paraId="2C69EB2D" w14:textId="64E2929E" w:rsidR="00166654" w:rsidRPr="00D27DA9" w:rsidRDefault="00166654" w:rsidP="00166654">
            <w:pPr>
              <w:rPr>
                <w:rFonts w:eastAsia="Calibri" w:cstheme="minorHAnsi"/>
                <w:b/>
                <w:highlight w:val="green"/>
                <w:lang w:val="sl-SI"/>
              </w:rPr>
            </w:pPr>
          </w:p>
        </w:tc>
        <w:tc>
          <w:tcPr>
            <w:tcW w:w="4536" w:type="dxa"/>
            <w:vAlign w:val="center"/>
          </w:tcPr>
          <w:p w14:paraId="766FDD1C" w14:textId="470EC9DA" w:rsidR="00CA36A5" w:rsidRPr="00D27DA9" w:rsidRDefault="00CA36A5" w:rsidP="00647DEA">
            <w:pPr>
              <w:jc w:val="both"/>
              <w:rPr>
                <w:rFonts w:eastAsia="Calibri" w:cstheme="minorHAnsi"/>
                <w:lang w:val="sl-SI"/>
              </w:rPr>
            </w:pPr>
          </w:p>
        </w:tc>
        <w:tc>
          <w:tcPr>
            <w:tcW w:w="6096" w:type="dxa"/>
            <w:vAlign w:val="center"/>
          </w:tcPr>
          <w:p w14:paraId="3A6439DD" w14:textId="77777777" w:rsidR="00CA36A5" w:rsidRPr="00D27DA9" w:rsidRDefault="00CA36A5" w:rsidP="002B439F">
            <w:pPr>
              <w:jc w:val="both"/>
              <w:rPr>
                <w:rFonts w:cstheme="minorHAnsi"/>
                <w:lang w:val="sl-SI"/>
              </w:rPr>
            </w:pPr>
          </w:p>
          <w:p w14:paraId="6591BFF4" w14:textId="77777777" w:rsidR="00E074E1" w:rsidRPr="00D27DA9" w:rsidRDefault="00E074E1" w:rsidP="002B439F">
            <w:pPr>
              <w:jc w:val="both"/>
              <w:rPr>
                <w:rFonts w:cstheme="minorHAnsi"/>
                <w:lang w:val="sl-SI"/>
              </w:rPr>
            </w:pPr>
          </w:p>
          <w:p w14:paraId="3C826B1E" w14:textId="54904132" w:rsidR="00E074E1" w:rsidRPr="00D27DA9" w:rsidRDefault="00BF238C" w:rsidP="008B416D">
            <w:pPr>
              <w:jc w:val="both"/>
              <w:rPr>
                <w:rFonts w:cstheme="minorHAnsi"/>
                <w:lang w:val="sl-SI"/>
              </w:rPr>
            </w:pPr>
            <w:r w:rsidRPr="00D27DA9">
              <w:rPr>
                <w:rFonts w:cstheme="minorHAnsi"/>
                <w:lang w:val="sl-SI"/>
              </w:rPr>
              <w:t xml:space="preserve">V letu 2021 oz. </w:t>
            </w:r>
            <w:r w:rsidR="00E074E1" w:rsidRPr="00D27DA9">
              <w:rPr>
                <w:rFonts w:cstheme="minorHAnsi"/>
                <w:lang w:val="sl-SI"/>
              </w:rPr>
              <w:t xml:space="preserve">Po koncu </w:t>
            </w:r>
            <w:r w:rsidR="008B416D">
              <w:rPr>
                <w:rFonts w:cstheme="minorHAnsi"/>
                <w:lang w:val="sl-SI"/>
              </w:rPr>
              <w:t>pandemije koronavirusa</w:t>
            </w:r>
            <w:r w:rsidR="00E074E1" w:rsidRPr="00D27DA9">
              <w:rPr>
                <w:rFonts w:cstheme="minorHAnsi"/>
                <w:lang w:val="sl-SI"/>
              </w:rPr>
              <w:t xml:space="preserve"> se ponovno preuči sodelovanje v tem projektu</w:t>
            </w:r>
          </w:p>
        </w:tc>
      </w:tr>
      <w:tr w:rsidR="004A573B" w:rsidRPr="00D27DA9" w14:paraId="07D88705" w14:textId="77777777" w:rsidTr="008C3C4E">
        <w:trPr>
          <w:trHeight w:val="2659"/>
        </w:trPr>
        <w:tc>
          <w:tcPr>
            <w:tcW w:w="2107" w:type="dxa"/>
            <w:vAlign w:val="center"/>
          </w:tcPr>
          <w:p w14:paraId="7C280ED6" w14:textId="77777777" w:rsidR="004A573B" w:rsidRPr="00D27DA9" w:rsidRDefault="004A573B" w:rsidP="004666EE">
            <w:pPr>
              <w:rPr>
                <w:rFonts w:eastAsia="Calibri" w:cstheme="minorHAnsi"/>
                <w:b/>
                <w:lang w:val="sl-SI"/>
              </w:rPr>
            </w:pPr>
            <w:r w:rsidRPr="00D27DA9">
              <w:rPr>
                <w:rFonts w:eastAsia="Calibri" w:cstheme="minorHAnsi"/>
                <w:b/>
                <w:lang w:val="sl-SI"/>
              </w:rPr>
              <w:t>EU kompetenčni center za misije usposabljanja EUTMCC (European  Union Training Mission Competence Centre)</w:t>
            </w:r>
          </w:p>
          <w:p w14:paraId="205348B8" w14:textId="1DB341B1" w:rsidR="00FE1A08" w:rsidRPr="00D27DA9" w:rsidRDefault="00FE1A08" w:rsidP="00FE1A08">
            <w:pPr>
              <w:rPr>
                <w:rFonts w:eastAsia="Calibri" w:cstheme="minorHAnsi"/>
                <w:b/>
                <w:highlight w:val="green"/>
                <w:lang w:val="sl-SI"/>
              </w:rPr>
            </w:pPr>
          </w:p>
        </w:tc>
        <w:tc>
          <w:tcPr>
            <w:tcW w:w="4536" w:type="dxa"/>
            <w:vAlign w:val="center"/>
          </w:tcPr>
          <w:p w14:paraId="384444C8" w14:textId="51308FAA" w:rsidR="00BF238C" w:rsidRPr="00D27DA9" w:rsidRDefault="00BF238C" w:rsidP="00BF238C">
            <w:pPr>
              <w:autoSpaceDE w:val="0"/>
              <w:autoSpaceDN w:val="0"/>
              <w:adjustRightInd w:val="0"/>
              <w:jc w:val="both"/>
              <w:rPr>
                <w:rFonts w:cstheme="minorHAnsi"/>
                <w:color w:val="000000" w:themeColor="text1"/>
                <w:lang w:val="sl-SI"/>
              </w:rPr>
            </w:pPr>
            <w:r w:rsidRPr="00D27DA9">
              <w:rPr>
                <w:rFonts w:cstheme="minorHAnsi"/>
                <w:iCs/>
                <w:color w:val="000000" w:themeColor="text1"/>
                <w:lang w:val="sl-SI"/>
              </w:rPr>
              <w:t>EU kompetenčni center za misije usposabljanja bo izboljšal dostopnost, interoperabilnost, specifična znanja in profesionalizem osebja za misije usposabljanja na ravni EU.</w:t>
            </w:r>
          </w:p>
          <w:p w14:paraId="2E0F70EB" w14:textId="77777777" w:rsidR="00BF238C" w:rsidRPr="00D27DA9" w:rsidRDefault="00BF238C" w:rsidP="00BF238C">
            <w:pPr>
              <w:jc w:val="both"/>
              <w:rPr>
                <w:rFonts w:cstheme="minorHAnsi"/>
                <w:color w:val="000000" w:themeColor="text1"/>
                <w:lang w:val="sl-SI"/>
              </w:rPr>
            </w:pPr>
          </w:p>
          <w:p w14:paraId="7B2278B3" w14:textId="7F64A8C6" w:rsidR="004A573B" w:rsidRPr="00D27DA9" w:rsidRDefault="00BF238C" w:rsidP="00BF238C">
            <w:pPr>
              <w:jc w:val="both"/>
              <w:rPr>
                <w:rFonts w:eastAsia="Calibri" w:cstheme="minorHAnsi"/>
                <w:b/>
                <w:lang w:val="sl-SI"/>
              </w:rPr>
            </w:pPr>
            <w:r w:rsidRPr="00D27DA9">
              <w:rPr>
                <w:rFonts w:cstheme="minorHAnsi"/>
                <w:b/>
                <w:color w:val="000000" w:themeColor="text1"/>
                <w:lang w:val="sl-SI"/>
              </w:rPr>
              <w:t>PESCO projekt je bil v letu 2020 zaključen.</w:t>
            </w:r>
          </w:p>
        </w:tc>
        <w:tc>
          <w:tcPr>
            <w:tcW w:w="6096" w:type="dxa"/>
            <w:vAlign w:val="center"/>
          </w:tcPr>
          <w:p w14:paraId="747D5952" w14:textId="4A98E6FE" w:rsidR="00E074E1" w:rsidRPr="00D27DA9" w:rsidRDefault="00BF238C" w:rsidP="00BF238C">
            <w:pPr>
              <w:jc w:val="both"/>
              <w:rPr>
                <w:rFonts w:cstheme="minorHAnsi"/>
                <w:lang w:val="sl-SI"/>
              </w:rPr>
            </w:pPr>
            <w:r w:rsidRPr="00D27DA9">
              <w:rPr>
                <w:rFonts w:cstheme="minorHAnsi"/>
                <w:lang w:val="sl-SI"/>
              </w:rPr>
              <w:t xml:space="preserve"> </w:t>
            </w:r>
            <w:r w:rsidR="009B633B" w:rsidRPr="00D27DA9">
              <w:rPr>
                <w:rFonts w:cstheme="minorHAnsi"/>
                <w:lang w:val="sl-SI"/>
              </w:rPr>
              <w:t>n.a.</w:t>
            </w:r>
          </w:p>
        </w:tc>
      </w:tr>
      <w:tr w:rsidR="004A573B" w:rsidRPr="00D27DA9" w14:paraId="19256831" w14:textId="77777777" w:rsidTr="008C3C4E">
        <w:trPr>
          <w:trHeight w:val="2659"/>
        </w:trPr>
        <w:tc>
          <w:tcPr>
            <w:tcW w:w="2107" w:type="dxa"/>
            <w:vAlign w:val="center"/>
          </w:tcPr>
          <w:p w14:paraId="4B1A6F21" w14:textId="77777777" w:rsidR="004A573B" w:rsidRPr="00D27DA9" w:rsidRDefault="004A573B" w:rsidP="004666EE">
            <w:pPr>
              <w:rPr>
                <w:rFonts w:eastAsia="Calibri" w:cstheme="minorHAnsi"/>
                <w:b/>
                <w:lang w:val="sl-SI"/>
              </w:rPr>
            </w:pPr>
            <w:r w:rsidRPr="00D27DA9">
              <w:rPr>
                <w:rFonts w:eastAsia="Calibri" w:cstheme="minorHAnsi"/>
                <w:b/>
                <w:lang w:val="sl-SI"/>
              </w:rPr>
              <w:lastRenderedPageBreak/>
              <w:t>Posredna ognjena podpora (Indirect Fire Support)</w:t>
            </w:r>
          </w:p>
          <w:p w14:paraId="18C07168" w14:textId="2A5C2555" w:rsidR="000B6645" w:rsidRPr="00D27DA9" w:rsidRDefault="000B6645" w:rsidP="000B6645">
            <w:pPr>
              <w:rPr>
                <w:rFonts w:eastAsia="Calibri" w:cstheme="minorHAnsi"/>
                <w:b/>
                <w:highlight w:val="green"/>
                <w:lang w:val="sl-SI"/>
              </w:rPr>
            </w:pPr>
          </w:p>
        </w:tc>
        <w:tc>
          <w:tcPr>
            <w:tcW w:w="4536" w:type="dxa"/>
            <w:vAlign w:val="center"/>
          </w:tcPr>
          <w:p w14:paraId="29CB6B2A" w14:textId="019AEFDB" w:rsidR="004A573B" w:rsidRPr="00D27DA9" w:rsidRDefault="001B070E" w:rsidP="00D27DA9">
            <w:pPr>
              <w:autoSpaceDE w:val="0"/>
              <w:autoSpaceDN w:val="0"/>
              <w:adjustRightInd w:val="0"/>
              <w:jc w:val="both"/>
              <w:rPr>
                <w:rFonts w:eastAsia="Calibri" w:cstheme="minorHAnsi"/>
                <w:color w:val="000000" w:themeColor="text1"/>
                <w:lang w:val="sl-SI"/>
              </w:rPr>
            </w:pPr>
            <w:r w:rsidRPr="00D27DA9">
              <w:rPr>
                <w:rFonts w:cstheme="minorHAnsi"/>
                <w:iCs/>
                <w:color w:val="000000" w:themeColor="text1"/>
                <w:lang w:val="sl-SI"/>
              </w:rPr>
              <w:t>Na podlagi Sklepa o določitvi odgovornih nosilcev</w:t>
            </w:r>
            <w:r w:rsidR="00BF238C" w:rsidRPr="00D27DA9">
              <w:rPr>
                <w:rFonts w:cstheme="minorHAnsi"/>
                <w:iCs/>
                <w:color w:val="000000" w:themeColor="text1"/>
                <w:lang w:val="sl-SI"/>
              </w:rPr>
              <w:t xml:space="preserve"> </w:t>
            </w:r>
            <w:r w:rsidRPr="00D27DA9">
              <w:rPr>
                <w:rFonts w:cstheme="minorHAnsi"/>
                <w:iCs/>
                <w:color w:val="000000" w:themeColor="text1"/>
                <w:lang w:val="sl-SI"/>
              </w:rPr>
              <w:t>za stalno strukturno sodelovanje imamo na ravni</w:t>
            </w:r>
            <w:r w:rsidR="00BF238C" w:rsidRPr="00D27DA9">
              <w:rPr>
                <w:rFonts w:cstheme="minorHAnsi"/>
                <w:iCs/>
                <w:color w:val="000000" w:themeColor="text1"/>
                <w:lang w:val="sl-SI"/>
              </w:rPr>
              <w:t xml:space="preserve"> </w:t>
            </w:r>
            <w:r w:rsidRPr="00D27DA9">
              <w:rPr>
                <w:rFonts w:cstheme="minorHAnsi"/>
                <w:iCs/>
                <w:color w:val="000000" w:themeColor="text1"/>
                <w:lang w:val="sl-SI"/>
              </w:rPr>
              <w:t>ministrstva določeno kontaktno osebo, ki je</w:t>
            </w:r>
            <w:r w:rsidR="00BF238C" w:rsidRPr="00D27DA9">
              <w:rPr>
                <w:rFonts w:cstheme="minorHAnsi"/>
                <w:iCs/>
                <w:color w:val="000000" w:themeColor="text1"/>
                <w:lang w:val="sl-SI"/>
              </w:rPr>
              <w:t xml:space="preserve"> </w:t>
            </w:r>
            <w:r w:rsidRPr="00D27DA9">
              <w:rPr>
                <w:rFonts w:cstheme="minorHAnsi"/>
                <w:iCs/>
                <w:color w:val="000000" w:themeColor="text1"/>
                <w:lang w:val="sl-SI"/>
              </w:rPr>
              <w:t>odgovorna za pokrivanje vsebine projekta in</w:t>
            </w:r>
            <w:r w:rsidR="00BF238C" w:rsidRPr="00D27DA9">
              <w:rPr>
                <w:rFonts w:cstheme="minorHAnsi"/>
                <w:iCs/>
                <w:color w:val="000000" w:themeColor="text1"/>
                <w:lang w:val="sl-SI"/>
              </w:rPr>
              <w:t xml:space="preserve"> </w:t>
            </w:r>
            <w:r w:rsidRPr="00D27DA9">
              <w:rPr>
                <w:rFonts w:cstheme="minorHAnsi"/>
                <w:iCs/>
                <w:color w:val="000000" w:themeColor="text1"/>
                <w:lang w:val="sl-SI"/>
              </w:rPr>
              <w:t>udeleževanja sestankov.</w:t>
            </w:r>
          </w:p>
        </w:tc>
        <w:tc>
          <w:tcPr>
            <w:tcW w:w="6096" w:type="dxa"/>
            <w:vAlign w:val="center"/>
          </w:tcPr>
          <w:p w14:paraId="1AEAA0B5" w14:textId="77777777" w:rsidR="001B070E" w:rsidRPr="00D27DA9" w:rsidRDefault="001B070E" w:rsidP="001B070E">
            <w:pPr>
              <w:autoSpaceDE w:val="0"/>
              <w:autoSpaceDN w:val="0"/>
              <w:adjustRightInd w:val="0"/>
              <w:rPr>
                <w:rFonts w:cstheme="minorHAnsi"/>
                <w:iCs/>
                <w:color w:val="000000" w:themeColor="text1"/>
                <w:lang w:val="sl-SI"/>
              </w:rPr>
            </w:pPr>
            <w:r w:rsidRPr="00D27DA9">
              <w:rPr>
                <w:rFonts w:cstheme="minorHAnsi"/>
                <w:iCs/>
                <w:color w:val="000000" w:themeColor="text1"/>
                <w:lang w:val="sl-SI"/>
              </w:rPr>
              <w:t>Gre za razvoj precizne mobilne artilerijske platforme, ki bo</w:t>
            </w:r>
          </w:p>
          <w:p w14:paraId="7BDAEF90" w14:textId="3623F4CE" w:rsidR="004A573B" w:rsidRPr="00D27DA9" w:rsidRDefault="001B070E" w:rsidP="001B070E">
            <w:pPr>
              <w:jc w:val="both"/>
              <w:rPr>
                <w:rFonts w:cstheme="minorHAnsi"/>
                <w:color w:val="000000" w:themeColor="text1"/>
                <w:lang w:val="sl-SI"/>
              </w:rPr>
            </w:pPr>
            <w:r w:rsidRPr="00D27DA9">
              <w:rPr>
                <w:rFonts w:cstheme="minorHAnsi"/>
                <w:iCs/>
                <w:color w:val="000000" w:themeColor="text1"/>
                <w:lang w:val="sl-SI"/>
              </w:rPr>
              <w:t>prispevala h bojnim zmogljivostim EU v vojaških operacijah.</w:t>
            </w:r>
          </w:p>
        </w:tc>
      </w:tr>
      <w:tr w:rsidR="004A573B" w:rsidRPr="00D27DA9" w14:paraId="02AB7FCA" w14:textId="77777777" w:rsidTr="008C3C4E">
        <w:trPr>
          <w:trHeight w:val="2659"/>
        </w:trPr>
        <w:tc>
          <w:tcPr>
            <w:tcW w:w="2107" w:type="dxa"/>
            <w:vAlign w:val="center"/>
          </w:tcPr>
          <w:p w14:paraId="14142D4E" w14:textId="77777777" w:rsidR="004A573B" w:rsidRPr="00D27DA9" w:rsidRDefault="004A573B" w:rsidP="004666EE">
            <w:pPr>
              <w:rPr>
                <w:rFonts w:eastAsia="Calibri" w:cstheme="minorHAnsi"/>
                <w:b/>
                <w:lang w:val="sl-SI"/>
              </w:rPr>
            </w:pPr>
            <w:r w:rsidRPr="00D27DA9">
              <w:rPr>
                <w:rFonts w:eastAsia="Calibri" w:cstheme="minorHAnsi"/>
                <w:b/>
                <w:lang w:val="sl-SI"/>
              </w:rPr>
              <w:t>Središče za krizno odzivanje za operacije EUFOR CROC</w:t>
            </w:r>
            <w:r w:rsidR="00546D17" w:rsidRPr="00D27DA9">
              <w:rPr>
                <w:rFonts w:eastAsia="Calibri" w:cstheme="minorHAnsi"/>
                <w:b/>
                <w:lang w:val="sl-SI"/>
              </w:rPr>
              <w:t xml:space="preserve"> </w:t>
            </w:r>
            <w:r w:rsidRPr="00D27DA9">
              <w:rPr>
                <w:rFonts w:eastAsia="Calibri" w:cstheme="minorHAnsi"/>
                <w:b/>
                <w:lang w:val="sl-SI"/>
              </w:rPr>
              <w:t>(EUFOR Crisis Response Operation Core (EUFOR CROC)</w:t>
            </w:r>
          </w:p>
          <w:p w14:paraId="4B1AE376" w14:textId="5AE3833F" w:rsidR="000B6645" w:rsidRPr="00D27DA9" w:rsidRDefault="000B6645" w:rsidP="000B6645">
            <w:pPr>
              <w:rPr>
                <w:rFonts w:eastAsia="Calibri" w:cstheme="minorHAnsi"/>
                <w:b/>
                <w:highlight w:val="green"/>
                <w:lang w:val="sl-SI"/>
              </w:rPr>
            </w:pPr>
          </w:p>
        </w:tc>
        <w:tc>
          <w:tcPr>
            <w:tcW w:w="4536" w:type="dxa"/>
            <w:vAlign w:val="center"/>
          </w:tcPr>
          <w:p w14:paraId="333AAE91" w14:textId="0938FC38" w:rsidR="001B070E" w:rsidRPr="00D27DA9" w:rsidRDefault="001B070E" w:rsidP="00BF238C">
            <w:pPr>
              <w:autoSpaceDE w:val="0"/>
              <w:autoSpaceDN w:val="0"/>
              <w:adjustRightInd w:val="0"/>
              <w:jc w:val="both"/>
              <w:rPr>
                <w:rFonts w:cstheme="minorHAnsi"/>
                <w:iCs/>
                <w:color w:val="000000" w:themeColor="text1"/>
                <w:lang w:val="sl-SI"/>
              </w:rPr>
            </w:pPr>
            <w:r w:rsidRPr="00D27DA9">
              <w:rPr>
                <w:rFonts w:cstheme="minorHAnsi"/>
                <w:iCs/>
                <w:color w:val="000000" w:themeColor="text1"/>
                <w:lang w:val="sl-SI"/>
              </w:rPr>
              <w:t>Na podlagi Sklepa o določitvi odgovornih nosilcev za stalno strukturno sodelovanje imamo na ravni  ministrstva določeno kontaktno osebo, ki je</w:t>
            </w:r>
            <w:r w:rsidR="00BF238C" w:rsidRPr="00D27DA9">
              <w:rPr>
                <w:rFonts w:cstheme="minorHAnsi"/>
                <w:iCs/>
                <w:color w:val="000000" w:themeColor="text1"/>
                <w:lang w:val="sl-SI"/>
              </w:rPr>
              <w:t xml:space="preserve"> </w:t>
            </w:r>
            <w:r w:rsidRPr="00D27DA9">
              <w:rPr>
                <w:rFonts w:cstheme="minorHAnsi"/>
                <w:iCs/>
                <w:color w:val="000000" w:themeColor="text1"/>
                <w:lang w:val="sl-SI"/>
              </w:rPr>
              <w:t>odgovorna za pokrivanje vsebine projekta in</w:t>
            </w:r>
          </w:p>
          <w:p w14:paraId="61950087" w14:textId="2DF43E22" w:rsidR="004A573B" w:rsidRPr="00D27DA9" w:rsidRDefault="009B633B" w:rsidP="00BF238C">
            <w:pPr>
              <w:jc w:val="both"/>
              <w:rPr>
                <w:rFonts w:eastAsia="Calibri" w:cstheme="minorHAnsi"/>
                <w:color w:val="000000" w:themeColor="text1"/>
                <w:lang w:val="sl-SI"/>
              </w:rPr>
            </w:pPr>
            <w:r w:rsidRPr="00D27DA9">
              <w:rPr>
                <w:rFonts w:cstheme="minorHAnsi"/>
                <w:iCs/>
                <w:color w:val="000000" w:themeColor="text1"/>
                <w:lang w:val="sl-SI"/>
              </w:rPr>
              <w:t>Udeleževanja</w:t>
            </w:r>
            <w:r w:rsidR="001B070E" w:rsidRPr="00D27DA9">
              <w:rPr>
                <w:rFonts w:cstheme="minorHAnsi"/>
                <w:iCs/>
                <w:color w:val="000000" w:themeColor="text1"/>
                <w:lang w:val="sl-SI"/>
              </w:rPr>
              <w:t xml:space="preserve"> sestankov.</w:t>
            </w:r>
          </w:p>
        </w:tc>
        <w:tc>
          <w:tcPr>
            <w:tcW w:w="6096" w:type="dxa"/>
            <w:vAlign w:val="center"/>
          </w:tcPr>
          <w:p w14:paraId="2C423301" w14:textId="4178C27E" w:rsidR="004A573B" w:rsidRPr="00D27DA9" w:rsidRDefault="001B070E" w:rsidP="00BF238C">
            <w:pPr>
              <w:autoSpaceDE w:val="0"/>
              <w:autoSpaceDN w:val="0"/>
              <w:adjustRightInd w:val="0"/>
              <w:jc w:val="both"/>
              <w:rPr>
                <w:rFonts w:cstheme="minorHAnsi"/>
                <w:color w:val="000000" w:themeColor="text1"/>
                <w:lang w:val="sl-SI"/>
              </w:rPr>
            </w:pPr>
            <w:r w:rsidRPr="00D27DA9">
              <w:rPr>
                <w:rFonts w:cstheme="minorHAnsi"/>
                <w:iCs/>
                <w:color w:val="000000" w:themeColor="text1"/>
                <w:lang w:val="sl-SI"/>
              </w:rPr>
              <w:t>Projekt bo izboljšal krizno upravljanje zmogljivosti EU. Prva faza projekta se je začela z implementacijsko študijo.</w:t>
            </w:r>
          </w:p>
        </w:tc>
      </w:tr>
      <w:tr w:rsidR="00E074E1" w:rsidRPr="00D27DA9" w14:paraId="7509E63A" w14:textId="77777777" w:rsidTr="008C3C4E">
        <w:trPr>
          <w:trHeight w:val="2659"/>
        </w:trPr>
        <w:tc>
          <w:tcPr>
            <w:tcW w:w="2107" w:type="dxa"/>
            <w:vAlign w:val="center"/>
          </w:tcPr>
          <w:p w14:paraId="23D20AB3" w14:textId="5B5F69A3" w:rsidR="00E074E1" w:rsidRPr="00D27DA9" w:rsidRDefault="00E074E1" w:rsidP="004666EE">
            <w:pPr>
              <w:rPr>
                <w:rFonts w:eastAsia="Calibri" w:cstheme="minorHAnsi"/>
                <w:b/>
                <w:lang w:val="sl-SI"/>
              </w:rPr>
            </w:pPr>
            <w:r w:rsidRPr="00D27DA9">
              <w:rPr>
                <w:rFonts w:eastAsia="Calibri" w:cstheme="minorHAnsi"/>
                <w:b/>
                <w:lang w:val="sl-SI"/>
              </w:rPr>
              <w:t>Kibernetska akademija EU in inovacijsko vozlišče (</w:t>
            </w:r>
            <w:r w:rsidR="007325FB" w:rsidRPr="00D27DA9">
              <w:rPr>
                <w:rFonts w:eastAsia="Calibri" w:cstheme="minorHAnsi"/>
                <w:b/>
                <w:lang w:val="sl-SI"/>
              </w:rPr>
              <w:t>eu Cyber Academia and Innovation Hub)</w:t>
            </w:r>
          </w:p>
        </w:tc>
        <w:tc>
          <w:tcPr>
            <w:tcW w:w="4536" w:type="dxa"/>
            <w:vAlign w:val="center"/>
          </w:tcPr>
          <w:p w14:paraId="4BF13996" w14:textId="77777777" w:rsidR="00E074E1" w:rsidRPr="00D27DA9" w:rsidRDefault="00E074E1" w:rsidP="00D7077D">
            <w:pPr>
              <w:jc w:val="both"/>
              <w:rPr>
                <w:rFonts w:eastAsia="Calibri" w:cstheme="minorHAnsi"/>
                <w:lang w:val="sl-SI"/>
              </w:rPr>
            </w:pPr>
          </w:p>
        </w:tc>
        <w:tc>
          <w:tcPr>
            <w:tcW w:w="6096" w:type="dxa"/>
            <w:vAlign w:val="center"/>
          </w:tcPr>
          <w:p w14:paraId="1920B5AD" w14:textId="77777777" w:rsidR="007325FB" w:rsidRPr="00D27DA9" w:rsidRDefault="00BF238C" w:rsidP="00BF238C">
            <w:pPr>
              <w:rPr>
                <w:rFonts w:cstheme="minorHAnsi"/>
                <w:lang w:val="sl-SI"/>
              </w:rPr>
            </w:pPr>
            <w:r w:rsidRPr="00D27DA9">
              <w:rPr>
                <w:rFonts w:cstheme="minorHAnsi"/>
                <w:lang w:val="sl-SI"/>
              </w:rPr>
              <w:t xml:space="preserve">Slovenija se bo v letu </w:t>
            </w:r>
            <w:r w:rsidR="007325FB" w:rsidRPr="00D27DA9">
              <w:rPr>
                <w:rFonts w:cstheme="minorHAnsi"/>
                <w:lang w:val="sl-SI"/>
              </w:rPr>
              <w:t xml:space="preserve">2021 </w:t>
            </w:r>
            <w:r w:rsidRPr="00D27DA9">
              <w:rPr>
                <w:rFonts w:cstheme="minorHAnsi"/>
                <w:lang w:val="sl-SI"/>
              </w:rPr>
              <w:t xml:space="preserve">vključila v projekt kot opazovalka. </w:t>
            </w:r>
          </w:p>
          <w:p w14:paraId="159932DC" w14:textId="77777777" w:rsidR="009B633B" w:rsidRPr="00D27DA9" w:rsidRDefault="009B633B" w:rsidP="00BF238C">
            <w:pPr>
              <w:rPr>
                <w:rFonts w:cstheme="minorHAnsi"/>
                <w:lang w:val="sl-SI"/>
              </w:rPr>
            </w:pPr>
          </w:p>
          <w:p w14:paraId="003B110E" w14:textId="3B3369B2" w:rsidR="009B633B" w:rsidRPr="00D27DA9" w:rsidRDefault="009B633B" w:rsidP="009B633B">
            <w:pPr>
              <w:autoSpaceDE w:val="0"/>
              <w:autoSpaceDN w:val="0"/>
              <w:adjustRightInd w:val="0"/>
              <w:jc w:val="both"/>
              <w:rPr>
                <w:rFonts w:cstheme="minorHAnsi"/>
                <w:lang w:val="sl-SI"/>
              </w:rPr>
            </w:pPr>
            <w:r w:rsidRPr="00D27DA9">
              <w:rPr>
                <w:rFonts w:cstheme="minorHAnsi"/>
                <w:iCs/>
                <w:color w:val="000000" w:themeColor="text1"/>
                <w:lang w:val="sl-SI"/>
              </w:rPr>
              <w:t>Pripravljen bo Sklep o določitvi odgovornih nosilcev za stalno strukturno sodelovanje</w:t>
            </w:r>
            <w:r w:rsidR="008B416D">
              <w:rPr>
                <w:rFonts w:cstheme="minorHAnsi"/>
                <w:iCs/>
                <w:color w:val="000000" w:themeColor="text1"/>
                <w:lang w:val="sl-SI"/>
              </w:rPr>
              <w:t>, kjer bodo določene organizaci</w:t>
            </w:r>
            <w:r w:rsidRPr="00D27DA9">
              <w:rPr>
                <w:rFonts w:cstheme="minorHAnsi"/>
                <w:iCs/>
                <w:color w:val="000000" w:themeColor="text1"/>
                <w:lang w:val="sl-SI"/>
              </w:rPr>
              <w:t>j</w:t>
            </w:r>
            <w:r w:rsidR="008B416D">
              <w:rPr>
                <w:rFonts w:cstheme="minorHAnsi"/>
                <w:iCs/>
                <w:color w:val="000000" w:themeColor="text1"/>
                <w:lang w:val="sl-SI"/>
              </w:rPr>
              <w:t>s</w:t>
            </w:r>
            <w:r w:rsidRPr="00D27DA9">
              <w:rPr>
                <w:rFonts w:cstheme="minorHAnsi"/>
                <w:iCs/>
                <w:color w:val="000000" w:themeColor="text1"/>
                <w:lang w:val="sl-SI"/>
              </w:rPr>
              <w:t xml:space="preserve">ke enote in kontaktne osebe, ki bodo odgovorne za pokrivanje vsebine projekta in udeleževanja na sestankih. </w:t>
            </w:r>
          </w:p>
        </w:tc>
      </w:tr>
    </w:tbl>
    <w:p w14:paraId="0852145F" w14:textId="77777777" w:rsidR="00537C30" w:rsidRPr="00D27DA9" w:rsidRDefault="00537C30" w:rsidP="00E212D3">
      <w:pPr>
        <w:spacing w:after="0"/>
        <w:rPr>
          <w:rFonts w:cstheme="minorHAnsi"/>
          <w:b/>
        </w:rPr>
      </w:pPr>
    </w:p>
    <w:p w14:paraId="4FE42587" w14:textId="77777777" w:rsidR="00537C30" w:rsidRPr="00D27DA9" w:rsidRDefault="00537C30">
      <w:pPr>
        <w:rPr>
          <w:rFonts w:cstheme="minorHAnsi"/>
          <w:b/>
        </w:rPr>
      </w:pPr>
      <w:r w:rsidRPr="00D27DA9">
        <w:rPr>
          <w:rFonts w:cstheme="minorHAnsi"/>
          <w:b/>
        </w:rPr>
        <w:br w:type="page"/>
      </w:r>
    </w:p>
    <w:p w14:paraId="7E809288" w14:textId="183DFC17" w:rsidR="00537C30" w:rsidRPr="00D27DA9" w:rsidRDefault="00537C30" w:rsidP="00537C30">
      <w:pPr>
        <w:pBdr>
          <w:top w:val="single" w:sz="4" w:space="1" w:color="auto"/>
          <w:left w:val="single" w:sz="4" w:space="4" w:color="auto"/>
          <w:bottom w:val="single" w:sz="4" w:space="1" w:color="auto"/>
          <w:right w:val="single" w:sz="4" w:space="4" w:color="auto"/>
        </w:pBdr>
        <w:shd w:val="clear" w:color="auto" w:fill="DBE5F1" w:themeFill="accent1" w:themeFillTint="33"/>
        <w:spacing w:after="0"/>
        <w:jc w:val="center"/>
        <w:rPr>
          <w:rFonts w:cstheme="minorHAnsi"/>
          <w:b/>
        </w:rPr>
      </w:pPr>
      <w:r w:rsidRPr="00D27DA9">
        <w:rPr>
          <w:rFonts w:cstheme="minorHAnsi"/>
          <w:b/>
        </w:rPr>
        <w:lastRenderedPageBreak/>
        <w:t>“(e) sodelova</w:t>
      </w:r>
      <w:r w:rsidR="00507360" w:rsidRPr="00D27DA9">
        <w:rPr>
          <w:rFonts w:cstheme="minorHAnsi"/>
          <w:b/>
        </w:rPr>
        <w:t>le</w:t>
      </w:r>
      <w:r w:rsidRPr="00D27DA9">
        <w:rPr>
          <w:rFonts w:cstheme="minorHAnsi"/>
          <w:b/>
        </w:rPr>
        <w:t>, kjer je to primerno, pri razvoju večjih skupnih ali evropskih programov opremljanja v okviru Evropske obrambne agencije.”</w:t>
      </w:r>
    </w:p>
    <w:p w14:paraId="25826EE8" w14:textId="77777777" w:rsidR="00537C30" w:rsidRPr="00D27DA9" w:rsidRDefault="00537C30" w:rsidP="00537C30">
      <w:pPr>
        <w:rPr>
          <w:rFonts w:cstheme="minorHAnsi"/>
          <w:b/>
        </w:rPr>
      </w:pPr>
    </w:p>
    <w:p w14:paraId="17E58BBB" w14:textId="77777777" w:rsidR="00537C30" w:rsidRPr="00D27DA9" w:rsidRDefault="00537C30" w:rsidP="00537C30">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cstheme="minorHAnsi"/>
          <w:b/>
        </w:rPr>
      </w:pPr>
      <w:r w:rsidRPr="00D27DA9">
        <w:rPr>
          <w:rFonts w:cstheme="minorHAnsi"/>
          <w:b/>
        </w:rPr>
        <w:t>Zaveza 18:</w:t>
      </w:r>
    </w:p>
    <w:p w14:paraId="5C2E496B" w14:textId="5E4AE9C0" w:rsidR="00537C30" w:rsidRPr="00D27DA9" w:rsidRDefault="00A11185" w:rsidP="00537C30">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cstheme="minorHAnsi"/>
          <w:b/>
        </w:rPr>
      </w:pPr>
      <w:r w:rsidRPr="00D27DA9">
        <w:rPr>
          <w:rFonts w:cstheme="minorHAnsi"/>
        </w:rPr>
        <w:t>U</w:t>
      </w:r>
      <w:r w:rsidR="00507360" w:rsidRPr="00D27DA9">
        <w:rPr>
          <w:rFonts w:cstheme="minorHAnsi"/>
        </w:rPr>
        <w:t>porabljale E</w:t>
      </w:r>
      <w:r w:rsidRPr="00D27DA9">
        <w:rPr>
          <w:rFonts w:cstheme="minorHAnsi"/>
        </w:rPr>
        <w:t xml:space="preserve">vropsko obrambno agencijo (EDA) </w:t>
      </w:r>
      <w:r w:rsidR="00507360" w:rsidRPr="00D27DA9">
        <w:rPr>
          <w:rFonts w:cstheme="minorHAnsi"/>
        </w:rPr>
        <w:t xml:space="preserve"> kot evropski forum za razvoj skupnih zmogljivosti in obravnavale Organizacijo za oborožitveno sodelovanje</w:t>
      </w:r>
      <w:r w:rsidRPr="00D27DA9">
        <w:rPr>
          <w:rFonts w:cstheme="minorHAnsi"/>
        </w:rPr>
        <w:t xml:space="preserve"> (OCCAR)</w:t>
      </w:r>
      <w:r w:rsidR="00507360" w:rsidRPr="00D27DA9">
        <w:rPr>
          <w:rFonts w:cstheme="minorHAnsi"/>
        </w:rPr>
        <w:t xml:space="preserve"> kot najprimernejšo organizacijo za upravljanje programa sodelovanja</w:t>
      </w:r>
      <w:r w:rsidR="00537C30" w:rsidRPr="00D27DA9">
        <w:rPr>
          <w:rFonts w:cstheme="minorHAnsi"/>
          <w:b/>
        </w:rPr>
        <w:t>.</w:t>
      </w:r>
    </w:p>
    <w:p w14:paraId="0B8A9A87" w14:textId="77777777" w:rsidR="00656856" w:rsidRPr="00D27DA9" w:rsidRDefault="00656856" w:rsidP="004E3147">
      <w:pPr>
        <w:spacing w:line="240" w:lineRule="auto"/>
        <w:jc w:val="both"/>
        <w:rPr>
          <w:rFonts w:cstheme="minorHAnsi"/>
          <w:color w:val="000000"/>
        </w:rPr>
      </w:pPr>
    </w:p>
    <w:p w14:paraId="165C7BAF" w14:textId="77777777" w:rsidR="00537C30" w:rsidRPr="00D27DA9" w:rsidRDefault="00537C30" w:rsidP="00537C30">
      <w:pPr>
        <w:spacing w:after="0"/>
        <w:rPr>
          <w:rFonts w:cstheme="minorHAnsi"/>
        </w:rPr>
      </w:pPr>
    </w:p>
    <w:tbl>
      <w:tblPr>
        <w:tblStyle w:val="Tabelamrea"/>
        <w:tblW w:w="13164" w:type="dxa"/>
        <w:tblInd w:w="8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1115"/>
        <w:gridCol w:w="3686"/>
        <w:gridCol w:w="4110"/>
        <w:gridCol w:w="4253"/>
      </w:tblGrid>
      <w:tr w:rsidR="00537C30" w:rsidRPr="00D27DA9" w14:paraId="0CB25375" w14:textId="77777777" w:rsidTr="00D362DB">
        <w:trPr>
          <w:trHeight w:val="359"/>
        </w:trPr>
        <w:tc>
          <w:tcPr>
            <w:tcW w:w="1115" w:type="dxa"/>
            <w:shd w:val="clear" w:color="auto" w:fill="F2F2F2" w:themeFill="background1" w:themeFillShade="F2"/>
            <w:vAlign w:val="center"/>
          </w:tcPr>
          <w:p w14:paraId="7501942E" w14:textId="77777777" w:rsidR="00537C30" w:rsidRPr="00D27DA9" w:rsidRDefault="00537C30" w:rsidP="00D362DB">
            <w:pPr>
              <w:jc w:val="center"/>
              <w:rPr>
                <w:rFonts w:eastAsia="Calibri" w:cstheme="minorHAnsi"/>
                <w:b/>
                <w:bCs/>
                <w:lang w:val="sl-SI"/>
              </w:rPr>
            </w:pPr>
          </w:p>
        </w:tc>
        <w:tc>
          <w:tcPr>
            <w:tcW w:w="3686" w:type="dxa"/>
            <w:shd w:val="clear" w:color="auto" w:fill="F2F2F2" w:themeFill="background1" w:themeFillShade="F2"/>
            <w:vAlign w:val="center"/>
          </w:tcPr>
          <w:p w14:paraId="589E9DF9" w14:textId="1662232B" w:rsidR="00537C30" w:rsidRPr="00D27DA9" w:rsidRDefault="007108CB" w:rsidP="00D362DB">
            <w:pPr>
              <w:jc w:val="center"/>
              <w:rPr>
                <w:rFonts w:eastAsia="Calibri" w:cstheme="minorHAnsi"/>
                <w:b/>
                <w:bCs/>
                <w:lang w:val="sl-SI"/>
              </w:rPr>
            </w:pPr>
            <w:r w:rsidRPr="00D27DA9">
              <w:rPr>
                <w:rFonts w:eastAsia="Calibri" w:cstheme="minorHAnsi"/>
                <w:b/>
                <w:bCs/>
                <w:lang w:val="sl-SI"/>
              </w:rPr>
              <w:t>2020</w:t>
            </w:r>
            <w:r w:rsidR="00537C30" w:rsidRPr="00D27DA9">
              <w:rPr>
                <w:rFonts w:eastAsia="Calibri" w:cstheme="minorHAnsi"/>
                <w:b/>
                <w:bCs/>
                <w:lang w:val="sl-SI"/>
              </w:rPr>
              <w:t xml:space="preserve"> </w:t>
            </w:r>
          </w:p>
          <w:p w14:paraId="581F3DA3" w14:textId="77777777" w:rsidR="00537C30" w:rsidRPr="00D27DA9" w:rsidRDefault="00537C30" w:rsidP="00D362DB">
            <w:pPr>
              <w:jc w:val="center"/>
              <w:rPr>
                <w:rFonts w:eastAsia="Calibri" w:cstheme="minorHAnsi"/>
                <w:b/>
                <w:bCs/>
                <w:lang w:val="sl-SI"/>
              </w:rPr>
            </w:pPr>
            <w:r w:rsidRPr="00D27DA9">
              <w:rPr>
                <w:rFonts w:eastAsia="Calibri" w:cstheme="minorHAnsi"/>
                <w:b/>
                <w:bCs/>
                <w:lang w:val="sl-SI"/>
              </w:rPr>
              <w:t>(samoocena)</w:t>
            </w:r>
          </w:p>
        </w:tc>
        <w:tc>
          <w:tcPr>
            <w:tcW w:w="4110" w:type="dxa"/>
            <w:shd w:val="clear" w:color="auto" w:fill="F2F2F2" w:themeFill="background1" w:themeFillShade="F2"/>
            <w:vAlign w:val="center"/>
          </w:tcPr>
          <w:p w14:paraId="418C6A6F" w14:textId="2BCBE18C" w:rsidR="00537C30" w:rsidRPr="00D27DA9" w:rsidRDefault="007108CB" w:rsidP="00D362DB">
            <w:pPr>
              <w:jc w:val="center"/>
              <w:rPr>
                <w:rFonts w:eastAsia="Calibri" w:cstheme="minorHAnsi"/>
                <w:b/>
                <w:bCs/>
                <w:lang w:val="sl-SI"/>
              </w:rPr>
            </w:pPr>
            <w:r w:rsidRPr="00D27DA9">
              <w:rPr>
                <w:rFonts w:eastAsia="Calibri" w:cstheme="minorHAnsi"/>
                <w:b/>
                <w:bCs/>
                <w:lang w:val="sl-SI"/>
              </w:rPr>
              <w:t>2021</w:t>
            </w:r>
            <w:r w:rsidR="00537C30" w:rsidRPr="00D27DA9">
              <w:rPr>
                <w:rFonts w:eastAsia="Calibri" w:cstheme="minorHAnsi"/>
                <w:b/>
                <w:bCs/>
                <w:lang w:val="sl-SI"/>
              </w:rPr>
              <w:t xml:space="preserve"> </w:t>
            </w:r>
          </w:p>
          <w:p w14:paraId="42DC0475" w14:textId="77777777" w:rsidR="00537C30" w:rsidRPr="00D27DA9" w:rsidRDefault="00537C30" w:rsidP="00D362DB">
            <w:pPr>
              <w:jc w:val="center"/>
              <w:rPr>
                <w:rFonts w:eastAsia="Calibri" w:cstheme="minorHAnsi"/>
                <w:b/>
                <w:lang w:val="sl-SI"/>
              </w:rPr>
            </w:pPr>
            <w:r w:rsidRPr="00D27DA9">
              <w:rPr>
                <w:rFonts w:eastAsia="Calibri" w:cstheme="minorHAnsi"/>
                <w:b/>
                <w:bCs/>
                <w:lang w:val="sl-SI"/>
              </w:rPr>
              <w:t>(predvideno)</w:t>
            </w:r>
          </w:p>
        </w:tc>
        <w:tc>
          <w:tcPr>
            <w:tcW w:w="4253" w:type="dxa"/>
            <w:shd w:val="clear" w:color="auto" w:fill="F2F2F2" w:themeFill="background1" w:themeFillShade="F2"/>
            <w:vAlign w:val="center"/>
          </w:tcPr>
          <w:p w14:paraId="0DA3D812" w14:textId="63BD0A27" w:rsidR="00537C30" w:rsidRPr="00D27DA9" w:rsidRDefault="007108CB" w:rsidP="00D362DB">
            <w:pPr>
              <w:jc w:val="center"/>
              <w:rPr>
                <w:rFonts w:eastAsia="Calibri" w:cstheme="minorHAnsi"/>
                <w:b/>
                <w:bCs/>
                <w:lang w:val="sl-SI"/>
              </w:rPr>
            </w:pPr>
            <w:r w:rsidRPr="00D27DA9">
              <w:rPr>
                <w:rFonts w:eastAsia="Calibri" w:cstheme="minorHAnsi"/>
                <w:b/>
                <w:bCs/>
                <w:lang w:val="sl-SI"/>
              </w:rPr>
              <w:t>2022</w:t>
            </w:r>
            <w:r w:rsidR="00537C30" w:rsidRPr="00D27DA9">
              <w:rPr>
                <w:rFonts w:eastAsia="Calibri" w:cstheme="minorHAnsi"/>
                <w:b/>
                <w:bCs/>
                <w:lang w:val="sl-SI"/>
              </w:rPr>
              <w:t xml:space="preserve">-2025 </w:t>
            </w:r>
          </w:p>
          <w:p w14:paraId="61A4DCAA" w14:textId="77777777" w:rsidR="00537C30" w:rsidRPr="00D27DA9" w:rsidRDefault="00537C30" w:rsidP="00D362DB">
            <w:pPr>
              <w:jc w:val="center"/>
              <w:rPr>
                <w:rFonts w:eastAsia="Calibri" w:cstheme="minorHAnsi"/>
                <w:b/>
                <w:lang w:val="sl-SI"/>
              </w:rPr>
            </w:pPr>
            <w:r w:rsidRPr="00D27DA9">
              <w:rPr>
                <w:rFonts w:eastAsia="Calibri" w:cstheme="minorHAnsi"/>
                <w:b/>
                <w:bCs/>
                <w:lang w:val="sl-SI"/>
              </w:rPr>
              <w:t>(predvideno)</w:t>
            </w:r>
          </w:p>
        </w:tc>
      </w:tr>
      <w:tr w:rsidR="00537C30" w:rsidRPr="00D27DA9" w14:paraId="1D2A2747" w14:textId="77777777" w:rsidTr="00D27DA9">
        <w:trPr>
          <w:trHeight w:val="2480"/>
        </w:trPr>
        <w:tc>
          <w:tcPr>
            <w:tcW w:w="1115" w:type="dxa"/>
            <w:vAlign w:val="center"/>
          </w:tcPr>
          <w:p w14:paraId="30385FFC" w14:textId="77777777" w:rsidR="00537C30" w:rsidRPr="00D27DA9" w:rsidRDefault="00537C30" w:rsidP="00D362DB">
            <w:pPr>
              <w:rPr>
                <w:rFonts w:eastAsia="Calibri" w:cstheme="minorHAnsi"/>
                <w:b/>
                <w:lang w:val="sl-SI"/>
              </w:rPr>
            </w:pPr>
            <w:r w:rsidRPr="00D27DA9">
              <w:rPr>
                <w:rFonts w:eastAsia="Calibri" w:cstheme="minorHAnsi"/>
                <w:b/>
                <w:lang w:val="sl-SI"/>
              </w:rPr>
              <w:t xml:space="preserve">Zaveza </w:t>
            </w:r>
            <w:r w:rsidR="000A2A38" w:rsidRPr="00D27DA9">
              <w:rPr>
                <w:rFonts w:eastAsia="Calibri" w:cstheme="minorHAnsi"/>
                <w:b/>
                <w:lang w:val="sl-SI"/>
              </w:rPr>
              <w:t>18</w:t>
            </w:r>
          </w:p>
        </w:tc>
        <w:tc>
          <w:tcPr>
            <w:tcW w:w="3686" w:type="dxa"/>
            <w:vAlign w:val="center"/>
          </w:tcPr>
          <w:p w14:paraId="0A25E103" w14:textId="757C1EA2" w:rsidR="00537C30" w:rsidRPr="00D27DA9" w:rsidRDefault="007D7D0A" w:rsidP="00BF238C">
            <w:pPr>
              <w:jc w:val="both"/>
              <w:rPr>
                <w:rFonts w:eastAsia="Calibri" w:cstheme="minorHAnsi"/>
                <w:lang w:val="sl-SI"/>
              </w:rPr>
            </w:pPr>
            <w:r w:rsidRPr="00D27DA9">
              <w:rPr>
                <w:rFonts w:eastAsia="Calibri" w:cstheme="minorHAnsi"/>
                <w:lang w:val="sl-SI"/>
              </w:rPr>
              <w:t>Slovenija si je prizadevala za nadaljevanje začasno zaustavljenega projekta BKV 8x8, ki ga je v letu 2018 pričela izvajati v programu Boxer v okviru OCCAR in je bil v letu 2019 začasno zaustavljen.</w:t>
            </w:r>
            <w:r w:rsidR="00984EF2">
              <w:rPr>
                <w:rFonts w:eastAsia="Calibri" w:cstheme="minorHAnsi"/>
                <w:lang w:val="sl-SI"/>
              </w:rPr>
              <w:t xml:space="preserve"> V letu 2020 a</w:t>
            </w:r>
            <w:r w:rsidR="00E21249">
              <w:rPr>
                <w:rFonts w:eastAsia="Calibri" w:cstheme="minorHAnsi"/>
                <w:lang w:val="sl-SI"/>
              </w:rPr>
              <w:t>ktivnosti povezane s tem projek</w:t>
            </w:r>
            <w:r w:rsidR="00984EF2">
              <w:rPr>
                <w:rFonts w:eastAsia="Calibri" w:cstheme="minorHAnsi"/>
                <w:lang w:val="sl-SI"/>
              </w:rPr>
              <w:t>t</w:t>
            </w:r>
            <w:r w:rsidR="00E21249">
              <w:rPr>
                <w:rFonts w:eastAsia="Calibri" w:cstheme="minorHAnsi"/>
                <w:lang w:val="sl-SI"/>
              </w:rPr>
              <w:t>o</w:t>
            </w:r>
            <w:r w:rsidR="00984EF2">
              <w:rPr>
                <w:rFonts w:eastAsia="Calibri" w:cstheme="minorHAnsi"/>
                <w:lang w:val="sl-SI"/>
              </w:rPr>
              <w:t>m niso potekale.</w:t>
            </w:r>
          </w:p>
        </w:tc>
        <w:tc>
          <w:tcPr>
            <w:tcW w:w="4110" w:type="dxa"/>
            <w:vAlign w:val="center"/>
          </w:tcPr>
          <w:p w14:paraId="786EC62B" w14:textId="77777777" w:rsidR="00537C30" w:rsidRDefault="007D7D0A" w:rsidP="00BF238C">
            <w:pPr>
              <w:jc w:val="both"/>
              <w:rPr>
                <w:rFonts w:cstheme="minorHAnsi"/>
                <w:lang w:val="sl-SI"/>
              </w:rPr>
            </w:pPr>
            <w:r w:rsidRPr="00D27DA9">
              <w:rPr>
                <w:rFonts w:cstheme="minorHAnsi"/>
                <w:lang w:val="sl-SI"/>
              </w:rPr>
              <w:t>Slovenija bo ob sprostitvi izvajanja Zakona o zagotavljanju sredstev za investicije v Slovenski vojski v letih 2021 do 2026 (odločitev ustavnega sodišča) nadaljevala usklajevanja za pridružitev k večnacionalnemu programu Boxer v okviru OCCAR.</w:t>
            </w:r>
          </w:p>
          <w:p w14:paraId="03EE41BA" w14:textId="77777777" w:rsidR="00984EF2" w:rsidRDefault="00984EF2" w:rsidP="00BF238C">
            <w:pPr>
              <w:jc w:val="both"/>
              <w:rPr>
                <w:rFonts w:cstheme="minorHAnsi"/>
                <w:lang w:val="sl-SI"/>
              </w:rPr>
            </w:pPr>
          </w:p>
          <w:p w14:paraId="6A35ECC8" w14:textId="33A344B2" w:rsidR="00984EF2" w:rsidRPr="00D27DA9" w:rsidRDefault="00984EF2" w:rsidP="00BF238C">
            <w:pPr>
              <w:jc w:val="both"/>
              <w:rPr>
                <w:rFonts w:cstheme="minorHAnsi"/>
                <w:lang w:val="sl-SI"/>
              </w:rPr>
            </w:pPr>
            <w:r w:rsidRPr="00984EF2">
              <w:rPr>
                <w:rFonts w:cstheme="minorHAnsi"/>
              </w:rPr>
              <w:t>Pri zagotavljanju načrtovanih zmogljivosti bo preučila možnost njihovega zagotavljanja v okviru skupnih iniciativ in organizacij.</w:t>
            </w:r>
          </w:p>
        </w:tc>
        <w:tc>
          <w:tcPr>
            <w:tcW w:w="4253" w:type="dxa"/>
            <w:shd w:val="clear" w:color="auto" w:fill="FFFFFF" w:themeFill="background1"/>
            <w:vAlign w:val="center"/>
          </w:tcPr>
          <w:p w14:paraId="1C96CF0B" w14:textId="77777777" w:rsidR="00537C30" w:rsidRDefault="00984EF2" w:rsidP="00984EF2">
            <w:pPr>
              <w:jc w:val="both"/>
              <w:rPr>
                <w:rFonts w:cstheme="minorHAnsi"/>
                <w:lang w:val="sl-SI"/>
              </w:rPr>
            </w:pPr>
            <w:r>
              <w:rPr>
                <w:rFonts w:cstheme="minorHAnsi"/>
                <w:lang w:val="sl-SI"/>
              </w:rPr>
              <w:t>Slovenija si želi začeti i</w:t>
            </w:r>
            <w:r w:rsidR="007D7D0A" w:rsidRPr="00D27DA9">
              <w:rPr>
                <w:rFonts w:cstheme="minorHAnsi"/>
                <w:lang w:val="sl-SI"/>
              </w:rPr>
              <w:t>zvajanje programa Boxer v okviru OCCAR.</w:t>
            </w:r>
          </w:p>
          <w:p w14:paraId="41A0D85C" w14:textId="77777777" w:rsidR="00984EF2" w:rsidRDefault="00984EF2" w:rsidP="00984EF2">
            <w:pPr>
              <w:jc w:val="both"/>
              <w:rPr>
                <w:rFonts w:cstheme="minorHAnsi"/>
                <w:lang w:val="sl-SI"/>
              </w:rPr>
            </w:pPr>
          </w:p>
          <w:p w14:paraId="31C99371" w14:textId="74A8F404" w:rsidR="00984EF2" w:rsidRPr="00D27DA9" w:rsidRDefault="00984EF2" w:rsidP="00984EF2">
            <w:pPr>
              <w:jc w:val="both"/>
              <w:rPr>
                <w:rFonts w:cstheme="minorHAnsi"/>
                <w:lang w:val="sl-SI"/>
              </w:rPr>
            </w:pPr>
            <w:r w:rsidRPr="00984EF2">
              <w:rPr>
                <w:rFonts w:cstheme="minorHAnsi"/>
              </w:rPr>
              <w:t>Pri zagotavljanju načrtovanih zmogljivosti bo, če bo to mogoče in bo predstavljajo najugodnejšo možnost, le te zagotovila v okviru skupnih iniciativ in organizacij</w:t>
            </w:r>
          </w:p>
        </w:tc>
      </w:tr>
    </w:tbl>
    <w:p w14:paraId="0B0E43E3" w14:textId="379D2A39" w:rsidR="001226AC" w:rsidRPr="00D27DA9" w:rsidRDefault="001226AC">
      <w:pPr>
        <w:rPr>
          <w:rFonts w:cstheme="minorHAnsi"/>
          <w:b/>
        </w:rPr>
      </w:pPr>
      <w:r w:rsidRPr="00D27DA9">
        <w:rPr>
          <w:rFonts w:cstheme="minorHAnsi"/>
          <w:b/>
        </w:rPr>
        <w:br w:type="page"/>
      </w:r>
    </w:p>
    <w:p w14:paraId="3D4F2425" w14:textId="77777777" w:rsidR="001226AC" w:rsidRPr="00D27DA9" w:rsidRDefault="001226AC" w:rsidP="001226AC">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cstheme="minorHAnsi"/>
          <w:b/>
        </w:rPr>
      </w:pPr>
      <w:r w:rsidRPr="00D27DA9">
        <w:rPr>
          <w:rFonts w:cstheme="minorHAnsi"/>
          <w:b/>
        </w:rPr>
        <w:lastRenderedPageBreak/>
        <w:t>Zaveza 19:</w:t>
      </w:r>
    </w:p>
    <w:p w14:paraId="202A80A0" w14:textId="1698AC6F" w:rsidR="001226AC" w:rsidRPr="00D27DA9" w:rsidRDefault="006C5DAA" w:rsidP="001226AC">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cstheme="minorHAnsi"/>
          <w:b/>
        </w:rPr>
      </w:pPr>
      <w:r w:rsidRPr="00D27DA9">
        <w:rPr>
          <w:rFonts w:cstheme="minorHAnsi"/>
        </w:rPr>
        <w:t>Z</w:t>
      </w:r>
      <w:r w:rsidR="00507360" w:rsidRPr="00D27DA9">
        <w:rPr>
          <w:rFonts w:cstheme="minorHAnsi"/>
        </w:rPr>
        <w:t>agotavljale, da bodo vsi projekti v zvezi z zmogljivostmi, ki jih vodijo vključene države članice, prispevali h konkurenčnejši evropski obrambni industriji prek ustrezne industrijske politike, v okviru katere bo zagotovljeno, da ne bo nepotrebnega prekrivanja</w:t>
      </w:r>
      <w:r w:rsidR="001226AC" w:rsidRPr="00D27DA9">
        <w:rPr>
          <w:rFonts w:cstheme="minorHAnsi"/>
          <w:b/>
        </w:rPr>
        <w:t>.</w:t>
      </w:r>
    </w:p>
    <w:p w14:paraId="47F96A6D" w14:textId="77777777" w:rsidR="00656856" w:rsidRPr="00D27DA9" w:rsidRDefault="00656856" w:rsidP="004133B7">
      <w:pPr>
        <w:spacing w:after="0"/>
        <w:rPr>
          <w:rFonts w:cstheme="minorHAnsi"/>
        </w:rPr>
      </w:pPr>
    </w:p>
    <w:tbl>
      <w:tblPr>
        <w:tblStyle w:val="Tabelamrea"/>
        <w:tblW w:w="13164" w:type="dxa"/>
        <w:tblInd w:w="8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1115"/>
        <w:gridCol w:w="3686"/>
        <w:gridCol w:w="4110"/>
        <w:gridCol w:w="4253"/>
      </w:tblGrid>
      <w:tr w:rsidR="001226AC" w:rsidRPr="00D27DA9" w14:paraId="37A51000" w14:textId="77777777" w:rsidTr="00D362DB">
        <w:trPr>
          <w:trHeight w:val="359"/>
        </w:trPr>
        <w:tc>
          <w:tcPr>
            <w:tcW w:w="1115" w:type="dxa"/>
            <w:shd w:val="clear" w:color="auto" w:fill="F2F2F2" w:themeFill="background1" w:themeFillShade="F2"/>
            <w:vAlign w:val="center"/>
          </w:tcPr>
          <w:p w14:paraId="105FBCA5" w14:textId="77777777" w:rsidR="001226AC" w:rsidRPr="00D27DA9" w:rsidRDefault="001226AC" w:rsidP="00D362DB">
            <w:pPr>
              <w:jc w:val="center"/>
              <w:rPr>
                <w:rFonts w:eastAsia="Calibri" w:cstheme="minorHAnsi"/>
                <w:b/>
                <w:bCs/>
                <w:lang w:val="sl-SI"/>
              </w:rPr>
            </w:pPr>
          </w:p>
        </w:tc>
        <w:tc>
          <w:tcPr>
            <w:tcW w:w="3686" w:type="dxa"/>
            <w:shd w:val="clear" w:color="auto" w:fill="F2F2F2" w:themeFill="background1" w:themeFillShade="F2"/>
            <w:vAlign w:val="center"/>
          </w:tcPr>
          <w:p w14:paraId="43D4B97E" w14:textId="228D2E7F" w:rsidR="001226AC" w:rsidRPr="00D27DA9" w:rsidRDefault="007108CB" w:rsidP="00D362DB">
            <w:pPr>
              <w:jc w:val="center"/>
              <w:rPr>
                <w:rFonts w:eastAsia="Calibri" w:cstheme="minorHAnsi"/>
                <w:b/>
                <w:bCs/>
                <w:lang w:val="sl-SI"/>
              </w:rPr>
            </w:pPr>
            <w:r w:rsidRPr="00D27DA9">
              <w:rPr>
                <w:rFonts w:eastAsia="Calibri" w:cstheme="minorHAnsi"/>
                <w:b/>
                <w:bCs/>
                <w:lang w:val="sl-SI"/>
              </w:rPr>
              <w:t>2020</w:t>
            </w:r>
            <w:r w:rsidR="001226AC" w:rsidRPr="00D27DA9">
              <w:rPr>
                <w:rFonts w:eastAsia="Calibri" w:cstheme="minorHAnsi"/>
                <w:b/>
                <w:bCs/>
                <w:lang w:val="sl-SI"/>
              </w:rPr>
              <w:t xml:space="preserve"> </w:t>
            </w:r>
          </w:p>
          <w:p w14:paraId="52DCEF6A" w14:textId="77777777" w:rsidR="001226AC" w:rsidRPr="00D27DA9" w:rsidRDefault="001226AC" w:rsidP="00D362DB">
            <w:pPr>
              <w:jc w:val="center"/>
              <w:rPr>
                <w:rFonts w:eastAsia="Calibri" w:cstheme="minorHAnsi"/>
                <w:b/>
                <w:bCs/>
                <w:lang w:val="sl-SI"/>
              </w:rPr>
            </w:pPr>
            <w:r w:rsidRPr="00D27DA9">
              <w:rPr>
                <w:rFonts w:eastAsia="Calibri" w:cstheme="minorHAnsi"/>
                <w:b/>
                <w:bCs/>
                <w:lang w:val="sl-SI"/>
              </w:rPr>
              <w:t>(samoocena)</w:t>
            </w:r>
          </w:p>
        </w:tc>
        <w:tc>
          <w:tcPr>
            <w:tcW w:w="4110" w:type="dxa"/>
            <w:shd w:val="clear" w:color="auto" w:fill="F2F2F2" w:themeFill="background1" w:themeFillShade="F2"/>
            <w:vAlign w:val="center"/>
          </w:tcPr>
          <w:p w14:paraId="00D98AC8" w14:textId="4AC72D43" w:rsidR="001226AC" w:rsidRPr="00D27DA9" w:rsidRDefault="007108CB" w:rsidP="00D362DB">
            <w:pPr>
              <w:jc w:val="center"/>
              <w:rPr>
                <w:rFonts w:eastAsia="Calibri" w:cstheme="minorHAnsi"/>
                <w:b/>
                <w:bCs/>
                <w:lang w:val="sl-SI"/>
              </w:rPr>
            </w:pPr>
            <w:r w:rsidRPr="00D27DA9">
              <w:rPr>
                <w:rFonts w:eastAsia="Calibri" w:cstheme="minorHAnsi"/>
                <w:b/>
                <w:bCs/>
                <w:lang w:val="sl-SI"/>
              </w:rPr>
              <w:t>2021</w:t>
            </w:r>
            <w:r w:rsidR="001226AC" w:rsidRPr="00D27DA9">
              <w:rPr>
                <w:rFonts w:eastAsia="Calibri" w:cstheme="minorHAnsi"/>
                <w:b/>
                <w:bCs/>
                <w:lang w:val="sl-SI"/>
              </w:rPr>
              <w:t xml:space="preserve"> </w:t>
            </w:r>
          </w:p>
          <w:p w14:paraId="34ADC2E5" w14:textId="77777777" w:rsidR="001226AC" w:rsidRPr="00D27DA9" w:rsidRDefault="001226AC" w:rsidP="00D362DB">
            <w:pPr>
              <w:jc w:val="center"/>
              <w:rPr>
                <w:rFonts w:eastAsia="Calibri" w:cstheme="minorHAnsi"/>
                <w:b/>
                <w:lang w:val="sl-SI"/>
              </w:rPr>
            </w:pPr>
            <w:r w:rsidRPr="00D27DA9">
              <w:rPr>
                <w:rFonts w:eastAsia="Calibri" w:cstheme="minorHAnsi"/>
                <w:b/>
                <w:bCs/>
                <w:lang w:val="sl-SI"/>
              </w:rPr>
              <w:t>(predvideno)</w:t>
            </w:r>
          </w:p>
        </w:tc>
        <w:tc>
          <w:tcPr>
            <w:tcW w:w="4253" w:type="dxa"/>
            <w:shd w:val="clear" w:color="auto" w:fill="F2F2F2" w:themeFill="background1" w:themeFillShade="F2"/>
            <w:vAlign w:val="center"/>
          </w:tcPr>
          <w:p w14:paraId="091A936D" w14:textId="673E44ED" w:rsidR="001226AC" w:rsidRPr="00D27DA9" w:rsidRDefault="001226AC" w:rsidP="00D362DB">
            <w:pPr>
              <w:jc w:val="center"/>
              <w:rPr>
                <w:rFonts w:eastAsia="Calibri" w:cstheme="minorHAnsi"/>
                <w:b/>
                <w:bCs/>
                <w:lang w:val="sl-SI"/>
              </w:rPr>
            </w:pPr>
            <w:r w:rsidRPr="00D27DA9">
              <w:rPr>
                <w:rFonts w:eastAsia="Calibri" w:cstheme="minorHAnsi"/>
                <w:b/>
                <w:bCs/>
                <w:lang w:val="sl-SI"/>
              </w:rPr>
              <w:t>202</w:t>
            </w:r>
            <w:r w:rsidR="007108CB" w:rsidRPr="00D27DA9">
              <w:rPr>
                <w:rFonts w:eastAsia="Calibri" w:cstheme="minorHAnsi"/>
                <w:b/>
                <w:bCs/>
                <w:lang w:val="sl-SI"/>
              </w:rPr>
              <w:t>2</w:t>
            </w:r>
            <w:r w:rsidRPr="00D27DA9">
              <w:rPr>
                <w:rFonts w:eastAsia="Calibri" w:cstheme="minorHAnsi"/>
                <w:b/>
                <w:bCs/>
                <w:lang w:val="sl-SI"/>
              </w:rPr>
              <w:t xml:space="preserve">-2025 </w:t>
            </w:r>
          </w:p>
          <w:p w14:paraId="5B967F78" w14:textId="77777777" w:rsidR="001226AC" w:rsidRPr="00D27DA9" w:rsidRDefault="001226AC" w:rsidP="00D362DB">
            <w:pPr>
              <w:jc w:val="center"/>
              <w:rPr>
                <w:rFonts w:eastAsia="Calibri" w:cstheme="minorHAnsi"/>
                <w:b/>
                <w:lang w:val="sl-SI"/>
              </w:rPr>
            </w:pPr>
            <w:r w:rsidRPr="00D27DA9">
              <w:rPr>
                <w:rFonts w:eastAsia="Calibri" w:cstheme="minorHAnsi"/>
                <w:b/>
                <w:bCs/>
                <w:lang w:val="sl-SI"/>
              </w:rPr>
              <w:t>(predvideno)</w:t>
            </w:r>
          </w:p>
        </w:tc>
      </w:tr>
      <w:tr w:rsidR="001226AC" w:rsidRPr="00D27DA9" w14:paraId="5325055B" w14:textId="77777777" w:rsidTr="00D362DB">
        <w:trPr>
          <w:trHeight w:val="3883"/>
        </w:trPr>
        <w:tc>
          <w:tcPr>
            <w:tcW w:w="1115" w:type="dxa"/>
            <w:vAlign w:val="center"/>
          </w:tcPr>
          <w:p w14:paraId="52639349" w14:textId="77777777" w:rsidR="001226AC" w:rsidRPr="00D27DA9" w:rsidRDefault="001226AC" w:rsidP="00D362DB">
            <w:pPr>
              <w:rPr>
                <w:rFonts w:eastAsia="Calibri" w:cstheme="minorHAnsi"/>
                <w:b/>
                <w:lang w:val="sl-SI"/>
              </w:rPr>
            </w:pPr>
            <w:r w:rsidRPr="00D27DA9">
              <w:rPr>
                <w:rFonts w:eastAsia="Calibri" w:cstheme="minorHAnsi"/>
                <w:b/>
                <w:lang w:val="sl-SI"/>
              </w:rPr>
              <w:t>Zaveza 19</w:t>
            </w:r>
          </w:p>
        </w:tc>
        <w:tc>
          <w:tcPr>
            <w:tcW w:w="3686" w:type="dxa"/>
            <w:vAlign w:val="center"/>
          </w:tcPr>
          <w:p w14:paraId="2898FBC9" w14:textId="02ABE9FA" w:rsidR="00813558" w:rsidRPr="00D27DA9" w:rsidRDefault="00BF238C" w:rsidP="00BF238C">
            <w:pPr>
              <w:jc w:val="both"/>
              <w:rPr>
                <w:rFonts w:eastAsia="Calibri" w:cstheme="minorHAnsi"/>
                <w:lang w:val="sl-SI"/>
              </w:rPr>
            </w:pPr>
            <w:r w:rsidRPr="00D27DA9">
              <w:rPr>
                <w:rFonts w:eastAsia="Calibri" w:cstheme="minorHAnsi"/>
                <w:lang w:val="sl-SI"/>
              </w:rPr>
              <w:t>V Sloveniji nimamo d</w:t>
            </w:r>
            <w:r w:rsidR="00813558" w:rsidRPr="00D27DA9">
              <w:rPr>
                <w:rFonts w:eastAsia="Calibri" w:cstheme="minorHAnsi"/>
                <w:lang w:val="sl-SI"/>
              </w:rPr>
              <w:t>okument</w:t>
            </w:r>
            <w:r w:rsidR="00396E85">
              <w:rPr>
                <w:rFonts w:eastAsia="Calibri" w:cstheme="minorHAnsi"/>
                <w:lang w:val="sl-SI"/>
              </w:rPr>
              <w:t>a</w:t>
            </w:r>
            <w:r w:rsidR="00813558" w:rsidRPr="00D27DA9">
              <w:rPr>
                <w:rFonts w:eastAsia="Calibri" w:cstheme="minorHAnsi"/>
                <w:lang w:val="sl-SI"/>
              </w:rPr>
              <w:t xml:space="preserve"> z naslovom </w:t>
            </w:r>
            <w:r w:rsidRPr="00D27DA9">
              <w:rPr>
                <w:rFonts w:eastAsia="Calibri" w:cstheme="minorHAnsi"/>
                <w:lang w:val="sl-SI"/>
              </w:rPr>
              <w:t>»</w:t>
            </w:r>
            <w:r w:rsidR="00813558" w:rsidRPr="00D27DA9">
              <w:rPr>
                <w:rFonts w:eastAsia="Calibri" w:cstheme="minorHAnsi"/>
                <w:lang w:val="sl-SI"/>
              </w:rPr>
              <w:t>Nacionalna industrijska politika</w:t>
            </w:r>
            <w:r w:rsidRPr="00D27DA9">
              <w:rPr>
                <w:rFonts w:eastAsia="Calibri" w:cstheme="minorHAnsi"/>
                <w:lang w:val="sl-SI"/>
              </w:rPr>
              <w:t>«</w:t>
            </w:r>
            <w:r w:rsidR="00813558" w:rsidRPr="00D27DA9">
              <w:rPr>
                <w:rFonts w:eastAsia="Calibri" w:cstheme="minorHAnsi"/>
                <w:lang w:val="sl-SI"/>
              </w:rPr>
              <w:t xml:space="preserve">, vendar je izdelan in potrjen vsakoletni načrt sodelovanja z Grozdom  obrambne industrije Slovenije, ki je krovno gospodarsko-interesno združenje na obrambnem področju. Omenjeni dokument torej podpira tudi </w:t>
            </w:r>
            <w:r w:rsidR="00E21249">
              <w:rPr>
                <w:rFonts w:eastAsia="Calibri" w:cstheme="minorHAnsi"/>
                <w:lang w:val="sl-SI"/>
              </w:rPr>
              <w:t>več</w:t>
            </w:r>
            <w:r w:rsidR="00813558" w:rsidRPr="00D27DA9">
              <w:rPr>
                <w:rFonts w:eastAsia="Calibri" w:cstheme="minorHAnsi"/>
                <w:lang w:val="sl-SI"/>
              </w:rPr>
              <w:t>nacionalno sodelovanje. O vseh relevantnih programih (EDF, EDIDP) so partnerji GOIS obveščeni, poleg tega obveščamo tudi posamezne sekcije v Gospodarski zbornici Slovenije. V 2020 smo organizirali tudi informativno konferenco v ta namen, kjer so možnosti sodelovanja predstavili tako predstavniki EK kot EDA.</w:t>
            </w:r>
          </w:p>
          <w:p w14:paraId="10001CD9" w14:textId="77777777" w:rsidR="00813558" w:rsidRPr="00D27DA9" w:rsidRDefault="00813558" w:rsidP="00BF238C">
            <w:pPr>
              <w:jc w:val="both"/>
              <w:rPr>
                <w:rFonts w:eastAsia="Calibri" w:cstheme="minorHAnsi"/>
                <w:lang w:val="sl-SI"/>
              </w:rPr>
            </w:pPr>
            <w:r w:rsidRPr="00D27DA9">
              <w:rPr>
                <w:rFonts w:eastAsia="Calibri" w:cstheme="minorHAnsi"/>
                <w:lang w:val="sl-SI"/>
              </w:rPr>
              <w:t xml:space="preserve">Nacionalni projekti s področja sodelovanja z industrijo so potekali na naslednjih področjih: </w:t>
            </w:r>
          </w:p>
          <w:p w14:paraId="6F5F679A" w14:textId="77777777" w:rsidR="00813558" w:rsidRPr="00D27DA9" w:rsidRDefault="00813558" w:rsidP="00BF238C">
            <w:pPr>
              <w:jc w:val="both"/>
              <w:rPr>
                <w:rFonts w:eastAsia="Calibri" w:cstheme="minorHAnsi"/>
                <w:lang w:val="sl-SI"/>
              </w:rPr>
            </w:pPr>
            <w:r w:rsidRPr="00D27DA9">
              <w:rPr>
                <w:rFonts w:eastAsia="Calibri" w:cstheme="minorHAnsi"/>
                <w:lang w:val="sl-SI"/>
              </w:rPr>
              <w:t>-</w:t>
            </w:r>
            <w:r w:rsidRPr="00D27DA9">
              <w:rPr>
                <w:rFonts w:eastAsia="Calibri" w:cstheme="minorHAnsi"/>
                <w:lang w:val="sl-SI"/>
              </w:rPr>
              <w:tab/>
              <w:t>Energijsko področje</w:t>
            </w:r>
          </w:p>
          <w:p w14:paraId="3A1676AE" w14:textId="77777777" w:rsidR="00813558" w:rsidRPr="00D27DA9" w:rsidRDefault="00813558" w:rsidP="00BF238C">
            <w:pPr>
              <w:jc w:val="both"/>
              <w:rPr>
                <w:rFonts w:eastAsia="Calibri" w:cstheme="minorHAnsi"/>
                <w:lang w:val="sl-SI"/>
              </w:rPr>
            </w:pPr>
            <w:r w:rsidRPr="00D27DA9">
              <w:rPr>
                <w:rFonts w:eastAsia="Calibri" w:cstheme="minorHAnsi"/>
                <w:lang w:val="sl-SI"/>
              </w:rPr>
              <w:t>-</w:t>
            </w:r>
            <w:r w:rsidRPr="00D27DA9">
              <w:rPr>
                <w:rFonts w:eastAsia="Calibri" w:cstheme="minorHAnsi"/>
                <w:lang w:val="sl-SI"/>
              </w:rPr>
              <w:tab/>
              <w:t>Avtonomni in avtomatizirani sistemi</w:t>
            </w:r>
          </w:p>
          <w:p w14:paraId="0AD3D53E" w14:textId="77777777" w:rsidR="00813558" w:rsidRPr="00D27DA9" w:rsidRDefault="00813558" w:rsidP="00BF238C">
            <w:pPr>
              <w:jc w:val="both"/>
              <w:rPr>
                <w:rFonts w:eastAsia="Calibri" w:cstheme="minorHAnsi"/>
                <w:lang w:val="sl-SI"/>
              </w:rPr>
            </w:pPr>
            <w:r w:rsidRPr="00D27DA9">
              <w:rPr>
                <w:rFonts w:eastAsia="Calibri" w:cstheme="minorHAnsi"/>
                <w:lang w:val="sl-SI"/>
              </w:rPr>
              <w:t>-</w:t>
            </w:r>
            <w:r w:rsidRPr="00D27DA9">
              <w:rPr>
                <w:rFonts w:eastAsia="Calibri" w:cstheme="minorHAnsi"/>
                <w:lang w:val="sl-SI"/>
              </w:rPr>
              <w:tab/>
              <w:t>Izvidništvo</w:t>
            </w:r>
          </w:p>
          <w:p w14:paraId="7BA871CE" w14:textId="77777777" w:rsidR="00813558" w:rsidRPr="00D27DA9" w:rsidRDefault="00813558" w:rsidP="00BF238C">
            <w:pPr>
              <w:jc w:val="both"/>
              <w:rPr>
                <w:rFonts w:eastAsia="Calibri" w:cstheme="minorHAnsi"/>
                <w:lang w:val="sl-SI"/>
              </w:rPr>
            </w:pPr>
            <w:r w:rsidRPr="00D27DA9">
              <w:rPr>
                <w:rFonts w:eastAsia="Calibri" w:cstheme="minorHAnsi"/>
                <w:lang w:val="sl-SI"/>
              </w:rPr>
              <w:t>-</w:t>
            </w:r>
            <w:r w:rsidRPr="00D27DA9">
              <w:rPr>
                <w:rFonts w:eastAsia="Calibri" w:cstheme="minorHAnsi"/>
                <w:lang w:val="sl-SI"/>
              </w:rPr>
              <w:tab/>
              <w:t>Izboljšanje učinkovitosti vojaka</w:t>
            </w:r>
          </w:p>
          <w:p w14:paraId="0822D437" w14:textId="77777777" w:rsidR="00813558" w:rsidRPr="00D27DA9" w:rsidRDefault="00813558" w:rsidP="00BF238C">
            <w:pPr>
              <w:jc w:val="both"/>
              <w:rPr>
                <w:rFonts w:eastAsia="Calibri" w:cstheme="minorHAnsi"/>
                <w:lang w:val="sl-SI"/>
              </w:rPr>
            </w:pPr>
            <w:r w:rsidRPr="00D27DA9">
              <w:rPr>
                <w:rFonts w:eastAsia="Calibri" w:cstheme="minorHAnsi"/>
                <w:lang w:val="sl-SI"/>
              </w:rPr>
              <w:t>-</w:t>
            </w:r>
            <w:r w:rsidRPr="00D27DA9">
              <w:rPr>
                <w:rFonts w:eastAsia="Calibri" w:cstheme="minorHAnsi"/>
                <w:lang w:val="sl-SI"/>
              </w:rPr>
              <w:tab/>
              <w:t>Biotehnologija</w:t>
            </w:r>
          </w:p>
          <w:p w14:paraId="3B33F681" w14:textId="77777777" w:rsidR="00813558" w:rsidRPr="00D27DA9" w:rsidRDefault="00813558" w:rsidP="00BF238C">
            <w:pPr>
              <w:jc w:val="both"/>
              <w:rPr>
                <w:rFonts w:eastAsia="Calibri" w:cstheme="minorHAnsi"/>
                <w:lang w:val="sl-SI"/>
              </w:rPr>
            </w:pPr>
            <w:r w:rsidRPr="00D27DA9">
              <w:rPr>
                <w:rFonts w:eastAsia="Calibri" w:cstheme="minorHAnsi"/>
                <w:lang w:val="sl-SI"/>
              </w:rPr>
              <w:lastRenderedPageBreak/>
              <w:t>Vsa področja so v sinergiji z večnacionalnimi projekti in se ne prekrivajo, ampak kvečjemu dopolnjujejo.</w:t>
            </w:r>
          </w:p>
          <w:p w14:paraId="5384995D" w14:textId="57E7E851" w:rsidR="00813558" w:rsidRPr="00D27DA9" w:rsidRDefault="00813558" w:rsidP="00BF238C">
            <w:pPr>
              <w:jc w:val="both"/>
              <w:rPr>
                <w:rFonts w:eastAsia="Calibri" w:cstheme="minorHAnsi"/>
                <w:lang w:val="sl-SI"/>
              </w:rPr>
            </w:pPr>
            <w:r w:rsidRPr="00D27DA9">
              <w:rPr>
                <w:rFonts w:eastAsia="Calibri" w:cstheme="minorHAnsi"/>
                <w:lang w:val="sl-SI"/>
              </w:rPr>
              <w:t>V 2020 je v EDIDP SI podjetje znotraj FRA konzorcija sodelovalo v projektu DroneEdge. SI podjetja za sodelovanje SI kot države niso bila izbrana.</w:t>
            </w:r>
          </w:p>
          <w:p w14:paraId="76C847F6" w14:textId="77777777" w:rsidR="007D7D0A" w:rsidRPr="00D27DA9" w:rsidRDefault="007D7D0A" w:rsidP="00BF238C">
            <w:pPr>
              <w:jc w:val="both"/>
              <w:rPr>
                <w:rFonts w:eastAsia="Calibri" w:cstheme="minorHAnsi"/>
                <w:lang w:val="sl-SI"/>
              </w:rPr>
            </w:pPr>
          </w:p>
          <w:p w14:paraId="20FC7135" w14:textId="77777777" w:rsidR="00813558" w:rsidRPr="00D27DA9" w:rsidRDefault="00813558" w:rsidP="00BF238C">
            <w:pPr>
              <w:jc w:val="both"/>
              <w:rPr>
                <w:rFonts w:eastAsia="Calibri" w:cstheme="minorHAnsi"/>
                <w:lang w:val="sl-SI"/>
              </w:rPr>
            </w:pPr>
          </w:p>
          <w:p w14:paraId="511635B4" w14:textId="6074791D" w:rsidR="0089274D" w:rsidRPr="00D27DA9" w:rsidRDefault="0089274D" w:rsidP="00BF238C">
            <w:pPr>
              <w:jc w:val="both"/>
              <w:rPr>
                <w:rFonts w:eastAsia="Calibri" w:cstheme="minorHAnsi"/>
                <w:lang w:val="sl-SI"/>
              </w:rPr>
            </w:pPr>
          </w:p>
        </w:tc>
        <w:tc>
          <w:tcPr>
            <w:tcW w:w="4110" w:type="dxa"/>
            <w:vAlign w:val="center"/>
          </w:tcPr>
          <w:p w14:paraId="1A4E8572" w14:textId="77777777" w:rsidR="00813558" w:rsidRPr="00D27DA9" w:rsidRDefault="00813558" w:rsidP="00BF238C">
            <w:pPr>
              <w:jc w:val="both"/>
              <w:rPr>
                <w:rFonts w:cstheme="minorHAnsi"/>
                <w:lang w:val="sl-SI"/>
              </w:rPr>
            </w:pPr>
            <w:r w:rsidRPr="00D27DA9">
              <w:rPr>
                <w:rFonts w:cstheme="minorHAnsi"/>
                <w:lang w:val="sl-SI"/>
              </w:rPr>
              <w:lastRenderedPageBreak/>
              <w:t>Z industrijskim sodelovanjem bomo nadaljevali v približno enakem obsegu kot doslej.</w:t>
            </w:r>
          </w:p>
          <w:p w14:paraId="5162328A" w14:textId="77777777" w:rsidR="00813558" w:rsidRPr="00D27DA9" w:rsidRDefault="00813558" w:rsidP="00BF238C">
            <w:pPr>
              <w:jc w:val="both"/>
              <w:rPr>
                <w:rFonts w:cstheme="minorHAnsi"/>
                <w:lang w:val="sl-SI"/>
              </w:rPr>
            </w:pPr>
            <w:r w:rsidRPr="00D27DA9">
              <w:rPr>
                <w:rFonts w:cstheme="minorHAnsi"/>
                <w:lang w:val="sl-SI"/>
              </w:rPr>
              <w:t>V 2021 predvidevamo sodelovanje industrije v nacionalnih projektih na naslednjih področjih:</w:t>
            </w:r>
          </w:p>
          <w:p w14:paraId="3F39C6F4" w14:textId="77777777" w:rsidR="00813558" w:rsidRPr="00D27DA9" w:rsidRDefault="00813558" w:rsidP="00BF238C">
            <w:pPr>
              <w:jc w:val="both"/>
              <w:rPr>
                <w:rFonts w:cstheme="minorHAnsi"/>
                <w:lang w:val="sl-SI"/>
              </w:rPr>
            </w:pPr>
            <w:r w:rsidRPr="00D27DA9">
              <w:rPr>
                <w:rFonts w:cstheme="minorHAnsi"/>
                <w:lang w:val="sl-SI"/>
              </w:rPr>
              <w:t>-</w:t>
            </w:r>
            <w:r w:rsidRPr="00D27DA9">
              <w:rPr>
                <w:rFonts w:cstheme="minorHAnsi"/>
                <w:lang w:val="sl-SI"/>
              </w:rPr>
              <w:tab/>
              <w:t>Energijsko področje</w:t>
            </w:r>
          </w:p>
          <w:p w14:paraId="26924AEB" w14:textId="77777777" w:rsidR="00813558" w:rsidRPr="00D27DA9" w:rsidRDefault="00813558" w:rsidP="00BF238C">
            <w:pPr>
              <w:jc w:val="both"/>
              <w:rPr>
                <w:rFonts w:cstheme="minorHAnsi"/>
                <w:lang w:val="sl-SI"/>
              </w:rPr>
            </w:pPr>
            <w:r w:rsidRPr="00D27DA9">
              <w:rPr>
                <w:rFonts w:cstheme="minorHAnsi"/>
                <w:lang w:val="sl-SI"/>
              </w:rPr>
              <w:t>-</w:t>
            </w:r>
            <w:r w:rsidRPr="00D27DA9">
              <w:rPr>
                <w:rFonts w:cstheme="minorHAnsi"/>
                <w:lang w:val="sl-SI"/>
              </w:rPr>
              <w:tab/>
              <w:t>Avtonomni in avtomatizirani sistemi</w:t>
            </w:r>
          </w:p>
          <w:p w14:paraId="5550EFC3" w14:textId="77777777" w:rsidR="00813558" w:rsidRPr="00D27DA9" w:rsidRDefault="00813558" w:rsidP="00BF238C">
            <w:pPr>
              <w:jc w:val="both"/>
              <w:rPr>
                <w:rFonts w:cstheme="minorHAnsi"/>
                <w:lang w:val="sl-SI"/>
              </w:rPr>
            </w:pPr>
            <w:r w:rsidRPr="00D27DA9">
              <w:rPr>
                <w:rFonts w:cstheme="minorHAnsi"/>
                <w:lang w:val="sl-SI"/>
              </w:rPr>
              <w:t>-</w:t>
            </w:r>
            <w:r w:rsidRPr="00D27DA9">
              <w:rPr>
                <w:rFonts w:cstheme="minorHAnsi"/>
                <w:lang w:val="sl-SI"/>
              </w:rPr>
              <w:tab/>
              <w:t>Izboljšanje učinkovitosti vojaka</w:t>
            </w:r>
          </w:p>
          <w:p w14:paraId="1D0AF63E" w14:textId="77777777" w:rsidR="00813558" w:rsidRPr="00D27DA9" w:rsidRDefault="00813558" w:rsidP="00BF238C">
            <w:pPr>
              <w:jc w:val="both"/>
              <w:rPr>
                <w:rFonts w:cstheme="minorHAnsi"/>
                <w:lang w:val="sl-SI"/>
              </w:rPr>
            </w:pPr>
            <w:r w:rsidRPr="00D27DA9">
              <w:rPr>
                <w:rFonts w:cstheme="minorHAnsi"/>
                <w:lang w:val="sl-SI"/>
              </w:rPr>
              <w:t>-</w:t>
            </w:r>
            <w:r w:rsidRPr="00D27DA9">
              <w:rPr>
                <w:rFonts w:cstheme="minorHAnsi"/>
                <w:lang w:val="sl-SI"/>
              </w:rPr>
              <w:tab/>
              <w:t>Biotehnologija</w:t>
            </w:r>
          </w:p>
          <w:p w14:paraId="4895594D" w14:textId="77777777" w:rsidR="00813558" w:rsidRPr="00D27DA9" w:rsidRDefault="00813558" w:rsidP="00BF238C">
            <w:pPr>
              <w:jc w:val="both"/>
              <w:rPr>
                <w:rFonts w:cstheme="minorHAnsi"/>
                <w:lang w:val="sl-SI"/>
              </w:rPr>
            </w:pPr>
            <w:r w:rsidRPr="00D27DA9">
              <w:rPr>
                <w:rFonts w:cstheme="minorHAnsi"/>
                <w:lang w:val="sl-SI"/>
              </w:rPr>
              <w:t>-</w:t>
            </w:r>
            <w:r w:rsidRPr="00D27DA9">
              <w:rPr>
                <w:rFonts w:cstheme="minorHAnsi"/>
                <w:lang w:val="sl-SI"/>
              </w:rPr>
              <w:tab/>
              <w:t>Kibernetika</w:t>
            </w:r>
          </w:p>
          <w:p w14:paraId="248FC254" w14:textId="77777777" w:rsidR="00813558" w:rsidRPr="00D27DA9" w:rsidRDefault="00813558" w:rsidP="00BF238C">
            <w:pPr>
              <w:jc w:val="both"/>
              <w:rPr>
                <w:rFonts w:cstheme="minorHAnsi"/>
                <w:lang w:val="sl-SI"/>
              </w:rPr>
            </w:pPr>
            <w:r w:rsidRPr="00D27DA9">
              <w:rPr>
                <w:rFonts w:cstheme="minorHAnsi"/>
                <w:lang w:val="sl-SI"/>
              </w:rPr>
              <w:t>-</w:t>
            </w:r>
            <w:r w:rsidRPr="00D27DA9">
              <w:rPr>
                <w:rFonts w:cstheme="minorHAnsi"/>
                <w:lang w:val="sl-SI"/>
              </w:rPr>
              <w:tab/>
              <w:t>Izvidništvo</w:t>
            </w:r>
          </w:p>
          <w:p w14:paraId="3A1EE4D0" w14:textId="77777777" w:rsidR="00813558" w:rsidRPr="00D27DA9" w:rsidRDefault="00813558" w:rsidP="00BF238C">
            <w:pPr>
              <w:jc w:val="both"/>
              <w:rPr>
                <w:rFonts w:cstheme="minorHAnsi"/>
                <w:lang w:val="sl-SI"/>
              </w:rPr>
            </w:pPr>
            <w:r w:rsidRPr="00D27DA9">
              <w:rPr>
                <w:rFonts w:cstheme="minorHAnsi"/>
                <w:lang w:val="sl-SI"/>
              </w:rPr>
              <w:t>-</w:t>
            </w:r>
            <w:r w:rsidRPr="00D27DA9">
              <w:rPr>
                <w:rFonts w:cstheme="minorHAnsi"/>
                <w:lang w:val="sl-SI"/>
              </w:rPr>
              <w:tab/>
              <w:t>Simulacije</w:t>
            </w:r>
          </w:p>
          <w:p w14:paraId="4E3CC04D" w14:textId="77777777" w:rsidR="00813558" w:rsidRPr="00D27DA9" w:rsidRDefault="00813558" w:rsidP="00BF238C">
            <w:pPr>
              <w:jc w:val="both"/>
              <w:rPr>
                <w:rFonts w:cstheme="minorHAnsi"/>
                <w:lang w:val="sl-SI"/>
              </w:rPr>
            </w:pPr>
            <w:r w:rsidRPr="00D27DA9">
              <w:rPr>
                <w:rFonts w:cstheme="minorHAnsi"/>
                <w:lang w:val="sl-SI"/>
              </w:rPr>
              <w:t>Cooperative capability projects contributed to the defence industry throughout the Union in 2021: EDIDP proposals (Call 2020)</w:t>
            </w:r>
          </w:p>
          <w:p w14:paraId="0BAA216B" w14:textId="193F2CE9" w:rsidR="00813558" w:rsidRPr="00D27DA9" w:rsidRDefault="00E21249" w:rsidP="00BF238C">
            <w:pPr>
              <w:jc w:val="both"/>
              <w:rPr>
                <w:rFonts w:cstheme="minorHAnsi"/>
                <w:lang w:val="sl-SI"/>
              </w:rPr>
            </w:pPr>
            <w:r>
              <w:rPr>
                <w:rFonts w:cstheme="minorHAnsi"/>
                <w:lang w:val="sl-SI"/>
              </w:rPr>
              <w:t xml:space="preserve">1.PESCO CBRN SaaS; </w:t>
            </w:r>
            <w:r w:rsidR="00813558" w:rsidRPr="00D27DA9">
              <w:rPr>
                <w:rFonts w:cstheme="minorHAnsi"/>
                <w:lang w:val="sl-SI"/>
              </w:rPr>
              <w:t xml:space="preserve">Priority field: CBRN; </w:t>
            </w:r>
          </w:p>
          <w:p w14:paraId="18D0B860" w14:textId="77777777" w:rsidR="00813558" w:rsidRPr="00D27DA9" w:rsidRDefault="00813558" w:rsidP="00BF238C">
            <w:pPr>
              <w:jc w:val="both"/>
              <w:rPr>
                <w:rFonts w:cstheme="minorHAnsi"/>
                <w:lang w:val="sl-SI"/>
              </w:rPr>
            </w:pPr>
            <w:r w:rsidRPr="00D27DA9">
              <w:rPr>
                <w:rFonts w:cstheme="minorHAnsi"/>
                <w:lang w:val="sl-SI"/>
              </w:rPr>
              <w:t xml:space="preserve">2. EUFBL (in support of EUROSIM PESCO project); Priority field: Simulation </w:t>
            </w:r>
          </w:p>
          <w:p w14:paraId="1A3DFEB0" w14:textId="77777777" w:rsidR="00813558" w:rsidRPr="00D27DA9" w:rsidRDefault="00813558" w:rsidP="00BF238C">
            <w:pPr>
              <w:jc w:val="both"/>
              <w:rPr>
                <w:rFonts w:cstheme="minorHAnsi"/>
                <w:lang w:val="sl-SI"/>
              </w:rPr>
            </w:pPr>
            <w:r w:rsidRPr="00D27DA9">
              <w:rPr>
                <w:rFonts w:cstheme="minorHAnsi"/>
                <w:lang w:val="sl-SI"/>
              </w:rPr>
              <w:t>3. Light Modular Full All-Terrain Vehicle To Support Sub-Tactical Formations in Harsh Environments with Dual-use Capabilities-</w:t>
            </w:r>
          </w:p>
          <w:p w14:paraId="5760682C" w14:textId="77777777" w:rsidR="00813558" w:rsidRPr="00D27DA9" w:rsidRDefault="00813558" w:rsidP="00BF238C">
            <w:pPr>
              <w:jc w:val="both"/>
              <w:rPr>
                <w:rFonts w:cstheme="minorHAnsi"/>
                <w:lang w:val="sl-SI"/>
              </w:rPr>
            </w:pPr>
            <w:r w:rsidRPr="00D27DA9">
              <w:rPr>
                <w:rFonts w:cstheme="minorHAnsi"/>
                <w:lang w:val="sl-SI"/>
              </w:rPr>
              <w:t xml:space="preserve"> </w:t>
            </w:r>
          </w:p>
          <w:p w14:paraId="28894FB4" w14:textId="77777777" w:rsidR="00813558" w:rsidRPr="00D27DA9" w:rsidRDefault="00813558" w:rsidP="00BF238C">
            <w:pPr>
              <w:jc w:val="both"/>
              <w:rPr>
                <w:rFonts w:cstheme="minorHAnsi"/>
                <w:lang w:val="sl-SI"/>
              </w:rPr>
            </w:pPr>
            <w:r w:rsidRPr="00D27DA9">
              <w:rPr>
                <w:rFonts w:cstheme="minorHAnsi"/>
                <w:lang w:val="sl-SI"/>
              </w:rPr>
              <w:t>WOLF; Priority field: Automation, Energy</w:t>
            </w:r>
          </w:p>
          <w:p w14:paraId="36C37F90" w14:textId="77777777" w:rsidR="00813558" w:rsidRPr="00D27DA9" w:rsidRDefault="00813558" w:rsidP="00BF238C">
            <w:pPr>
              <w:jc w:val="both"/>
              <w:rPr>
                <w:rFonts w:cstheme="minorHAnsi"/>
                <w:lang w:val="sl-SI"/>
              </w:rPr>
            </w:pPr>
            <w:r w:rsidRPr="00D27DA9">
              <w:rPr>
                <w:rFonts w:cstheme="minorHAnsi"/>
                <w:lang w:val="sl-SI"/>
              </w:rPr>
              <w:t>4. D'NURSE; Priority field: Health monitoring + Autonomy</w:t>
            </w:r>
          </w:p>
          <w:p w14:paraId="0501829F" w14:textId="77777777" w:rsidR="00813558" w:rsidRPr="00D27DA9" w:rsidRDefault="00813558" w:rsidP="00BF238C">
            <w:pPr>
              <w:jc w:val="both"/>
              <w:rPr>
                <w:rFonts w:cstheme="minorHAnsi"/>
                <w:lang w:val="sl-SI"/>
              </w:rPr>
            </w:pPr>
            <w:r w:rsidRPr="00D27DA9">
              <w:rPr>
                <w:rFonts w:cstheme="minorHAnsi"/>
                <w:lang w:val="sl-SI"/>
              </w:rPr>
              <w:lastRenderedPageBreak/>
              <w:t>5. Medium Sized Transport UAS;  Priority field: Disaster Management + Autonomy</w:t>
            </w:r>
          </w:p>
          <w:p w14:paraId="25FCAFEE" w14:textId="77777777" w:rsidR="00813558" w:rsidRPr="00D27DA9" w:rsidRDefault="00813558" w:rsidP="00BF238C">
            <w:pPr>
              <w:jc w:val="both"/>
              <w:rPr>
                <w:rFonts w:cstheme="minorHAnsi"/>
                <w:lang w:val="sl-SI"/>
              </w:rPr>
            </w:pPr>
            <w:r w:rsidRPr="00D27DA9">
              <w:rPr>
                <w:rFonts w:cstheme="minorHAnsi"/>
                <w:lang w:val="sl-SI"/>
              </w:rPr>
              <w:t>6. FIIST – Future Integrated Indoor Soldier Training; Priority field: Simulation + Training</w:t>
            </w:r>
          </w:p>
          <w:p w14:paraId="69F610B4" w14:textId="77777777" w:rsidR="00813558" w:rsidRPr="00D27DA9" w:rsidRDefault="00813558" w:rsidP="00BF238C">
            <w:pPr>
              <w:jc w:val="both"/>
              <w:rPr>
                <w:rFonts w:cstheme="minorHAnsi"/>
                <w:lang w:val="sl-SI"/>
              </w:rPr>
            </w:pPr>
            <w:r w:rsidRPr="00D27DA9">
              <w:rPr>
                <w:rFonts w:cstheme="minorHAnsi"/>
                <w:lang w:val="sl-SI"/>
              </w:rPr>
              <w:t>7. TACAP – Transformational Advanced Capabilities of Armoured Platforms; Priority field: Autonomy</w:t>
            </w:r>
          </w:p>
          <w:p w14:paraId="1FEBC207" w14:textId="77777777" w:rsidR="00813558" w:rsidRPr="00D27DA9" w:rsidRDefault="00813558" w:rsidP="00BF238C">
            <w:pPr>
              <w:jc w:val="both"/>
              <w:rPr>
                <w:rFonts w:cstheme="minorHAnsi"/>
                <w:lang w:val="sl-SI"/>
              </w:rPr>
            </w:pPr>
            <w:r w:rsidRPr="00D27DA9">
              <w:rPr>
                <w:rFonts w:cstheme="minorHAnsi"/>
                <w:lang w:val="sl-SI"/>
              </w:rPr>
              <w:t>8. AIS – D Automatic Identification System for Defence; Priority field: Cyber</w:t>
            </w:r>
          </w:p>
          <w:p w14:paraId="327F4AF4" w14:textId="77777777" w:rsidR="00813558" w:rsidRPr="00D27DA9" w:rsidRDefault="00813558" w:rsidP="00BF238C">
            <w:pPr>
              <w:jc w:val="both"/>
              <w:rPr>
                <w:rFonts w:cstheme="minorHAnsi"/>
                <w:lang w:val="sl-SI"/>
              </w:rPr>
            </w:pPr>
            <w:r w:rsidRPr="00D27DA9">
              <w:rPr>
                <w:rFonts w:cstheme="minorHAnsi"/>
                <w:lang w:val="sl-SI"/>
              </w:rPr>
              <w:t>9. ND3SM</w:t>
            </w:r>
          </w:p>
          <w:p w14:paraId="586B4642" w14:textId="77777777" w:rsidR="00813558" w:rsidRPr="00D27DA9" w:rsidRDefault="00813558" w:rsidP="00BF238C">
            <w:pPr>
              <w:jc w:val="both"/>
              <w:rPr>
                <w:rFonts w:cstheme="minorHAnsi"/>
                <w:lang w:val="sl-SI"/>
              </w:rPr>
            </w:pPr>
            <w:r w:rsidRPr="00D27DA9">
              <w:rPr>
                <w:rFonts w:cstheme="minorHAnsi"/>
                <w:lang w:val="sl-SI"/>
              </w:rPr>
              <w:t>Naval Defence System Against Sea Skimmer Missiles; Priority field: Maritime – Detection, Survaillance</w:t>
            </w:r>
          </w:p>
          <w:p w14:paraId="26734717" w14:textId="77777777" w:rsidR="00813558" w:rsidRPr="00D27DA9" w:rsidRDefault="00813558" w:rsidP="00BF238C">
            <w:pPr>
              <w:jc w:val="both"/>
              <w:rPr>
                <w:rFonts w:cstheme="minorHAnsi"/>
                <w:lang w:val="sl-SI"/>
              </w:rPr>
            </w:pPr>
            <w:r w:rsidRPr="00D27DA9">
              <w:rPr>
                <w:rFonts w:cstheme="minorHAnsi"/>
                <w:lang w:val="sl-SI"/>
              </w:rPr>
              <w:t>10. AI4DEF  AI for Defence; Priority field: AI</w:t>
            </w:r>
          </w:p>
          <w:p w14:paraId="2F7B1386" w14:textId="7019E14E" w:rsidR="00813558" w:rsidRPr="00D27DA9" w:rsidRDefault="00813558" w:rsidP="00BF238C">
            <w:pPr>
              <w:jc w:val="both"/>
              <w:rPr>
                <w:rFonts w:cstheme="minorHAnsi"/>
                <w:lang w:val="sl-SI"/>
              </w:rPr>
            </w:pPr>
            <w:r w:rsidRPr="00D27DA9">
              <w:rPr>
                <w:rFonts w:cstheme="minorHAnsi"/>
                <w:lang w:val="sl-SI"/>
              </w:rPr>
              <w:t xml:space="preserve">Additional information: poročanje za NIP PESCO se prekriva in tudi deloma podvaja s poročanjem za CARD. Predvsem manjše države si težko privoščimo veliko administrativno breme, ki iz tega izhaja.Zato predlagamo, da bi se podatki </w:t>
            </w:r>
            <w:r w:rsidR="00E21249">
              <w:rPr>
                <w:rFonts w:cstheme="minorHAnsi"/>
                <w:lang w:val="sl-SI"/>
              </w:rPr>
              <w:t>pridobili</w:t>
            </w:r>
            <w:r w:rsidRPr="00D27DA9">
              <w:rPr>
                <w:rFonts w:cstheme="minorHAnsi"/>
                <w:lang w:val="sl-SI"/>
              </w:rPr>
              <w:t xml:space="preserve"> iz CARD. </w:t>
            </w:r>
          </w:p>
          <w:p w14:paraId="004A3E29" w14:textId="1FA8D12D" w:rsidR="00A71AA0" w:rsidRPr="00D27DA9" w:rsidRDefault="00813558" w:rsidP="00BF238C">
            <w:pPr>
              <w:jc w:val="both"/>
              <w:rPr>
                <w:rFonts w:cstheme="minorHAnsi"/>
                <w:lang w:val="sl-SI"/>
              </w:rPr>
            </w:pPr>
            <w:r w:rsidRPr="00D27DA9">
              <w:rPr>
                <w:rFonts w:cstheme="minorHAnsi"/>
                <w:lang w:val="sl-SI"/>
              </w:rPr>
              <w:t>Prav tako ni realno pričakovati, da bo vzpostavljena obrambna industrijska politika ob dejstvu, da imamo na razpolago par ljudi, ki se s področjem ukvarjajo. Prepričani smo, da je situacija v manjših državah podobna, saj se vsi srečujemo s kadrovskimi omejitvami.</w:t>
            </w:r>
          </w:p>
        </w:tc>
        <w:tc>
          <w:tcPr>
            <w:tcW w:w="4253" w:type="dxa"/>
            <w:shd w:val="clear" w:color="auto" w:fill="FFFFFF" w:themeFill="background1"/>
            <w:vAlign w:val="center"/>
          </w:tcPr>
          <w:p w14:paraId="086D6A86" w14:textId="77777777" w:rsidR="00813558" w:rsidRPr="00D27DA9" w:rsidRDefault="00813558" w:rsidP="00BF238C">
            <w:pPr>
              <w:jc w:val="both"/>
              <w:rPr>
                <w:rFonts w:cstheme="minorHAnsi"/>
                <w:lang w:val="sl-SI"/>
              </w:rPr>
            </w:pPr>
            <w:r w:rsidRPr="00D27DA9">
              <w:rPr>
                <w:rFonts w:cstheme="minorHAnsi"/>
                <w:lang w:val="sl-SI"/>
              </w:rPr>
              <w:lastRenderedPageBreak/>
              <w:t>Z industrijskim sodelovanjem bomo nadaljevali v približno enakem obsegu kot doslej.</w:t>
            </w:r>
          </w:p>
          <w:p w14:paraId="689C4AD4" w14:textId="77777777" w:rsidR="00813558" w:rsidRPr="00D27DA9" w:rsidRDefault="00813558" w:rsidP="00BF238C">
            <w:pPr>
              <w:jc w:val="both"/>
              <w:rPr>
                <w:rFonts w:cstheme="minorHAnsi"/>
                <w:lang w:val="sl-SI"/>
              </w:rPr>
            </w:pPr>
            <w:r w:rsidRPr="00D27DA9">
              <w:rPr>
                <w:rFonts w:cstheme="minorHAnsi"/>
                <w:lang w:val="sl-SI"/>
              </w:rPr>
              <w:t>V letih 2022 do 2025 bomo nadaljevali sodelovanje na že omenjenih nacionalnih prednostnih področjih iz leta 2021, po potrebi bomo vključevali nova, aktualna področja, če bodo izkazane potrebe.</w:t>
            </w:r>
          </w:p>
          <w:p w14:paraId="0AE01F7F" w14:textId="4EEF910A" w:rsidR="00A929DF" w:rsidRPr="00D27DA9" w:rsidRDefault="00813558" w:rsidP="00BF238C">
            <w:pPr>
              <w:jc w:val="both"/>
              <w:rPr>
                <w:rFonts w:cstheme="minorHAnsi"/>
                <w:lang w:val="sl-SI"/>
              </w:rPr>
            </w:pPr>
            <w:r w:rsidRPr="00D27DA9">
              <w:rPr>
                <w:rFonts w:cstheme="minorHAnsi"/>
                <w:lang w:val="sl-SI"/>
              </w:rPr>
              <w:t>Na področju EDF nameravamo v letih 2022-2025 nadaljevati z informiranjem in spodbujanjem podjetij za sodelovanje na EDF razpisih ter v ta namen organizirati informativne dogodke.</w:t>
            </w:r>
          </w:p>
        </w:tc>
      </w:tr>
    </w:tbl>
    <w:p w14:paraId="61407DEE" w14:textId="544D43C7" w:rsidR="001226AC" w:rsidRPr="00D27DA9" w:rsidRDefault="001226AC">
      <w:pPr>
        <w:rPr>
          <w:rFonts w:cstheme="minorHAnsi"/>
          <w:b/>
        </w:rPr>
      </w:pPr>
      <w:r w:rsidRPr="00D27DA9">
        <w:rPr>
          <w:rFonts w:cstheme="minorHAnsi"/>
          <w:b/>
        </w:rPr>
        <w:br w:type="page"/>
      </w:r>
    </w:p>
    <w:p w14:paraId="022C037C" w14:textId="6504C533" w:rsidR="001226AC" w:rsidRPr="00D27DA9" w:rsidRDefault="001226AC" w:rsidP="001226AC">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rPr>
          <w:rFonts w:cstheme="minorHAnsi"/>
          <w:b/>
        </w:rPr>
      </w:pPr>
      <w:r w:rsidRPr="00D27DA9">
        <w:rPr>
          <w:rFonts w:cstheme="minorHAnsi"/>
          <w:b/>
        </w:rPr>
        <w:lastRenderedPageBreak/>
        <w:t>Zaveza 20:</w:t>
      </w:r>
      <w:r w:rsidRPr="00D27DA9">
        <w:rPr>
          <w:rFonts w:cstheme="minorHAnsi"/>
        </w:rPr>
        <w:t xml:space="preserve"> </w:t>
      </w:r>
      <w:r w:rsidR="002A6DF6" w:rsidRPr="00D27DA9">
        <w:rPr>
          <w:rFonts w:cstheme="minorHAnsi"/>
        </w:rPr>
        <w:t>Z</w:t>
      </w:r>
      <w:r w:rsidR="00342CF3" w:rsidRPr="00D27DA9">
        <w:rPr>
          <w:rFonts w:cstheme="minorHAnsi"/>
        </w:rPr>
        <w:t>agotovile, da b</w:t>
      </w:r>
      <w:r w:rsidR="002A6DF6" w:rsidRPr="00D27DA9">
        <w:rPr>
          <w:rFonts w:cstheme="minorHAnsi"/>
        </w:rPr>
        <w:t>odo imeli programi sodelovanja,</w:t>
      </w:r>
      <w:r w:rsidR="00342CF3" w:rsidRPr="00D27DA9">
        <w:rPr>
          <w:rFonts w:cstheme="minorHAnsi"/>
        </w:rPr>
        <w:t xml:space="preserve"> ki morajo koristiti le subjektom, ki imajo dokazano</w:t>
      </w:r>
      <w:r w:rsidR="002A6DF6" w:rsidRPr="00D27DA9">
        <w:rPr>
          <w:rFonts w:cstheme="minorHAnsi"/>
        </w:rPr>
        <w:t xml:space="preserve"> dodano vrednost na ozemlju EU </w:t>
      </w:r>
      <w:r w:rsidR="00342CF3" w:rsidRPr="00D27DA9">
        <w:rPr>
          <w:rFonts w:cstheme="minorHAnsi"/>
        </w:rPr>
        <w:t xml:space="preserve"> in prevzemne strategije, ki so jih sprejele vključene države članice, pozitiven učinek na tehnološko in industrijsko bazo evropske obrambe</w:t>
      </w:r>
    </w:p>
    <w:p w14:paraId="7CD2E3FF" w14:textId="77777777" w:rsidR="00656856" w:rsidRPr="00D27DA9" w:rsidRDefault="00656856" w:rsidP="004133B7">
      <w:pPr>
        <w:spacing w:after="0"/>
        <w:rPr>
          <w:rFonts w:cstheme="minorHAnsi"/>
        </w:rPr>
      </w:pPr>
    </w:p>
    <w:tbl>
      <w:tblPr>
        <w:tblStyle w:val="Tabelamrea"/>
        <w:tblW w:w="13272" w:type="dxa"/>
        <w:tblInd w:w="8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A0" w:firstRow="1" w:lastRow="0" w:firstColumn="1" w:lastColumn="0" w:noHBand="1" w:noVBand="1"/>
      </w:tblPr>
      <w:tblGrid>
        <w:gridCol w:w="1223"/>
        <w:gridCol w:w="3686"/>
        <w:gridCol w:w="4110"/>
        <w:gridCol w:w="4253"/>
      </w:tblGrid>
      <w:tr w:rsidR="001226AC" w:rsidRPr="00D27DA9" w14:paraId="1C09F088" w14:textId="77777777" w:rsidTr="00D81713">
        <w:trPr>
          <w:trHeight w:val="359"/>
        </w:trPr>
        <w:tc>
          <w:tcPr>
            <w:tcW w:w="1223" w:type="dxa"/>
            <w:shd w:val="clear" w:color="auto" w:fill="F2F2F2" w:themeFill="background1" w:themeFillShade="F2"/>
            <w:vAlign w:val="center"/>
          </w:tcPr>
          <w:p w14:paraId="48368315" w14:textId="77777777" w:rsidR="001226AC" w:rsidRPr="00D27DA9" w:rsidRDefault="001226AC" w:rsidP="00D362DB">
            <w:pPr>
              <w:jc w:val="center"/>
              <w:rPr>
                <w:rFonts w:eastAsia="Calibri" w:cstheme="minorHAnsi"/>
                <w:b/>
                <w:bCs/>
                <w:lang w:val="sl-SI"/>
              </w:rPr>
            </w:pPr>
          </w:p>
        </w:tc>
        <w:tc>
          <w:tcPr>
            <w:tcW w:w="3686" w:type="dxa"/>
            <w:shd w:val="clear" w:color="auto" w:fill="F2F2F2" w:themeFill="background1" w:themeFillShade="F2"/>
            <w:vAlign w:val="center"/>
          </w:tcPr>
          <w:p w14:paraId="6E4F8A07" w14:textId="3976064E" w:rsidR="001226AC" w:rsidRPr="00D27DA9" w:rsidRDefault="007108CB" w:rsidP="00D362DB">
            <w:pPr>
              <w:jc w:val="center"/>
              <w:rPr>
                <w:rFonts w:eastAsia="Calibri" w:cstheme="minorHAnsi"/>
                <w:b/>
                <w:bCs/>
                <w:lang w:val="sl-SI"/>
              </w:rPr>
            </w:pPr>
            <w:r w:rsidRPr="00D27DA9">
              <w:rPr>
                <w:rFonts w:eastAsia="Calibri" w:cstheme="minorHAnsi"/>
                <w:b/>
                <w:bCs/>
                <w:lang w:val="sl-SI"/>
              </w:rPr>
              <w:t>2020</w:t>
            </w:r>
            <w:r w:rsidR="001226AC" w:rsidRPr="00D27DA9">
              <w:rPr>
                <w:rFonts w:eastAsia="Calibri" w:cstheme="minorHAnsi"/>
                <w:b/>
                <w:bCs/>
                <w:lang w:val="sl-SI"/>
              </w:rPr>
              <w:t xml:space="preserve"> </w:t>
            </w:r>
          </w:p>
          <w:p w14:paraId="7C6F20BB" w14:textId="77777777" w:rsidR="001226AC" w:rsidRPr="00D27DA9" w:rsidRDefault="001226AC" w:rsidP="00D362DB">
            <w:pPr>
              <w:jc w:val="center"/>
              <w:rPr>
                <w:rFonts w:eastAsia="Calibri" w:cstheme="minorHAnsi"/>
                <w:b/>
                <w:bCs/>
                <w:lang w:val="sl-SI"/>
              </w:rPr>
            </w:pPr>
            <w:r w:rsidRPr="00D27DA9">
              <w:rPr>
                <w:rFonts w:eastAsia="Calibri" w:cstheme="minorHAnsi"/>
                <w:b/>
                <w:bCs/>
                <w:lang w:val="sl-SI"/>
              </w:rPr>
              <w:t>(samoocena)</w:t>
            </w:r>
          </w:p>
        </w:tc>
        <w:tc>
          <w:tcPr>
            <w:tcW w:w="4110" w:type="dxa"/>
            <w:shd w:val="clear" w:color="auto" w:fill="F2F2F2" w:themeFill="background1" w:themeFillShade="F2"/>
            <w:vAlign w:val="center"/>
          </w:tcPr>
          <w:p w14:paraId="4E479F3E" w14:textId="3C50ADCA" w:rsidR="001226AC" w:rsidRPr="00D27DA9" w:rsidRDefault="007108CB" w:rsidP="00D362DB">
            <w:pPr>
              <w:jc w:val="center"/>
              <w:rPr>
                <w:rFonts w:eastAsia="Calibri" w:cstheme="minorHAnsi"/>
                <w:b/>
                <w:bCs/>
                <w:lang w:val="sl-SI"/>
              </w:rPr>
            </w:pPr>
            <w:r w:rsidRPr="00D27DA9">
              <w:rPr>
                <w:rFonts w:eastAsia="Calibri" w:cstheme="minorHAnsi"/>
                <w:b/>
                <w:bCs/>
                <w:lang w:val="sl-SI"/>
              </w:rPr>
              <w:t>2021</w:t>
            </w:r>
            <w:r w:rsidR="001226AC" w:rsidRPr="00D27DA9">
              <w:rPr>
                <w:rFonts w:eastAsia="Calibri" w:cstheme="minorHAnsi"/>
                <w:b/>
                <w:bCs/>
                <w:lang w:val="sl-SI"/>
              </w:rPr>
              <w:t xml:space="preserve"> </w:t>
            </w:r>
          </w:p>
          <w:p w14:paraId="2CB4EA5C" w14:textId="77777777" w:rsidR="001226AC" w:rsidRPr="00D27DA9" w:rsidRDefault="001226AC" w:rsidP="00D362DB">
            <w:pPr>
              <w:jc w:val="center"/>
              <w:rPr>
                <w:rFonts w:eastAsia="Calibri" w:cstheme="minorHAnsi"/>
                <w:b/>
                <w:lang w:val="sl-SI"/>
              </w:rPr>
            </w:pPr>
            <w:r w:rsidRPr="00D27DA9">
              <w:rPr>
                <w:rFonts w:eastAsia="Calibri" w:cstheme="minorHAnsi"/>
                <w:b/>
                <w:bCs/>
                <w:lang w:val="sl-SI"/>
              </w:rPr>
              <w:t>(predvideno)</w:t>
            </w:r>
          </w:p>
        </w:tc>
        <w:tc>
          <w:tcPr>
            <w:tcW w:w="4253" w:type="dxa"/>
            <w:shd w:val="clear" w:color="auto" w:fill="F2F2F2" w:themeFill="background1" w:themeFillShade="F2"/>
            <w:vAlign w:val="center"/>
          </w:tcPr>
          <w:p w14:paraId="338FA749" w14:textId="24E21B73" w:rsidR="001226AC" w:rsidRPr="00D27DA9" w:rsidRDefault="007108CB" w:rsidP="00D362DB">
            <w:pPr>
              <w:jc w:val="center"/>
              <w:rPr>
                <w:rFonts w:eastAsia="Calibri" w:cstheme="minorHAnsi"/>
                <w:b/>
                <w:bCs/>
                <w:lang w:val="sl-SI"/>
              </w:rPr>
            </w:pPr>
            <w:r w:rsidRPr="00D27DA9">
              <w:rPr>
                <w:rFonts w:eastAsia="Calibri" w:cstheme="minorHAnsi"/>
                <w:b/>
                <w:bCs/>
                <w:lang w:val="sl-SI"/>
              </w:rPr>
              <w:t>2022</w:t>
            </w:r>
            <w:r w:rsidR="001226AC" w:rsidRPr="00D27DA9">
              <w:rPr>
                <w:rFonts w:eastAsia="Calibri" w:cstheme="minorHAnsi"/>
                <w:b/>
                <w:bCs/>
                <w:lang w:val="sl-SI"/>
              </w:rPr>
              <w:t xml:space="preserve">-2025 </w:t>
            </w:r>
          </w:p>
          <w:p w14:paraId="29116986" w14:textId="77777777" w:rsidR="001226AC" w:rsidRPr="00D27DA9" w:rsidRDefault="001226AC" w:rsidP="00D362DB">
            <w:pPr>
              <w:jc w:val="center"/>
              <w:rPr>
                <w:rFonts w:eastAsia="Calibri" w:cstheme="minorHAnsi"/>
                <w:b/>
                <w:lang w:val="sl-SI"/>
              </w:rPr>
            </w:pPr>
            <w:r w:rsidRPr="00D27DA9">
              <w:rPr>
                <w:rFonts w:eastAsia="Calibri" w:cstheme="minorHAnsi"/>
                <w:b/>
                <w:bCs/>
                <w:lang w:val="sl-SI"/>
              </w:rPr>
              <w:t>(predvideno)</w:t>
            </w:r>
          </w:p>
        </w:tc>
      </w:tr>
      <w:tr w:rsidR="001226AC" w:rsidRPr="00D27DA9" w14:paraId="14992D86" w14:textId="77777777" w:rsidTr="00D81713">
        <w:trPr>
          <w:trHeight w:val="3883"/>
        </w:trPr>
        <w:tc>
          <w:tcPr>
            <w:tcW w:w="1223" w:type="dxa"/>
            <w:vAlign w:val="center"/>
          </w:tcPr>
          <w:p w14:paraId="445D4362" w14:textId="77777777" w:rsidR="001226AC" w:rsidRPr="00D27DA9" w:rsidRDefault="001226AC" w:rsidP="00D362DB">
            <w:pPr>
              <w:rPr>
                <w:rFonts w:eastAsia="Calibri" w:cstheme="minorHAnsi"/>
                <w:b/>
                <w:lang w:val="sl-SI"/>
              </w:rPr>
            </w:pPr>
            <w:r w:rsidRPr="00D27DA9">
              <w:rPr>
                <w:rFonts w:eastAsia="Calibri" w:cstheme="minorHAnsi"/>
                <w:b/>
                <w:lang w:val="sl-SI"/>
              </w:rPr>
              <w:t>Zaveza 20</w:t>
            </w:r>
          </w:p>
        </w:tc>
        <w:tc>
          <w:tcPr>
            <w:tcW w:w="3686" w:type="dxa"/>
            <w:vAlign w:val="center"/>
          </w:tcPr>
          <w:p w14:paraId="76A0C010" w14:textId="06714245" w:rsidR="00A11E0F" w:rsidRPr="00D27DA9" w:rsidRDefault="00A11E0F" w:rsidP="00BF238C">
            <w:pPr>
              <w:jc w:val="both"/>
              <w:rPr>
                <w:rFonts w:eastAsia="Calibri" w:cstheme="minorHAnsi"/>
                <w:lang w:val="sl-SI"/>
              </w:rPr>
            </w:pPr>
            <w:r w:rsidRPr="00D27DA9">
              <w:rPr>
                <w:rFonts w:eastAsia="Calibri" w:cstheme="minorHAnsi"/>
                <w:lang w:val="sl-SI"/>
              </w:rPr>
              <w:t>V okviru razpisa EDIDP 2020 smo podprli 11 projektov, pri katerih v konzorcijih</w:t>
            </w:r>
            <w:r w:rsidR="00BF238C" w:rsidRPr="00D27DA9">
              <w:rPr>
                <w:rFonts w:eastAsia="Calibri" w:cstheme="minorHAnsi"/>
                <w:lang w:val="sl-SI"/>
              </w:rPr>
              <w:t xml:space="preserve"> </w:t>
            </w:r>
            <w:r w:rsidRPr="00D27DA9">
              <w:rPr>
                <w:rFonts w:eastAsia="Calibri" w:cstheme="minorHAnsi"/>
                <w:lang w:val="sl-SI"/>
              </w:rPr>
              <w:t>sodelujejo naše raziskovalno razvojne organizacije.</w:t>
            </w:r>
          </w:p>
          <w:p w14:paraId="2FDFA5D4" w14:textId="77777777" w:rsidR="001226AC" w:rsidRPr="00D27DA9" w:rsidRDefault="001226AC" w:rsidP="00BF238C">
            <w:pPr>
              <w:jc w:val="both"/>
              <w:rPr>
                <w:rFonts w:eastAsia="Calibri" w:cstheme="minorHAnsi"/>
                <w:lang w:val="sl-SI"/>
              </w:rPr>
            </w:pPr>
          </w:p>
        </w:tc>
        <w:tc>
          <w:tcPr>
            <w:tcW w:w="4110" w:type="dxa"/>
            <w:vAlign w:val="center"/>
          </w:tcPr>
          <w:p w14:paraId="31E9781B" w14:textId="14B56166" w:rsidR="001226AC" w:rsidRPr="00D27DA9" w:rsidRDefault="00A11E0F" w:rsidP="00BF238C">
            <w:pPr>
              <w:jc w:val="both"/>
              <w:rPr>
                <w:rFonts w:cstheme="minorHAnsi"/>
                <w:lang w:val="sl-SI"/>
              </w:rPr>
            </w:pPr>
            <w:r w:rsidRPr="00D27DA9">
              <w:rPr>
                <w:rFonts w:cstheme="minorHAnsi"/>
                <w:lang w:val="sl-SI"/>
              </w:rPr>
              <w:t xml:space="preserve">V okviru Evropskega obrambnega sklada smo v letu 2021 pripravljeni podpreti smiselne projekte, ki bodo podpirale nacionalno in evropsko izgradnjo zmogljivosti.  </w:t>
            </w:r>
          </w:p>
        </w:tc>
        <w:tc>
          <w:tcPr>
            <w:tcW w:w="4253" w:type="dxa"/>
            <w:shd w:val="clear" w:color="auto" w:fill="FFFFFF" w:themeFill="background1"/>
            <w:vAlign w:val="center"/>
          </w:tcPr>
          <w:p w14:paraId="0821D29B" w14:textId="30034931" w:rsidR="001226AC" w:rsidRPr="00D27DA9" w:rsidRDefault="00A11E0F" w:rsidP="00F70C15">
            <w:pPr>
              <w:jc w:val="both"/>
              <w:rPr>
                <w:rFonts w:cstheme="minorHAnsi"/>
                <w:lang w:val="sl-SI"/>
              </w:rPr>
            </w:pPr>
            <w:r w:rsidRPr="00D27DA9">
              <w:rPr>
                <w:rFonts w:cstheme="minorHAnsi"/>
                <w:lang w:val="sl-SI"/>
              </w:rPr>
              <w:t>Slovenija bo pri izgradnji zmogljivosti, vključevanju v projekte PESCO, izvajanju raziskovanih, tehnoloških in razvojnih projektov ter izvajanju investicijskih projektov zagotavljala spodbujanje evropske obrambne industrije.</w:t>
            </w:r>
            <w:r w:rsidR="00F70C15">
              <w:rPr>
                <w:rFonts w:cstheme="minorHAnsi"/>
                <w:lang w:val="sl-SI"/>
              </w:rPr>
              <w:t xml:space="preserve"> </w:t>
            </w:r>
            <w:r w:rsidRPr="00D27DA9">
              <w:rPr>
                <w:rFonts w:cstheme="minorHAnsi"/>
                <w:lang w:val="sl-SI"/>
              </w:rPr>
              <w:t>Zavzemala se bo za ustrezno čezmejno vključenost malih in srednjih podjetij.</w:t>
            </w:r>
          </w:p>
        </w:tc>
      </w:tr>
    </w:tbl>
    <w:p w14:paraId="53741D68" w14:textId="77777777" w:rsidR="001226AC" w:rsidRPr="00D27DA9" w:rsidRDefault="001226AC" w:rsidP="001226AC">
      <w:pPr>
        <w:spacing w:after="0"/>
        <w:rPr>
          <w:rFonts w:cstheme="minorHAnsi"/>
          <w:b/>
        </w:rPr>
      </w:pPr>
    </w:p>
    <w:p w14:paraId="289913AC" w14:textId="77777777" w:rsidR="00DA6D69" w:rsidRPr="00D27DA9" w:rsidRDefault="00DA6D69" w:rsidP="006D37E8">
      <w:pPr>
        <w:spacing w:after="0"/>
        <w:rPr>
          <w:rFonts w:cstheme="minorHAnsi"/>
        </w:rPr>
      </w:pPr>
    </w:p>
    <w:p w14:paraId="13946EC0" w14:textId="77777777" w:rsidR="001701B3" w:rsidRPr="00D27DA9" w:rsidRDefault="001701B3" w:rsidP="00D54094">
      <w:pPr>
        <w:spacing w:after="0"/>
        <w:rPr>
          <w:rFonts w:cstheme="minorHAnsi"/>
        </w:rPr>
      </w:pPr>
    </w:p>
    <w:sectPr w:rsidR="001701B3" w:rsidRPr="00D27DA9" w:rsidSect="001B69FD">
      <w:footerReference w:type="default" r:id="rId9"/>
      <w:pgSz w:w="16838" w:h="11906" w:orient="landscape"/>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FB044" w14:textId="77777777" w:rsidR="00E21249" w:rsidRDefault="00E21249" w:rsidP="00442F27">
      <w:pPr>
        <w:spacing w:after="0" w:line="240" w:lineRule="auto"/>
      </w:pPr>
      <w:r>
        <w:separator/>
      </w:r>
    </w:p>
  </w:endnote>
  <w:endnote w:type="continuationSeparator" w:id="0">
    <w:p w14:paraId="08727511" w14:textId="77777777" w:rsidR="00E21249" w:rsidRDefault="00E21249" w:rsidP="00442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198394"/>
      <w:docPartObj>
        <w:docPartGallery w:val="Page Numbers (Bottom of Page)"/>
        <w:docPartUnique/>
      </w:docPartObj>
    </w:sdtPr>
    <w:sdtEndPr/>
    <w:sdtContent>
      <w:sdt>
        <w:sdtPr>
          <w:id w:val="-1669238322"/>
          <w:docPartObj>
            <w:docPartGallery w:val="Page Numbers (Top of Page)"/>
            <w:docPartUnique/>
          </w:docPartObj>
        </w:sdtPr>
        <w:sdtEndPr/>
        <w:sdtContent>
          <w:p w14:paraId="2862B45B" w14:textId="078FB2C7" w:rsidR="00E21249" w:rsidRPr="00900CF1" w:rsidRDefault="00E21249">
            <w:pPr>
              <w:pStyle w:val="Noga"/>
              <w:jc w:val="center"/>
            </w:pPr>
            <w:r w:rsidRPr="00900CF1">
              <w:rPr>
                <w:bCs/>
                <w:sz w:val="24"/>
                <w:szCs w:val="24"/>
              </w:rPr>
              <w:fldChar w:fldCharType="begin"/>
            </w:r>
            <w:r w:rsidRPr="00900CF1">
              <w:rPr>
                <w:bCs/>
              </w:rPr>
              <w:instrText xml:space="preserve"> PAGE </w:instrText>
            </w:r>
            <w:r w:rsidRPr="00900CF1">
              <w:rPr>
                <w:bCs/>
                <w:sz w:val="24"/>
                <w:szCs w:val="24"/>
              </w:rPr>
              <w:fldChar w:fldCharType="separate"/>
            </w:r>
            <w:r w:rsidR="00AE659D">
              <w:rPr>
                <w:bCs/>
                <w:noProof/>
              </w:rPr>
              <w:t>2</w:t>
            </w:r>
            <w:r w:rsidRPr="00900CF1">
              <w:rPr>
                <w:bCs/>
                <w:sz w:val="24"/>
                <w:szCs w:val="24"/>
              </w:rPr>
              <w:fldChar w:fldCharType="end"/>
            </w:r>
            <w:r w:rsidRPr="00900CF1">
              <w:t>/</w:t>
            </w:r>
            <w:r w:rsidRPr="00900CF1">
              <w:rPr>
                <w:bCs/>
                <w:sz w:val="24"/>
                <w:szCs w:val="24"/>
              </w:rPr>
              <w:fldChar w:fldCharType="begin"/>
            </w:r>
            <w:r w:rsidRPr="00900CF1">
              <w:rPr>
                <w:bCs/>
              </w:rPr>
              <w:instrText xml:space="preserve"> NUMPAGES  </w:instrText>
            </w:r>
            <w:r w:rsidRPr="00900CF1">
              <w:rPr>
                <w:bCs/>
                <w:sz w:val="24"/>
                <w:szCs w:val="24"/>
              </w:rPr>
              <w:fldChar w:fldCharType="separate"/>
            </w:r>
            <w:r w:rsidR="00AE659D">
              <w:rPr>
                <w:bCs/>
                <w:noProof/>
              </w:rPr>
              <w:t>46</w:t>
            </w:r>
            <w:r w:rsidRPr="00900CF1">
              <w:rPr>
                <w:bCs/>
                <w:sz w:val="24"/>
                <w:szCs w:val="24"/>
              </w:rPr>
              <w:fldChar w:fldCharType="end"/>
            </w:r>
          </w:p>
        </w:sdtContent>
      </w:sdt>
    </w:sdtContent>
  </w:sdt>
  <w:p w14:paraId="6DADD7FB" w14:textId="77777777" w:rsidR="00E21249" w:rsidRDefault="00E2124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96865" w14:textId="77777777" w:rsidR="00E21249" w:rsidRDefault="00E21249" w:rsidP="00442F27">
      <w:pPr>
        <w:spacing w:after="0" w:line="240" w:lineRule="auto"/>
      </w:pPr>
      <w:r>
        <w:separator/>
      </w:r>
    </w:p>
  </w:footnote>
  <w:footnote w:type="continuationSeparator" w:id="0">
    <w:p w14:paraId="3247D3F0" w14:textId="77777777" w:rsidR="00E21249" w:rsidRDefault="00E21249" w:rsidP="00442F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65D2"/>
    <w:multiLevelType w:val="hybridMultilevel"/>
    <w:tmpl w:val="71A664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AA59CB"/>
    <w:multiLevelType w:val="hybridMultilevel"/>
    <w:tmpl w:val="DB3046A2"/>
    <w:lvl w:ilvl="0" w:tplc="2DF6909A">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F10EE"/>
    <w:multiLevelType w:val="hybridMultilevel"/>
    <w:tmpl w:val="6C346E9E"/>
    <w:lvl w:ilvl="0" w:tplc="6F6C2464">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1AD4B9A"/>
    <w:multiLevelType w:val="hybridMultilevel"/>
    <w:tmpl w:val="20B878D2"/>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3776B88"/>
    <w:multiLevelType w:val="hybridMultilevel"/>
    <w:tmpl w:val="FD960B74"/>
    <w:lvl w:ilvl="0" w:tplc="8676E348">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64A37EE"/>
    <w:multiLevelType w:val="hybridMultilevel"/>
    <w:tmpl w:val="D6BA2F88"/>
    <w:lvl w:ilvl="0" w:tplc="DCA6465A">
      <w:start w:val="1"/>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6C245A0"/>
    <w:multiLevelType w:val="hybridMultilevel"/>
    <w:tmpl w:val="8E1644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0CC4434"/>
    <w:multiLevelType w:val="hybridMultilevel"/>
    <w:tmpl w:val="F3105D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8B65A4E"/>
    <w:multiLevelType w:val="hybridMultilevel"/>
    <w:tmpl w:val="39201416"/>
    <w:lvl w:ilvl="0" w:tplc="DCA6465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5DB16EC"/>
    <w:multiLevelType w:val="hybridMultilevel"/>
    <w:tmpl w:val="27B229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1D34250"/>
    <w:multiLevelType w:val="hybridMultilevel"/>
    <w:tmpl w:val="6AEC675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594D273F"/>
    <w:multiLevelType w:val="hybridMultilevel"/>
    <w:tmpl w:val="DE560D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5E4A073F"/>
    <w:multiLevelType w:val="hybridMultilevel"/>
    <w:tmpl w:val="3B98A1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47C1427"/>
    <w:multiLevelType w:val="hybridMultilevel"/>
    <w:tmpl w:val="9DFAF31E"/>
    <w:lvl w:ilvl="0" w:tplc="DCA6465A">
      <w:start w:val="1"/>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75DF34BB"/>
    <w:multiLevelType w:val="hybridMultilevel"/>
    <w:tmpl w:val="92541918"/>
    <w:lvl w:ilvl="0" w:tplc="598E077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F122EDE"/>
    <w:multiLevelType w:val="hybridMultilevel"/>
    <w:tmpl w:val="D570E7E2"/>
    <w:lvl w:ilvl="0" w:tplc="60341806">
      <w:start w:val="1"/>
      <w:numFmt w:val="bullet"/>
      <w:lvlText w:val=""/>
      <w:lvlJc w:val="left"/>
      <w:pPr>
        <w:ind w:left="720" w:hanging="360"/>
      </w:pPr>
      <w:rPr>
        <w:rFonts w:ascii="Symbol" w:hAnsi="Symbol" w:hint="default"/>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2"/>
  </w:num>
  <w:num w:numId="4">
    <w:abstractNumId w:val="9"/>
  </w:num>
  <w:num w:numId="5">
    <w:abstractNumId w:val="14"/>
  </w:num>
  <w:num w:numId="6">
    <w:abstractNumId w:val="3"/>
  </w:num>
  <w:num w:numId="7">
    <w:abstractNumId w:val="0"/>
  </w:num>
  <w:num w:numId="8">
    <w:abstractNumId w:val="4"/>
  </w:num>
  <w:num w:numId="9">
    <w:abstractNumId w:val="6"/>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num>
  <w:num w:numId="14">
    <w:abstractNumId w:val="5"/>
  </w:num>
  <w:num w:numId="15">
    <w:abstractNumId w:val="8"/>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6E"/>
    <w:rsid w:val="00002538"/>
    <w:rsid w:val="0000440D"/>
    <w:rsid w:val="000078F3"/>
    <w:rsid w:val="00010672"/>
    <w:rsid w:val="00010CA7"/>
    <w:rsid w:val="00012285"/>
    <w:rsid w:val="00013287"/>
    <w:rsid w:val="000145AD"/>
    <w:rsid w:val="000145B2"/>
    <w:rsid w:val="000164EE"/>
    <w:rsid w:val="00020441"/>
    <w:rsid w:val="0002457A"/>
    <w:rsid w:val="00026F76"/>
    <w:rsid w:val="0002716B"/>
    <w:rsid w:val="00033772"/>
    <w:rsid w:val="000379EE"/>
    <w:rsid w:val="00037BAB"/>
    <w:rsid w:val="000408E1"/>
    <w:rsid w:val="00044790"/>
    <w:rsid w:val="000571CB"/>
    <w:rsid w:val="000637B5"/>
    <w:rsid w:val="00071228"/>
    <w:rsid w:val="00072AAD"/>
    <w:rsid w:val="0007386F"/>
    <w:rsid w:val="00080E97"/>
    <w:rsid w:val="00081BD9"/>
    <w:rsid w:val="000826E0"/>
    <w:rsid w:val="00083ACF"/>
    <w:rsid w:val="000860EE"/>
    <w:rsid w:val="000867C4"/>
    <w:rsid w:val="00092680"/>
    <w:rsid w:val="00092B7F"/>
    <w:rsid w:val="00096E04"/>
    <w:rsid w:val="000A0DAF"/>
    <w:rsid w:val="000A2A38"/>
    <w:rsid w:val="000A3056"/>
    <w:rsid w:val="000A3626"/>
    <w:rsid w:val="000B3414"/>
    <w:rsid w:val="000B53AC"/>
    <w:rsid w:val="000B6645"/>
    <w:rsid w:val="000C1CD2"/>
    <w:rsid w:val="000C2625"/>
    <w:rsid w:val="000C5BB9"/>
    <w:rsid w:val="000C5C3F"/>
    <w:rsid w:val="000C64DC"/>
    <w:rsid w:val="000C7EAE"/>
    <w:rsid w:val="000C7F00"/>
    <w:rsid w:val="000D31BE"/>
    <w:rsid w:val="000D4CA1"/>
    <w:rsid w:val="000D6CD1"/>
    <w:rsid w:val="000D7492"/>
    <w:rsid w:val="000D7DBD"/>
    <w:rsid w:val="000E20E0"/>
    <w:rsid w:val="000E43A7"/>
    <w:rsid w:val="000E4AAC"/>
    <w:rsid w:val="000E5646"/>
    <w:rsid w:val="000E5BBF"/>
    <w:rsid w:val="000E6F63"/>
    <w:rsid w:val="000F3291"/>
    <w:rsid w:val="000F3BDB"/>
    <w:rsid w:val="000F4A76"/>
    <w:rsid w:val="000F4E70"/>
    <w:rsid w:val="000F6897"/>
    <w:rsid w:val="000F6D81"/>
    <w:rsid w:val="001045D0"/>
    <w:rsid w:val="0010514F"/>
    <w:rsid w:val="001060F5"/>
    <w:rsid w:val="0011477E"/>
    <w:rsid w:val="001226AC"/>
    <w:rsid w:val="001231E2"/>
    <w:rsid w:val="00123ED3"/>
    <w:rsid w:val="00124774"/>
    <w:rsid w:val="00124A10"/>
    <w:rsid w:val="0012653B"/>
    <w:rsid w:val="00132509"/>
    <w:rsid w:val="00132579"/>
    <w:rsid w:val="0013445E"/>
    <w:rsid w:val="0013652E"/>
    <w:rsid w:val="0013757A"/>
    <w:rsid w:val="00140631"/>
    <w:rsid w:val="00142AA8"/>
    <w:rsid w:val="00142FDF"/>
    <w:rsid w:val="00145EFA"/>
    <w:rsid w:val="00146328"/>
    <w:rsid w:val="001475BA"/>
    <w:rsid w:val="001528C6"/>
    <w:rsid w:val="00154CD0"/>
    <w:rsid w:val="00156507"/>
    <w:rsid w:val="001573FC"/>
    <w:rsid w:val="0015781E"/>
    <w:rsid w:val="00157EE5"/>
    <w:rsid w:val="00162E77"/>
    <w:rsid w:val="00163A5F"/>
    <w:rsid w:val="0016501D"/>
    <w:rsid w:val="00165545"/>
    <w:rsid w:val="00166654"/>
    <w:rsid w:val="00167E4B"/>
    <w:rsid w:val="00167F15"/>
    <w:rsid w:val="001701B3"/>
    <w:rsid w:val="001705B2"/>
    <w:rsid w:val="001708B0"/>
    <w:rsid w:val="00172B3C"/>
    <w:rsid w:val="00173274"/>
    <w:rsid w:val="0017386C"/>
    <w:rsid w:val="00175053"/>
    <w:rsid w:val="001750F4"/>
    <w:rsid w:val="00180BFB"/>
    <w:rsid w:val="0018159E"/>
    <w:rsid w:val="0018262C"/>
    <w:rsid w:val="00182E97"/>
    <w:rsid w:val="00191CB6"/>
    <w:rsid w:val="00193039"/>
    <w:rsid w:val="00196CC5"/>
    <w:rsid w:val="0019713B"/>
    <w:rsid w:val="00197D00"/>
    <w:rsid w:val="001A6425"/>
    <w:rsid w:val="001B01FF"/>
    <w:rsid w:val="001B070E"/>
    <w:rsid w:val="001B3EFA"/>
    <w:rsid w:val="001B48F7"/>
    <w:rsid w:val="001B69FD"/>
    <w:rsid w:val="001C025E"/>
    <w:rsid w:val="001C2D4A"/>
    <w:rsid w:val="001C4ABE"/>
    <w:rsid w:val="001C6EB3"/>
    <w:rsid w:val="001C6FF5"/>
    <w:rsid w:val="001D29EE"/>
    <w:rsid w:val="001D414D"/>
    <w:rsid w:val="001D6517"/>
    <w:rsid w:val="001D7FF7"/>
    <w:rsid w:val="001D7FFE"/>
    <w:rsid w:val="001E4AFE"/>
    <w:rsid w:val="001E59A2"/>
    <w:rsid w:val="001E5E17"/>
    <w:rsid w:val="001F372F"/>
    <w:rsid w:val="001F4480"/>
    <w:rsid w:val="001F6708"/>
    <w:rsid w:val="001F6AFF"/>
    <w:rsid w:val="001F7B78"/>
    <w:rsid w:val="0020179A"/>
    <w:rsid w:val="00205BDF"/>
    <w:rsid w:val="0020725E"/>
    <w:rsid w:val="00210A6D"/>
    <w:rsid w:val="00211220"/>
    <w:rsid w:val="00211AF6"/>
    <w:rsid w:val="00211C30"/>
    <w:rsid w:val="00212A77"/>
    <w:rsid w:val="00216AE8"/>
    <w:rsid w:val="00216C86"/>
    <w:rsid w:val="00217436"/>
    <w:rsid w:val="002220AA"/>
    <w:rsid w:val="00225C85"/>
    <w:rsid w:val="00227FDB"/>
    <w:rsid w:val="00231165"/>
    <w:rsid w:val="0023371B"/>
    <w:rsid w:val="0023558C"/>
    <w:rsid w:val="00236FF0"/>
    <w:rsid w:val="00237D7C"/>
    <w:rsid w:val="00240573"/>
    <w:rsid w:val="00247CC1"/>
    <w:rsid w:val="00254399"/>
    <w:rsid w:val="00254EA4"/>
    <w:rsid w:val="0025503C"/>
    <w:rsid w:val="00257560"/>
    <w:rsid w:val="00257ECF"/>
    <w:rsid w:val="00266FE7"/>
    <w:rsid w:val="002765F2"/>
    <w:rsid w:val="00277E4B"/>
    <w:rsid w:val="00286C58"/>
    <w:rsid w:val="002870AB"/>
    <w:rsid w:val="00290FFC"/>
    <w:rsid w:val="002935D4"/>
    <w:rsid w:val="0029495F"/>
    <w:rsid w:val="00295405"/>
    <w:rsid w:val="002961FB"/>
    <w:rsid w:val="002A20D9"/>
    <w:rsid w:val="002A2839"/>
    <w:rsid w:val="002A3C8C"/>
    <w:rsid w:val="002A46AE"/>
    <w:rsid w:val="002A4CA8"/>
    <w:rsid w:val="002A4CFF"/>
    <w:rsid w:val="002A5383"/>
    <w:rsid w:val="002A5E31"/>
    <w:rsid w:val="002A6B11"/>
    <w:rsid w:val="002A6DF6"/>
    <w:rsid w:val="002A78DC"/>
    <w:rsid w:val="002B2440"/>
    <w:rsid w:val="002B439F"/>
    <w:rsid w:val="002B5725"/>
    <w:rsid w:val="002B597A"/>
    <w:rsid w:val="002C0D93"/>
    <w:rsid w:val="002C105B"/>
    <w:rsid w:val="002C45C0"/>
    <w:rsid w:val="002C633D"/>
    <w:rsid w:val="002D25BC"/>
    <w:rsid w:val="002D4571"/>
    <w:rsid w:val="002D7953"/>
    <w:rsid w:val="002E3A4A"/>
    <w:rsid w:val="002E5C0E"/>
    <w:rsid w:val="002E61DA"/>
    <w:rsid w:val="002F0D10"/>
    <w:rsid w:val="002F0E90"/>
    <w:rsid w:val="002F29E9"/>
    <w:rsid w:val="002F40A0"/>
    <w:rsid w:val="002F4E37"/>
    <w:rsid w:val="00301A03"/>
    <w:rsid w:val="0030667A"/>
    <w:rsid w:val="00307174"/>
    <w:rsid w:val="00307C98"/>
    <w:rsid w:val="00310AAA"/>
    <w:rsid w:val="00314005"/>
    <w:rsid w:val="00315B5D"/>
    <w:rsid w:val="00316263"/>
    <w:rsid w:val="00316C76"/>
    <w:rsid w:val="003171AD"/>
    <w:rsid w:val="003269EE"/>
    <w:rsid w:val="00333644"/>
    <w:rsid w:val="003364E9"/>
    <w:rsid w:val="0034089B"/>
    <w:rsid w:val="00340D20"/>
    <w:rsid w:val="00342962"/>
    <w:rsid w:val="00342CF3"/>
    <w:rsid w:val="00344C3E"/>
    <w:rsid w:val="00346509"/>
    <w:rsid w:val="00346A68"/>
    <w:rsid w:val="0034764B"/>
    <w:rsid w:val="00350810"/>
    <w:rsid w:val="00352D80"/>
    <w:rsid w:val="00354396"/>
    <w:rsid w:val="003546B5"/>
    <w:rsid w:val="0035574E"/>
    <w:rsid w:val="00356C60"/>
    <w:rsid w:val="003617D6"/>
    <w:rsid w:val="003622C1"/>
    <w:rsid w:val="00363353"/>
    <w:rsid w:val="00363488"/>
    <w:rsid w:val="00380528"/>
    <w:rsid w:val="003859BF"/>
    <w:rsid w:val="003866F8"/>
    <w:rsid w:val="00390110"/>
    <w:rsid w:val="003913A7"/>
    <w:rsid w:val="00394B8F"/>
    <w:rsid w:val="00396302"/>
    <w:rsid w:val="00396E85"/>
    <w:rsid w:val="003A0A55"/>
    <w:rsid w:val="003A0D71"/>
    <w:rsid w:val="003A3470"/>
    <w:rsid w:val="003A3C83"/>
    <w:rsid w:val="003A68DC"/>
    <w:rsid w:val="003B0A50"/>
    <w:rsid w:val="003B2B69"/>
    <w:rsid w:val="003B3AAF"/>
    <w:rsid w:val="003B3D51"/>
    <w:rsid w:val="003B4A58"/>
    <w:rsid w:val="003B61EB"/>
    <w:rsid w:val="003C0062"/>
    <w:rsid w:val="003C0A59"/>
    <w:rsid w:val="003C66A7"/>
    <w:rsid w:val="003C6896"/>
    <w:rsid w:val="003D2CB5"/>
    <w:rsid w:val="003D3DEB"/>
    <w:rsid w:val="003D5AD2"/>
    <w:rsid w:val="003D6BEB"/>
    <w:rsid w:val="003E02AE"/>
    <w:rsid w:val="003E1D97"/>
    <w:rsid w:val="003E1DE4"/>
    <w:rsid w:val="003E365B"/>
    <w:rsid w:val="003E3738"/>
    <w:rsid w:val="003E3F98"/>
    <w:rsid w:val="003E45E7"/>
    <w:rsid w:val="003E4929"/>
    <w:rsid w:val="003E529B"/>
    <w:rsid w:val="003E542C"/>
    <w:rsid w:val="003E6185"/>
    <w:rsid w:val="003E661C"/>
    <w:rsid w:val="003F0001"/>
    <w:rsid w:val="003F08C9"/>
    <w:rsid w:val="003F23E1"/>
    <w:rsid w:val="003F24EC"/>
    <w:rsid w:val="003F25B6"/>
    <w:rsid w:val="003F3E07"/>
    <w:rsid w:val="003F4183"/>
    <w:rsid w:val="003F6834"/>
    <w:rsid w:val="003F6C8F"/>
    <w:rsid w:val="003F7408"/>
    <w:rsid w:val="00400131"/>
    <w:rsid w:val="00400ECE"/>
    <w:rsid w:val="00401AF3"/>
    <w:rsid w:val="00404BDB"/>
    <w:rsid w:val="00404F26"/>
    <w:rsid w:val="004050F7"/>
    <w:rsid w:val="0040692C"/>
    <w:rsid w:val="00407319"/>
    <w:rsid w:val="00410E0C"/>
    <w:rsid w:val="004133B7"/>
    <w:rsid w:val="00413549"/>
    <w:rsid w:val="00413D7F"/>
    <w:rsid w:val="004153E9"/>
    <w:rsid w:val="0041571A"/>
    <w:rsid w:val="00417718"/>
    <w:rsid w:val="0042177F"/>
    <w:rsid w:val="004218DD"/>
    <w:rsid w:val="0042654B"/>
    <w:rsid w:val="004270FB"/>
    <w:rsid w:val="00430690"/>
    <w:rsid w:val="00431378"/>
    <w:rsid w:val="00433209"/>
    <w:rsid w:val="00434271"/>
    <w:rsid w:val="00436815"/>
    <w:rsid w:val="00437161"/>
    <w:rsid w:val="00437B40"/>
    <w:rsid w:val="0044051B"/>
    <w:rsid w:val="00440CF2"/>
    <w:rsid w:val="00442023"/>
    <w:rsid w:val="00442D9C"/>
    <w:rsid w:val="00442F27"/>
    <w:rsid w:val="004464E3"/>
    <w:rsid w:val="004470D0"/>
    <w:rsid w:val="0044718E"/>
    <w:rsid w:val="0045086C"/>
    <w:rsid w:val="00450D52"/>
    <w:rsid w:val="00450E33"/>
    <w:rsid w:val="00453C50"/>
    <w:rsid w:val="00453F39"/>
    <w:rsid w:val="004540BB"/>
    <w:rsid w:val="0046032D"/>
    <w:rsid w:val="00460A10"/>
    <w:rsid w:val="0046180E"/>
    <w:rsid w:val="00463994"/>
    <w:rsid w:val="0046490E"/>
    <w:rsid w:val="004666EE"/>
    <w:rsid w:val="00466F3A"/>
    <w:rsid w:val="00470AB7"/>
    <w:rsid w:val="004713F3"/>
    <w:rsid w:val="0047252B"/>
    <w:rsid w:val="0047316D"/>
    <w:rsid w:val="00473EE1"/>
    <w:rsid w:val="00481B69"/>
    <w:rsid w:val="00484299"/>
    <w:rsid w:val="0048544C"/>
    <w:rsid w:val="00490633"/>
    <w:rsid w:val="00493006"/>
    <w:rsid w:val="00496D43"/>
    <w:rsid w:val="00497B4A"/>
    <w:rsid w:val="004A0C48"/>
    <w:rsid w:val="004A4016"/>
    <w:rsid w:val="004A573B"/>
    <w:rsid w:val="004A6B22"/>
    <w:rsid w:val="004B3BC9"/>
    <w:rsid w:val="004B3FFC"/>
    <w:rsid w:val="004B76CA"/>
    <w:rsid w:val="004B78BA"/>
    <w:rsid w:val="004C0E49"/>
    <w:rsid w:val="004C0FC4"/>
    <w:rsid w:val="004C1B5F"/>
    <w:rsid w:val="004C1DAB"/>
    <w:rsid w:val="004C2921"/>
    <w:rsid w:val="004C4898"/>
    <w:rsid w:val="004C5B13"/>
    <w:rsid w:val="004C67BB"/>
    <w:rsid w:val="004D0768"/>
    <w:rsid w:val="004D2B9B"/>
    <w:rsid w:val="004D69B3"/>
    <w:rsid w:val="004E072F"/>
    <w:rsid w:val="004E078E"/>
    <w:rsid w:val="004E3147"/>
    <w:rsid w:val="004E3C82"/>
    <w:rsid w:val="004E4A35"/>
    <w:rsid w:val="004E6EC4"/>
    <w:rsid w:val="004E7BDC"/>
    <w:rsid w:val="004F02C4"/>
    <w:rsid w:val="004F1748"/>
    <w:rsid w:val="00500CC8"/>
    <w:rsid w:val="00501799"/>
    <w:rsid w:val="00501CA6"/>
    <w:rsid w:val="00503A1F"/>
    <w:rsid w:val="00507360"/>
    <w:rsid w:val="005106E6"/>
    <w:rsid w:val="00513C06"/>
    <w:rsid w:val="005141D2"/>
    <w:rsid w:val="005153E2"/>
    <w:rsid w:val="0051761E"/>
    <w:rsid w:val="005218C9"/>
    <w:rsid w:val="00522146"/>
    <w:rsid w:val="00524CC4"/>
    <w:rsid w:val="0053028F"/>
    <w:rsid w:val="00531924"/>
    <w:rsid w:val="00532598"/>
    <w:rsid w:val="00532BD0"/>
    <w:rsid w:val="00537C30"/>
    <w:rsid w:val="00540D77"/>
    <w:rsid w:val="00540FDD"/>
    <w:rsid w:val="00543B37"/>
    <w:rsid w:val="00543ED3"/>
    <w:rsid w:val="00544EAA"/>
    <w:rsid w:val="0054558C"/>
    <w:rsid w:val="00546D17"/>
    <w:rsid w:val="00546F71"/>
    <w:rsid w:val="005478A4"/>
    <w:rsid w:val="00547AD3"/>
    <w:rsid w:val="0055107A"/>
    <w:rsid w:val="00557338"/>
    <w:rsid w:val="00561838"/>
    <w:rsid w:val="00561B35"/>
    <w:rsid w:val="0056211F"/>
    <w:rsid w:val="00562BD6"/>
    <w:rsid w:val="005716EE"/>
    <w:rsid w:val="0057252B"/>
    <w:rsid w:val="0057279E"/>
    <w:rsid w:val="00577BFB"/>
    <w:rsid w:val="00582564"/>
    <w:rsid w:val="0058313A"/>
    <w:rsid w:val="00590E2C"/>
    <w:rsid w:val="0059131C"/>
    <w:rsid w:val="00591FC0"/>
    <w:rsid w:val="00592BEA"/>
    <w:rsid w:val="00596AAF"/>
    <w:rsid w:val="00597921"/>
    <w:rsid w:val="005A2706"/>
    <w:rsid w:val="005A588B"/>
    <w:rsid w:val="005A59B2"/>
    <w:rsid w:val="005A7B47"/>
    <w:rsid w:val="005B1006"/>
    <w:rsid w:val="005B235A"/>
    <w:rsid w:val="005B2620"/>
    <w:rsid w:val="005B2D31"/>
    <w:rsid w:val="005B4ED0"/>
    <w:rsid w:val="005B72B5"/>
    <w:rsid w:val="005C236E"/>
    <w:rsid w:val="005D14FE"/>
    <w:rsid w:val="005D1FCF"/>
    <w:rsid w:val="005D663D"/>
    <w:rsid w:val="005E290F"/>
    <w:rsid w:val="005E3EE9"/>
    <w:rsid w:val="005E41BD"/>
    <w:rsid w:val="005E4DEC"/>
    <w:rsid w:val="005E78BA"/>
    <w:rsid w:val="005F0A7E"/>
    <w:rsid w:val="005F1454"/>
    <w:rsid w:val="005F311C"/>
    <w:rsid w:val="005F3CEC"/>
    <w:rsid w:val="005F472B"/>
    <w:rsid w:val="005F4DF2"/>
    <w:rsid w:val="005F53B8"/>
    <w:rsid w:val="005F6D1D"/>
    <w:rsid w:val="005F792D"/>
    <w:rsid w:val="006035A2"/>
    <w:rsid w:val="0060371F"/>
    <w:rsid w:val="00603F21"/>
    <w:rsid w:val="00603F81"/>
    <w:rsid w:val="00606683"/>
    <w:rsid w:val="00610D5F"/>
    <w:rsid w:val="00612D4C"/>
    <w:rsid w:val="00614500"/>
    <w:rsid w:val="00615319"/>
    <w:rsid w:val="00615788"/>
    <w:rsid w:val="00617B28"/>
    <w:rsid w:val="00624064"/>
    <w:rsid w:val="006267EF"/>
    <w:rsid w:val="00630921"/>
    <w:rsid w:val="006321CE"/>
    <w:rsid w:val="006327F8"/>
    <w:rsid w:val="00635A3D"/>
    <w:rsid w:val="006363D6"/>
    <w:rsid w:val="00636B5C"/>
    <w:rsid w:val="006377A8"/>
    <w:rsid w:val="00642287"/>
    <w:rsid w:val="0064616D"/>
    <w:rsid w:val="00647DEA"/>
    <w:rsid w:val="006508C8"/>
    <w:rsid w:val="00651A23"/>
    <w:rsid w:val="00654DEE"/>
    <w:rsid w:val="006552CE"/>
    <w:rsid w:val="00656856"/>
    <w:rsid w:val="00662E11"/>
    <w:rsid w:val="00670D92"/>
    <w:rsid w:val="006710A7"/>
    <w:rsid w:val="00680195"/>
    <w:rsid w:val="006805B5"/>
    <w:rsid w:val="00681264"/>
    <w:rsid w:val="0068151B"/>
    <w:rsid w:val="0068164A"/>
    <w:rsid w:val="00681CB6"/>
    <w:rsid w:val="0068305A"/>
    <w:rsid w:val="0068439E"/>
    <w:rsid w:val="00684497"/>
    <w:rsid w:val="00684654"/>
    <w:rsid w:val="00684DB5"/>
    <w:rsid w:val="00687C7E"/>
    <w:rsid w:val="0069071E"/>
    <w:rsid w:val="0069129F"/>
    <w:rsid w:val="00691629"/>
    <w:rsid w:val="00697C7D"/>
    <w:rsid w:val="006A0469"/>
    <w:rsid w:val="006A097E"/>
    <w:rsid w:val="006A154C"/>
    <w:rsid w:val="006A1670"/>
    <w:rsid w:val="006A1886"/>
    <w:rsid w:val="006A1C18"/>
    <w:rsid w:val="006A24CB"/>
    <w:rsid w:val="006A2A86"/>
    <w:rsid w:val="006A2EDB"/>
    <w:rsid w:val="006A3F81"/>
    <w:rsid w:val="006A41E9"/>
    <w:rsid w:val="006A51CA"/>
    <w:rsid w:val="006A6DBC"/>
    <w:rsid w:val="006A7A04"/>
    <w:rsid w:val="006B004B"/>
    <w:rsid w:val="006B244D"/>
    <w:rsid w:val="006B25C4"/>
    <w:rsid w:val="006B2FA4"/>
    <w:rsid w:val="006B7FC4"/>
    <w:rsid w:val="006C1D0A"/>
    <w:rsid w:val="006C4C37"/>
    <w:rsid w:val="006C4E86"/>
    <w:rsid w:val="006C5DAA"/>
    <w:rsid w:val="006C7748"/>
    <w:rsid w:val="006C7B88"/>
    <w:rsid w:val="006D37E8"/>
    <w:rsid w:val="006D3E52"/>
    <w:rsid w:val="006D45AE"/>
    <w:rsid w:val="006D4CA1"/>
    <w:rsid w:val="006E0427"/>
    <w:rsid w:val="006E2996"/>
    <w:rsid w:val="006E3060"/>
    <w:rsid w:val="006E34D8"/>
    <w:rsid w:val="006F0605"/>
    <w:rsid w:val="006F0EBD"/>
    <w:rsid w:val="006F1DF1"/>
    <w:rsid w:val="006F2CB5"/>
    <w:rsid w:val="006F3531"/>
    <w:rsid w:val="006F49EA"/>
    <w:rsid w:val="006F4D1A"/>
    <w:rsid w:val="006F4F4D"/>
    <w:rsid w:val="006F5BA9"/>
    <w:rsid w:val="00701090"/>
    <w:rsid w:val="00701148"/>
    <w:rsid w:val="00704F6D"/>
    <w:rsid w:val="00705B02"/>
    <w:rsid w:val="00706639"/>
    <w:rsid w:val="00706EBD"/>
    <w:rsid w:val="00710899"/>
    <w:rsid w:val="007108CB"/>
    <w:rsid w:val="00711251"/>
    <w:rsid w:val="0071675F"/>
    <w:rsid w:val="00717B2E"/>
    <w:rsid w:val="00722272"/>
    <w:rsid w:val="007245D6"/>
    <w:rsid w:val="007279C0"/>
    <w:rsid w:val="0073093A"/>
    <w:rsid w:val="0073097E"/>
    <w:rsid w:val="00731A4B"/>
    <w:rsid w:val="00731AA9"/>
    <w:rsid w:val="00731E6E"/>
    <w:rsid w:val="00731FDC"/>
    <w:rsid w:val="007325FB"/>
    <w:rsid w:val="007368AD"/>
    <w:rsid w:val="007370F5"/>
    <w:rsid w:val="007405CC"/>
    <w:rsid w:val="00741B0C"/>
    <w:rsid w:val="007424A6"/>
    <w:rsid w:val="00746438"/>
    <w:rsid w:val="00746F87"/>
    <w:rsid w:val="007503AB"/>
    <w:rsid w:val="0075104C"/>
    <w:rsid w:val="0075131E"/>
    <w:rsid w:val="007547C3"/>
    <w:rsid w:val="007560EE"/>
    <w:rsid w:val="007569DE"/>
    <w:rsid w:val="0076150C"/>
    <w:rsid w:val="00763116"/>
    <w:rsid w:val="0076387C"/>
    <w:rsid w:val="00765921"/>
    <w:rsid w:val="00766929"/>
    <w:rsid w:val="00767DC2"/>
    <w:rsid w:val="00774FDA"/>
    <w:rsid w:val="007851A3"/>
    <w:rsid w:val="007869E9"/>
    <w:rsid w:val="00787F12"/>
    <w:rsid w:val="0079045D"/>
    <w:rsid w:val="007920E9"/>
    <w:rsid w:val="00792D3A"/>
    <w:rsid w:val="0079311D"/>
    <w:rsid w:val="007935B4"/>
    <w:rsid w:val="00794B34"/>
    <w:rsid w:val="00795211"/>
    <w:rsid w:val="007954C6"/>
    <w:rsid w:val="00796754"/>
    <w:rsid w:val="00796A94"/>
    <w:rsid w:val="007A1B33"/>
    <w:rsid w:val="007A1F43"/>
    <w:rsid w:val="007A2B2F"/>
    <w:rsid w:val="007A4193"/>
    <w:rsid w:val="007A4ABF"/>
    <w:rsid w:val="007B1CBB"/>
    <w:rsid w:val="007B5E4D"/>
    <w:rsid w:val="007B7A87"/>
    <w:rsid w:val="007C1202"/>
    <w:rsid w:val="007C3795"/>
    <w:rsid w:val="007C446E"/>
    <w:rsid w:val="007C4B07"/>
    <w:rsid w:val="007C4FA2"/>
    <w:rsid w:val="007C518B"/>
    <w:rsid w:val="007D14D4"/>
    <w:rsid w:val="007D2600"/>
    <w:rsid w:val="007D30AE"/>
    <w:rsid w:val="007D43F4"/>
    <w:rsid w:val="007D524F"/>
    <w:rsid w:val="007D54EB"/>
    <w:rsid w:val="007D5971"/>
    <w:rsid w:val="007D60B2"/>
    <w:rsid w:val="007D60E5"/>
    <w:rsid w:val="007D6D67"/>
    <w:rsid w:val="007D7D0A"/>
    <w:rsid w:val="007D7D31"/>
    <w:rsid w:val="007E0CCD"/>
    <w:rsid w:val="007E0FBD"/>
    <w:rsid w:val="007E1745"/>
    <w:rsid w:val="007E1806"/>
    <w:rsid w:val="007E1DBE"/>
    <w:rsid w:val="007E3299"/>
    <w:rsid w:val="007E3439"/>
    <w:rsid w:val="007F0B36"/>
    <w:rsid w:val="007F1A94"/>
    <w:rsid w:val="007F2AD2"/>
    <w:rsid w:val="007F2E12"/>
    <w:rsid w:val="00804A6D"/>
    <w:rsid w:val="00805406"/>
    <w:rsid w:val="0080648A"/>
    <w:rsid w:val="00811237"/>
    <w:rsid w:val="00813558"/>
    <w:rsid w:val="00813832"/>
    <w:rsid w:val="0081793B"/>
    <w:rsid w:val="0082097C"/>
    <w:rsid w:val="008230D6"/>
    <w:rsid w:val="00824CFD"/>
    <w:rsid w:val="00824DA0"/>
    <w:rsid w:val="0082540E"/>
    <w:rsid w:val="0082560B"/>
    <w:rsid w:val="00830298"/>
    <w:rsid w:val="008330E0"/>
    <w:rsid w:val="00833148"/>
    <w:rsid w:val="008338C3"/>
    <w:rsid w:val="00840261"/>
    <w:rsid w:val="008405BC"/>
    <w:rsid w:val="00843E05"/>
    <w:rsid w:val="00844B64"/>
    <w:rsid w:val="008450B7"/>
    <w:rsid w:val="008452AD"/>
    <w:rsid w:val="00846802"/>
    <w:rsid w:val="00847123"/>
    <w:rsid w:val="00851813"/>
    <w:rsid w:val="008555C4"/>
    <w:rsid w:val="008578C2"/>
    <w:rsid w:val="00857D3C"/>
    <w:rsid w:val="008601C4"/>
    <w:rsid w:val="00860808"/>
    <w:rsid w:val="00861A87"/>
    <w:rsid w:val="00863F90"/>
    <w:rsid w:val="008657D6"/>
    <w:rsid w:val="0086590F"/>
    <w:rsid w:val="00867181"/>
    <w:rsid w:val="00871354"/>
    <w:rsid w:val="0087307A"/>
    <w:rsid w:val="00873350"/>
    <w:rsid w:val="008734D1"/>
    <w:rsid w:val="00873C72"/>
    <w:rsid w:val="008747C4"/>
    <w:rsid w:val="00874E4C"/>
    <w:rsid w:val="00877722"/>
    <w:rsid w:val="00880A08"/>
    <w:rsid w:val="008838B2"/>
    <w:rsid w:val="00883989"/>
    <w:rsid w:val="008839D7"/>
    <w:rsid w:val="0088490D"/>
    <w:rsid w:val="008902FF"/>
    <w:rsid w:val="0089141C"/>
    <w:rsid w:val="0089274D"/>
    <w:rsid w:val="008A20E1"/>
    <w:rsid w:val="008A3527"/>
    <w:rsid w:val="008A39C1"/>
    <w:rsid w:val="008B0891"/>
    <w:rsid w:val="008B110E"/>
    <w:rsid w:val="008B1ECC"/>
    <w:rsid w:val="008B247F"/>
    <w:rsid w:val="008B416D"/>
    <w:rsid w:val="008B4E1A"/>
    <w:rsid w:val="008B59DB"/>
    <w:rsid w:val="008B5C7E"/>
    <w:rsid w:val="008C0D21"/>
    <w:rsid w:val="008C1614"/>
    <w:rsid w:val="008C18CD"/>
    <w:rsid w:val="008C3586"/>
    <w:rsid w:val="008C3C4E"/>
    <w:rsid w:val="008D0EED"/>
    <w:rsid w:val="008D47C6"/>
    <w:rsid w:val="008E082A"/>
    <w:rsid w:val="008E2F92"/>
    <w:rsid w:val="008E3892"/>
    <w:rsid w:val="008E4574"/>
    <w:rsid w:val="008E6436"/>
    <w:rsid w:val="008F06E0"/>
    <w:rsid w:val="008F07D1"/>
    <w:rsid w:val="008F2EF4"/>
    <w:rsid w:val="008F6E9A"/>
    <w:rsid w:val="008F7514"/>
    <w:rsid w:val="00900CF1"/>
    <w:rsid w:val="009027C9"/>
    <w:rsid w:val="00903054"/>
    <w:rsid w:val="00905903"/>
    <w:rsid w:val="00905F45"/>
    <w:rsid w:val="009071C9"/>
    <w:rsid w:val="00907240"/>
    <w:rsid w:val="00910C25"/>
    <w:rsid w:val="00911BB6"/>
    <w:rsid w:val="00914417"/>
    <w:rsid w:val="00917D57"/>
    <w:rsid w:val="009208C5"/>
    <w:rsid w:val="00920EB7"/>
    <w:rsid w:val="009230D1"/>
    <w:rsid w:val="0092347D"/>
    <w:rsid w:val="00923D0A"/>
    <w:rsid w:val="00925DD8"/>
    <w:rsid w:val="00930726"/>
    <w:rsid w:val="0093403E"/>
    <w:rsid w:val="00934371"/>
    <w:rsid w:val="0093596E"/>
    <w:rsid w:val="009405F0"/>
    <w:rsid w:val="00941F20"/>
    <w:rsid w:val="009436D3"/>
    <w:rsid w:val="009437C5"/>
    <w:rsid w:val="009442DC"/>
    <w:rsid w:val="0094609F"/>
    <w:rsid w:val="009528F3"/>
    <w:rsid w:val="0096392F"/>
    <w:rsid w:val="00965A44"/>
    <w:rsid w:val="00967979"/>
    <w:rsid w:val="00967A64"/>
    <w:rsid w:val="009726F9"/>
    <w:rsid w:val="009740FA"/>
    <w:rsid w:val="00982273"/>
    <w:rsid w:val="009833EA"/>
    <w:rsid w:val="00983731"/>
    <w:rsid w:val="0098423D"/>
    <w:rsid w:val="009848C1"/>
    <w:rsid w:val="00984EF2"/>
    <w:rsid w:val="00986A71"/>
    <w:rsid w:val="009871D3"/>
    <w:rsid w:val="00990295"/>
    <w:rsid w:val="009924F5"/>
    <w:rsid w:val="00993CB2"/>
    <w:rsid w:val="009A0356"/>
    <w:rsid w:val="009A0512"/>
    <w:rsid w:val="009A1AD2"/>
    <w:rsid w:val="009A4A1E"/>
    <w:rsid w:val="009A5EA5"/>
    <w:rsid w:val="009A5FF1"/>
    <w:rsid w:val="009B0477"/>
    <w:rsid w:val="009B065E"/>
    <w:rsid w:val="009B126A"/>
    <w:rsid w:val="009B5AB2"/>
    <w:rsid w:val="009B5F18"/>
    <w:rsid w:val="009B633B"/>
    <w:rsid w:val="009B729C"/>
    <w:rsid w:val="009C0CDE"/>
    <w:rsid w:val="009C1CAD"/>
    <w:rsid w:val="009C5346"/>
    <w:rsid w:val="009C7220"/>
    <w:rsid w:val="009D11D1"/>
    <w:rsid w:val="009D1553"/>
    <w:rsid w:val="009D22AD"/>
    <w:rsid w:val="009D4285"/>
    <w:rsid w:val="009E197D"/>
    <w:rsid w:val="009E1ADE"/>
    <w:rsid w:val="009E1BCA"/>
    <w:rsid w:val="009E1D9A"/>
    <w:rsid w:val="009E2DF4"/>
    <w:rsid w:val="009E7461"/>
    <w:rsid w:val="009E7921"/>
    <w:rsid w:val="009F26CC"/>
    <w:rsid w:val="009F3F3E"/>
    <w:rsid w:val="009F6C22"/>
    <w:rsid w:val="00A00FBA"/>
    <w:rsid w:val="00A04A5E"/>
    <w:rsid w:val="00A05489"/>
    <w:rsid w:val="00A10FF6"/>
    <w:rsid w:val="00A11185"/>
    <w:rsid w:val="00A11E0F"/>
    <w:rsid w:val="00A159B1"/>
    <w:rsid w:val="00A21C3B"/>
    <w:rsid w:val="00A2689D"/>
    <w:rsid w:val="00A26994"/>
    <w:rsid w:val="00A3362F"/>
    <w:rsid w:val="00A342C4"/>
    <w:rsid w:val="00A348B6"/>
    <w:rsid w:val="00A34BD8"/>
    <w:rsid w:val="00A3516E"/>
    <w:rsid w:val="00A36227"/>
    <w:rsid w:val="00A43665"/>
    <w:rsid w:val="00A460F3"/>
    <w:rsid w:val="00A4714E"/>
    <w:rsid w:val="00A50006"/>
    <w:rsid w:val="00A5454C"/>
    <w:rsid w:val="00A55034"/>
    <w:rsid w:val="00A6082D"/>
    <w:rsid w:val="00A60A1E"/>
    <w:rsid w:val="00A71AA0"/>
    <w:rsid w:val="00A71AC6"/>
    <w:rsid w:val="00A72938"/>
    <w:rsid w:val="00A729D9"/>
    <w:rsid w:val="00A72E68"/>
    <w:rsid w:val="00A7404F"/>
    <w:rsid w:val="00A75861"/>
    <w:rsid w:val="00A764B8"/>
    <w:rsid w:val="00A7689B"/>
    <w:rsid w:val="00A77593"/>
    <w:rsid w:val="00A83708"/>
    <w:rsid w:val="00A8370B"/>
    <w:rsid w:val="00A8387E"/>
    <w:rsid w:val="00A84CCF"/>
    <w:rsid w:val="00A86F6E"/>
    <w:rsid w:val="00A921D5"/>
    <w:rsid w:val="00A929DF"/>
    <w:rsid w:val="00A93766"/>
    <w:rsid w:val="00A93E43"/>
    <w:rsid w:val="00A94813"/>
    <w:rsid w:val="00AA6A89"/>
    <w:rsid w:val="00AB26A0"/>
    <w:rsid w:val="00AB40C4"/>
    <w:rsid w:val="00AB5658"/>
    <w:rsid w:val="00AC0C60"/>
    <w:rsid w:val="00AC1CD5"/>
    <w:rsid w:val="00AC268A"/>
    <w:rsid w:val="00AC357A"/>
    <w:rsid w:val="00AC424B"/>
    <w:rsid w:val="00AC4779"/>
    <w:rsid w:val="00AC7296"/>
    <w:rsid w:val="00AD1E3B"/>
    <w:rsid w:val="00AD3C06"/>
    <w:rsid w:val="00AD3C1C"/>
    <w:rsid w:val="00AD4F87"/>
    <w:rsid w:val="00AE03E7"/>
    <w:rsid w:val="00AE0D08"/>
    <w:rsid w:val="00AE4BAC"/>
    <w:rsid w:val="00AE4BDD"/>
    <w:rsid w:val="00AE659D"/>
    <w:rsid w:val="00AE65F7"/>
    <w:rsid w:val="00AF0B10"/>
    <w:rsid w:val="00AF35E9"/>
    <w:rsid w:val="00AF3DB9"/>
    <w:rsid w:val="00AF4967"/>
    <w:rsid w:val="00AF5305"/>
    <w:rsid w:val="00AF545A"/>
    <w:rsid w:val="00B0051E"/>
    <w:rsid w:val="00B013E8"/>
    <w:rsid w:val="00B01D96"/>
    <w:rsid w:val="00B02B41"/>
    <w:rsid w:val="00B047DE"/>
    <w:rsid w:val="00B049D4"/>
    <w:rsid w:val="00B1052A"/>
    <w:rsid w:val="00B11A93"/>
    <w:rsid w:val="00B122FF"/>
    <w:rsid w:val="00B13568"/>
    <w:rsid w:val="00B205A9"/>
    <w:rsid w:val="00B21DC0"/>
    <w:rsid w:val="00B236EC"/>
    <w:rsid w:val="00B2657A"/>
    <w:rsid w:val="00B27622"/>
    <w:rsid w:val="00B27E20"/>
    <w:rsid w:val="00B33E30"/>
    <w:rsid w:val="00B4102C"/>
    <w:rsid w:val="00B43C96"/>
    <w:rsid w:val="00B4592C"/>
    <w:rsid w:val="00B47FCF"/>
    <w:rsid w:val="00B51F86"/>
    <w:rsid w:val="00B52D9A"/>
    <w:rsid w:val="00B60755"/>
    <w:rsid w:val="00B629BD"/>
    <w:rsid w:val="00B62E9D"/>
    <w:rsid w:val="00B64FE5"/>
    <w:rsid w:val="00B71288"/>
    <w:rsid w:val="00B71345"/>
    <w:rsid w:val="00B738F8"/>
    <w:rsid w:val="00B74138"/>
    <w:rsid w:val="00B76FC3"/>
    <w:rsid w:val="00B801E9"/>
    <w:rsid w:val="00B84BF4"/>
    <w:rsid w:val="00B91B52"/>
    <w:rsid w:val="00B922F1"/>
    <w:rsid w:val="00B92C5A"/>
    <w:rsid w:val="00B93C5A"/>
    <w:rsid w:val="00B94686"/>
    <w:rsid w:val="00B96828"/>
    <w:rsid w:val="00B96D6A"/>
    <w:rsid w:val="00BA2C8D"/>
    <w:rsid w:val="00BA49D3"/>
    <w:rsid w:val="00BA6EB7"/>
    <w:rsid w:val="00BA7D67"/>
    <w:rsid w:val="00BB029C"/>
    <w:rsid w:val="00BB02F7"/>
    <w:rsid w:val="00BB1654"/>
    <w:rsid w:val="00BB31F0"/>
    <w:rsid w:val="00BB353A"/>
    <w:rsid w:val="00BB35B0"/>
    <w:rsid w:val="00BB465A"/>
    <w:rsid w:val="00BB4793"/>
    <w:rsid w:val="00BB5A99"/>
    <w:rsid w:val="00BB6452"/>
    <w:rsid w:val="00BC0E12"/>
    <w:rsid w:val="00BC2CA1"/>
    <w:rsid w:val="00BC2D21"/>
    <w:rsid w:val="00BC64FF"/>
    <w:rsid w:val="00BC6AFE"/>
    <w:rsid w:val="00BC7F63"/>
    <w:rsid w:val="00BD4D59"/>
    <w:rsid w:val="00BD7941"/>
    <w:rsid w:val="00BE0520"/>
    <w:rsid w:val="00BE0FBA"/>
    <w:rsid w:val="00BE14D8"/>
    <w:rsid w:val="00BE72EF"/>
    <w:rsid w:val="00BE7A6F"/>
    <w:rsid w:val="00BF0AD9"/>
    <w:rsid w:val="00BF1084"/>
    <w:rsid w:val="00BF238C"/>
    <w:rsid w:val="00BF2A95"/>
    <w:rsid w:val="00BF5E7F"/>
    <w:rsid w:val="00BF69DD"/>
    <w:rsid w:val="00BF711B"/>
    <w:rsid w:val="00BF751F"/>
    <w:rsid w:val="00BF7E13"/>
    <w:rsid w:val="00BF7FA4"/>
    <w:rsid w:val="00C00381"/>
    <w:rsid w:val="00C00E6D"/>
    <w:rsid w:val="00C01B85"/>
    <w:rsid w:val="00C01BB5"/>
    <w:rsid w:val="00C02536"/>
    <w:rsid w:val="00C02992"/>
    <w:rsid w:val="00C03429"/>
    <w:rsid w:val="00C03557"/>
    <w:rsid w:val="00C05780"/>
    <w:rsid w:val="00C06A99"/>
    <w:rsid w:val="00C128D7"/>
    <w:rsid w:val="00C16537"/>
    <w:rsid w:val="00C20D16"/>
    <w:rsid w:val="00C23581"/>
    <w:rsid w:val="00C2486A"/>
    <w:rsid w:val="00C25051"/>
    <w:rsid w:val="00C25B8D"/>
    <w:rsid w:val="00C32315"/>
    <w:rsid w:val="00C329C9"/>
    <w:rsid w:val="00C335D2"/>
    <w:rsid w:val="00C34467"/>
    <w:rsid w:val="00C34D94"/>
    <w:rsid w:val="00C35B6F"/>
    <w:rsid w:val="00C35D88"/>
    <w:rsid w:val="00C40B25"/>
    <w:rsid w:val="00C411D9"/>
    <w:rsid w:val="00C44935"/>
    <w:rsid w:val="00C4565E"/>
    <w:rsid w:val="00C4620B"/>
    <w:rsid w:val="00C46F3A"/>
    <w:rsid w:val="00C4787A"/>
    <w:rsid w:val="00C5001C"/>
    <w:rsid w:val="00C505A4"/>
    <w:rsid w:val="00C50E67"/>
    <w:rsid w:val="00C51181"/>
    <w:rsid w:val="00C511D9"/>
    <w:rsid w:val="00C52DEC"/>
    <w:rsid w:val="00C550C2"/>
    <w:rsid w:val="00C56E2E"/>
    <w:rsid w:val="00C5708B"/>
    <w:rsid w:val="00C640AA"/>
    <w:rsid w:val="00C6630A"/>
    <w:rsid w:val="00C66F4F"/>
    <w:rsid w:val="00C70837"/>
    <w:rsid w:val="00C71510"/>
    <w:rsid w:val="00C74FFB"/>
    <w:rsid w:val="00C767C2"/>
    <w:rsid w:val="00C8038C"/>
    <w:rsid w:val="00C8256E"/>
    <w:rsid w:val="00C82B06"/>
    <w:rsid w:val="00C834D0"/>
    <w:rsid w:val="00C85947"/>
    <w:rsid w:val="00C860AF"/>
    <w:rsid w:val="00C861DC"/>
    <w:rsid w:val="00C86EE1"/>
    <w:rsid w:val="00C87D31"/>
    <w:rsid w:val="00C90470"/>
    <w:rsid w:val="00C94B42"/>
    <w:rsid w:val="00C97FB4"/>
    <w:rsid w:val="00CA0578"/>
    <w:rsid w:val="00CA1F92"/>
    <w:rsid w:val="00CA36A5"/>
    <w:rsid w:val="00CA3999"/>
    <w:rsid w:val="00CA6E75"/>
    <w:rsid w:val="00CB1259"/>
    <w:rsid w:val="00CB1461"/>
    <w:rsid w:val="00CB6EEE"/>
    <w:rsid w:val="00CB7DFA"/>
    <w:rsid w:val="00CC20A0"/>
    <w:rsid w:val="00CC44B6"/>
    <w:rsid w:val="00CD11C5"/>
    <w:rsid w:val="00CD382C"/>
    <w:rsid w:val="00CD3C23"/>
    <w:rsid w:val="00CD4B03"/>
    <w:rsid w:val="00CD5680"/>
    <w:rsid w:val="00CE1ED3"/>
    <w:rsid w:val="00CE2003"/>
    <w:rsid w:val="00CE2564"/>
    <w:rsid w:val="00CE417E"/>
    <w:rsid w:val="00CE4CD2"/>
    <w:rsid w:val="00CE53B3"/>
    <w:rsid w:val="00CE5C5A"/>
    <w:rsid w:val="00CF0531"/>
    <w:rsid w:val="00CF427F"/>
    <w:rsid w:val="00CF45BC"/>
    <w:rsid w:val="00CF5409"/>
    <w:rsid w:val="00D00F6B"/>
    <w:rsid w:val="00D023B4"/>
    <w:rsid w:val="00D03C05"/>
    <w:rsid w:val="00D06D17"/>
    <w:rsid w:val="00D10C3C"/>
    <w:rsid w:val="00D124D5"/>
    <w:rsid w:val="00D12623"/>
    <w:rsid w:val="00D223C5"/>
    <w:rsid w:val="00D26347"/>
    <w:rsid w:val="00D27DA9"/>
    <w:rsid w:val="00D31E65"/>
    <w:rsid w:val="00D35614"/>
    <w:rsid w:val="00D35ABB"/>
    <w:rsid w:val="00D362DB"/>
    <w:rsid w:val="00D36608"/>
    <w:rsid w:val="00D36E21"/>
    <w:rsid w:val="00D40810"/>
    <w:rsid w:val="00D421AA"/>
    <w:rsid w:val="00D44DB6"/>
    <w:rsid w:val="00D44E05"/>
    <w:rsid w:val="00D45759"/>
    <w:rsid w:val="00D45AE4"/>
    <w:rsid w:val="00D539C1"/>
    <w:rsid w:val="00D54094"/>
    <w:rsid w:val="00D60010"/>
    <w:rsid w:val="00D63560"/>
    <w:rsid w:val="00D63D51"/>
    <w:rsid w:val="00D653EB"/>
    <w:rsid w:val="00D67684"/>
    <w:rsid w:val="00D706DF"/>
    <w:rsid w:val="00D7077D"/>
    <w:rsid w:val="00D71033"/>
    <w:rsid w:val="00D7245F"/>
    <w:rsid w:val="00D81713"/>
    <w:rsid w:val="00D819AE"/>
    <w:rsid w:val="00D81C36"/>
    <w:rsid w:val="00D83638"/>
    <w:rsid w:val="00D84AC3"/>
    <w:rsid w:val="00D85DAA"/>
    <w:rsid w:val="00D86B82"/>
    <w:rsid w:val="00D917A4"/>
    <w:rsid w:val="00D91F3A"/>
    <w:rsid w:val="00D92B45"/>
    <w:rsid w:val="00D92D55"/>
    <w:rsid w:val="00D93F5D"/>
    <w:rsid w:val="00D97287"/>
    <w:rsid w:val="00DA20B8"/>
    <w:rsid w:val="00DA356D"/>
    <w:rsid w:val="00DA40D9"/>
    <w:rsid w:val="00DA510C"/>
    <w:rsid w:val="00DA5DC5"/>
    <w:rsid w:val="00DA5EF8"/>
    <w:rsid w:val="00DA6D69"/>
    <w:rsid w:val="00DB14C9"/>
    <w:rsid w:val="00DB4D7C"/>
    <w:rsid w:val="00DB7DC1"/>
    <w:rsid w:val="00DC1FD5"/>
    <w:rsid w:val="00DC5B6E"/>
    <w:rsid w:val="00DD3E5B"/>
    <w:rsid w:val="00DD4A20"/>
    <w:rsid w:val="00DD526B"/>
    <w:rsid w:val="00DD6D44"/>
    <w:rsid w:val="00DD78CA"/>
    <w:rsid w:val="00DE0042"/>
    <w:rsid w:val="00DE2721"/>
    <w:rsid w:val="00DE4C3C"/>
    <w:rsid w:val="00DE73A7"/>
    <w:rsid w:val="00DF049B"/>
    <w:rsid w:val="00DF1C84"/>
    <w:rsid w:val="00DF2B10"/>
    <w:rsid w:val="00DF5592"/>
    <w:rsid w:val="00DF5EA8"/>
    <w:rsid w:val="00E00116"/>
    <w:rsid w:val="00E02C59"/>
    <w:rsid w:val="00E04066"/>
    <w:rsid w:val="00E04341"/>
    <w:rsid w:val="00E05B01"/>
    <w:rsid w:val="00E074E1"/>
    <w:rsid w:val="00E15FF9"/>
    <w:rsid w:val="00E1783F"/>
    <w:rsid w:val="00E2069C"/>
    <w:rsid w:val="00E21249"/>
    <w:rsid w:val="00E212D3"/>
    <w:rsid w:val="00E229DD"/>
    <w:rsid w:val="00E26114"/>
    <w:rsid w:val="00E2662C"/>
    <w:rsid w:val="00E26899"/>
    <w:rsid w:val="00E26F78"/>
    <w:rsid w:val="00E3065D"/>
    <w:rsid w:val="00E35C3D"/>
    <w:rsid w:val="00E37546"/>
    <w:rsid w:val="00E42D37"/>
    <w:rsid w:val="00E44AEC"/>
    <w:rsid w:val="00E47054"/>
    <w:rsid w:val="00E4747B"/>
    <w:rsid w:val="00E47588"/>
    <w:rsid w:val="00E50CB7"/>
    <w:rsid w:val="00E51065"/>
    <w:rsid w:val="00E51346"/>
    <w:rsid w:val="00E5464E"/>
    <w:rsid w:val="00E54917"/>
    <w:rsid w:val="00E54D43"/>
    <w:rsid w:val="00E55101"/>
    <w:rsid w:val="00E56FCE"/>
    <w:rsid w:val="00E6282A"/>
    <w:rsid w:val="00E65B9D"/>
    <w:rsid w:val="00E674CC"/>
    <w:rsid w:val="00E70836"/>
    <w:rsid w:val="00E7384F"/>
    <w:rsid w:val="00E73B60"/>
    <w:rsid w:val="00E74A0F"/>
    <w:rsid w:val="00E76468"/>
    <w:rsid w:val="00E76C26"/>
    <w:rsid w:val="00E76F85"/>
    <w:rsid w:val="00E806A6"/>
    <w:rsid w:val="00E8106F"/>
    <w:rsid w:val="00E82520"/>
    <w:rsid w:val="00E84694"/>
    <w:rsid w:val="00E85099"/>
    <w:rsid w:val="00E863F4"/>
    <w:rsid w:val="00E86D50"/>
    <w:rsid w:val="00E87106"/>
    <w:rsid w:val="00E92398"/>
    <w:rsid w:val="00E95E59"/>
    <w:rsid w:val="00EA013B"/>
    <w:rsid w:val="00EA118B"/>
    <w:rsid w:val="00EA3B92"/>
    <w:rsid w:val="00EA7391"/>
    <w:rsid w:val="00EA7B46"/>
    <w:rsid w:val="00EB0718"/>
    <w:rsid w:val="00EB4C7E"/>
    <w:rsid w:val="00EB4D35"/>
    <w:rsid w:val="00EB7267"/>
    <w:rsid w:val="00EC1D57"/>
    <w:rsid w:val="00ED2738"/>
    <w:rsid w:val="00ED37DB"/>
    <w:rsid w:val="00ED6B34"/>
    <w:rsid w:val="00EF0A3E"/>
    <w:rsid w:val="00EF0EF1"/>
    <w:rsid w:val="00EF45C3"/>
    <w:rsid w:val="00EF4848"/>
    <w:rsid w:val="00EF5BB1"/>
    <w:rsid w:val="00EF7F5C"/>
    <w:rsid w:val="00F00329"/>
    <w:rsid w:val="00F00A7D"/>
    <w:rsid w:val="00F00E71"/>
    <w:rsid w:val="00F020E3"/>
    <w:rsid w:val="00F0336B"/>
    <w:rsid w:val="00F05086"/>
    <w:rsid w:val="00F05867"/>
    <w:rsid w:val="00F05EF5"/>
    <w:rsid w:val="00F07916"/>
    <w:rsid w:val="00F11111"/>
    <w:rsid w:val="00F1170B"/>
    <w:rsid w:val="00F12C3E"/>
    <w:rsid w:val="00F13365"/>
    <w:rsid w:val="00F1427C"/>
    <w:rsid w:val="00F14E44"/>
    <w:rsid w:val="00F15CD8"/>
    <w:rsid w:val="00F17952"/>
    <w:rsid w:val="00F20E4D"/>
    <w:rsid w:val="00F21970"/>
    <w:rsid w:val="00F223F3"/>
    <w:rsid w:val="00F24728"/>
    <w:rsid w:val="00F24E56"/>
    <w:rsid w:val="00F26044"/>
    <w:rsid w:val="00F26493"/>
    <w:rsid w:val="00F26D5F"/>
    <w:rsid w:val="00F30C75"/>
    <w:rsid w:val="00F30F81"/>
    <w:rsid w:val="00F31BEC"/>
    <w:rsid w:val="00F327CE"/>
    <w:rsid w:val="00F32E8B"/>
    <w:rsid w:val="00F343FC"/>
    <w:rsid w:val="00F34D20"/>
    <w:rsid w:val="00F357B1"/>
    <w:rsid w:val="00F40DB9"/>
    <w:rsid w:val="00F41511"/>
    <w:rsid w:val="00F41D00"/>
    <w:rsid w:val="00F45411"/>
    <w:rsid w:val="00F46A52"/>
    <w:rsid w:val="00F47E75"/>
    <w:rsid w:val="00F50645"/>
    <w:rsid w:val="00F61249"/>
    <w:rsid w:val="00F62029"/>
    <w:rsid w:val="00F6310B"/>
    <w:rsid w:val="00F64084"/>
    <w:rsid w:val="00F657E6"/>
    <w:rsid w:val="00F662D3"/>
    <w:rsid w:val="00F66534"/>
    <w:rsid w:val="00F6692B"/>
    <w:rsid w:val="00F70C15"/>
    <w:rsid w:val="00F70D55"/>
    <w:rsid w:val="00F734B8"/>
    <w:rsid w:val="00F7530A"/>
    <w:rsid w:val="00F76D87"/>
    <w:rsid w:val="00F7795E"/>
    <w:rsid w:val="00F779A8"/>
    <w:rsid w:val="00F82AC7"/>
    <w:rsid w:val="00F83090"/>
    <w:rsid w:val="00F83548"/>
    <w:rsid w:val="00F84402"/>
    <w:rsid w:val="00F8475D"/>
    <w:rsid w:val="00F90357"/>
    <w:rsid w:val="00F90763"/>
    <w:rsid w:val="00F93316"/>
    <w:rsid w:val="00F94F5C"/>
    <w:rsid w:val="00F95DEB"/>
    <w:rsid w:val="00FA0ABC"/>
    <w:rsid w:val="00FA2BAF"/>
    <w:rsid w:val="00FA4486"/>
    <w:rsid w:val="00FA4DC7"/>
    <w:rsid w:val="00FA4E6E"/>
    <w:rsid w:val="00FA6538"/>
    <w:rsid w:val="00FB027A"/>
    <w:rsid w:val="00FB2E9D"/>
    <w:rsid w:val="00FB3350"/>
    <w:rsid w:val="00FB7403"/>
    <w:rsid w:val="00FC4DBE"/>
    <w:rsid w:val="00FC604A"/>
    <w:rsid w:val="00FD048D"/>
    <w:rsid w:val="00FD3464"/>
    <w:rsid w:val="00FD534E"/>
    <w:rsid w:val="00FE0261"/>
    <w:rsid w:val="00FE1A08"/>
    <w:rsid w:val="00FE1FE3"/>
    <w:rsid w:val="00FE2BC9"/>
    <w:rsid w:val="00FE3DD8"/>
    <w:rsid w:val="00FE7CCE"/>
    <w:rsid w:val="00FF2B5A"/>
    <w:rsid w:val="00FF4217"/>
    <w:rsid w:val="00FF5056"/>
    <w:rsid w:val="00FF5244"/>
    <w:rsid w:val="00FF65B0"/>
    <w:rsid w:val="00FF75F1"/>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C174"/>
  <w15:docId w15:val="{D47EB14B-2075-4393-8D77-F3C93C76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7083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4C0E4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EC,Colorful List Accent 1,List Paragraph (numbered (a)),List_Paragraph,Multilevel para_II,List Paragraph1,Paragraphe de liste11,Bullets,Colorful List - Accent 11,Dot pt,No Spacing1,Indicator Text,Paragraphe de liste1"/>
    <w:basedOn w:val="Navaden"/>
    <w:link w:val="OdstavekseznamaZnak"/>
    <w:uiPriority w:val="34"/>
    <w:qFormat/>
    <w:rsid w:val="004C0E49"/>
    <w:pPr>
      <w:spacing w:after="160" w:line="259" w:lineRule="auto"/>
      <w:ind w:left="720"/>
      <w:contextualSpacing/>
    </w:pPr>
    <w:rPr>
      <w:lang w:val="en-GB"/>
    </w:rPr>
  </w:style>
  <w:style w:type="character" w:customStyle="1" w:styleId="OdstavekseznamaZnak">
    <w:name w:val="Odstavek seznama Znak"/>
    <w:aliases w:val="EC Znak,Colorful List Accent 1 Znak,List Paragraph (numbered (a)) Znak,List_Paragraph Znak,Multilevel para_II Znak,List Paragraph1 Znak,Paragraphe de liste11 Znak,Bullets Znak,Colorful List - Accent 11 Znak,Dot pt Znak"/>
    <w:link w:val="Odstavekseznama"/>
    <w:uiPriority w:val="34"/>
    <w:qFormat/>
    <w:locked/>
    <w:rsid w:val="004C0E49"/>
    <w:rPr>
      <w:lang w:val="en-GB"/>
    </w:rPr>
  </w:style>
  <w:style w:type="character" w:styleId="Pripombasklic">
    <w:name w:val="annotation reference"/>
    <w:basedOn w:val="Privzetapisavaodstavka"/>
    <w:uiPriority w:val="99"/>
    <w:semiHidden/>
    <w:unhideWhenUsed/>
    <w:rsid w:val="00E54917"/>
    <w:rPr>
      <w:sz w:val="16"/>
      <w:szCs w:val="16"/>
    </w:rPr>
  </w:style>
  <w:style w:type="paragraph" w:styleId="Pripombabesedilo">
    <w:name w:val="annotation text"/>
    <w:basedOn w:val="Navaden"/>
    <w:link w:val="PripombabesediloZnak"/>
    <w:uiPriority w:val="99"/>
    <w:semiHidden/>
    <w:unhideWhenUsed/>
    <w:rsid w:val="00E5491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54917"/>
    <w:rPr>
      <w:sz w:val="20"/>
      <w:szCs w:val="20"/>
    </w:rPr>
  </w:style>
  <w:style w:type="paragraph" w:styleId="Zadevapripombe">
    <w:name w:val="annotation subject"/>
    <w:basedOn w:val="Pripombabesedilo"/>
    <w:next w:val="Pripombabesedilo"/>
    <w:link w:val="ZadevapripombeZnak"/>
    <w:uiPriority w:val="99"/>
    <w:semiHidden/>
    <w:unhideWhenUsed/>
    <w:rsid w:val="00E54917"/>
    <w:rPr>
      <w:b/>
      <w:bCs/>
    </w:rPr>
  </w:style>
  <w:style w:type="character" w:customStyle="1" w:styleId="ZadevapripombeZnak">
    <w:name w:val="Zadeva pripombe Znak"/>
    <w:basedOn w:val="PripombabesediloZnak"/>
    <w:link w:val="Zadevapripombe"/>
    <w:uiPriority w:val="99"/>
    <w:semiHidden/>
    <w:rsid w:val="00E54917"/>
    <w:rPr>
      <w:b/>
      <w:bCs/>
      <w:sz w:val="20"/>
      <w:szCs w:val="20"/>
    </w:rPr>
  </w:style>
  <w:style w:type="paragraph" w:styleId="Besedilooblaka">
    <w:name w:val="Balloon Text"/>
    <w:basedOn w:val="Navaden"/>
    <w:link w:val="BesedilooblakaZnak"/>
    <w:uiPriority w:val="99"/>
    <w:semiHidden/>
    <w:unhideWhenUsed/>
    <w:rsid w:val="00E5491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54917"/>
    <w:rPr>
      <w:rFonts w:ascii="Tahoma" w:hAnsi="Tahoma" w:cs="Tahoma"/>
      <w:sz w:val="16"/>
      <w:szCs w:val="16"/>
    </w:rPr>
  </w:style>
  <w:style w:type="paragraph" w:styleId="Sprotnaopomba-besedilo">
    <w:name w:val="footnote text"/>
    <w:basedOn w:val="Navaden"/>
    <w:link w:val="Sprotnaopomba-besediloZnak"/>
    <w:uiPriority w:val="99"/>
    <w:semiHidden/>
    <w:unhideWhenUsed/>
    <w:rsid w:val="00442F27"/>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42F27"/>
    <w:rPr>
      <w:sz w:val="20"/>
      <w:szCs w:val="20"/>
    </w:rPr>
  </w:style>
  <w:style w:type="character" w:styleId="Sprotnaopomba-sklic">
    <w:name w:val="footnote reference"/>
    <w:basedOn w:val="Privzetapisavaodstavka"/>
    <w:uiPriority w:val="99"/>
    <w:semiHidden/>
    <w:unhideWhenUsed/>
    <w:rsid w:val="00442F27"/>
    <w:rPr>
      <w:vertAlign w:val="superscript"/>
    </w:rPr>
  </w:style>
  <w:style w:type="paragraph" w:styleId="Glava">
    <w:name w:val="header"/>
    <w:basedOn w:val="Navaden"/>
    <w:link w:val="GlavaZnak"/>
    <w:unhideWhenUsed/>
    <w:rsid w:val="00900CF1"/>
    <w:pPr>
      <w:tabs>
        <w:tab w:val="center" w:pos="4536"/>
        <w:tab w:val="right" w:pos="9072"/>
      </w:tabs>
      <w:spacing w:after="0" w:line="240" w:lineRule="auto"/>
    </w:pPr>
  </w:style>
  <w:style w:type="character" w:customStyle="1" w:styleId="GlavaZnak">
    <w:name w:val="Glava Znak"/>
    <w:basedOn w:val="Privzetapisavaodstavka"/>
    <w:link w:val="Glava"/>
    <w:rsid w:val="00900CF1"/>
  </w:style>
  <w:style w:type="paragraph" w:styleId="Noga">
    <w:name w:val="footer"/>
    <w:basedOn w:val="Navaden"/>
    <w:link w:val="NogaZnak"/>
    <w:uiPriority w:val="99"/>
    <w:unhideWhenUsed/>
    <w:rsid w:val="00900CF1"/>
    <w:pPr>
      <w:tabs>
        <w:tab w:val="center" w:pos="4536"/>
        <w:tab w:val="right" w:pos="9072"/>
      </w:tabs>
      <w:spacing w:after="0" w:line="240" w:lineRule="auto"/>
    </w:pPr>
  </w:style>
  <w:style w:type="character" w:customStyle="1" w:styleId="NogaZnak">
    <w:name w:val="Noga Znak"/>
    <w:basedOn w:val="Privzetapisavaodstavka"/>
    <w:link w:val="Noga"/>
    <w:uiPriority w:val="99"/>
    <w:rsid w:val="00900CF1"/>
  </w:style>
  <w:style w:type="character" w:customStyle="1" w:styleId="NaslovpredpisaZnak">
    <w:name w:val="Naslov_predpisa Znak"/>
    <w:link w:val="Naslovpredpisa"/>
    <w:locked/>
    <w:rsid w:val="00965A44"/>
    <w:rPr>
      <w:rFonts w:ascii="Arial" w:hAnsi="Arial" w:cs="Arial"/>
      <w:b/>
    </w:rPr>
  </w:style>
  <w:style w:type="paragraph" w:customStyle="1" w:styleId="Naslovpredpisa">
    <w:name w:val="Naslov_predpisa"/>
    <w:basedOn w:val="Navaden"/>
    <w:link w:val="NaslovpredpisaZnak"/>
    <w:qFormat/>
    <w:rsid w:val="00965A44"/>
    <w:pPr>
      <w:suppressAutoHyphens/>
      <w:overflowPunct w:val="0"/>
      <w:autoSpaceDE w:val="0"/>
      <w:autoSpaceDN w:val="0"/>
      <w:adjustRightInd w:val="0"/>
      <w:spacing w:before="120" w:after="160" w:line="200" w:lineRule="exact"/>
      <w:jc w:val="center"/>
    </w:pPr>
    <w:rPr>
      <w:rFonts w:ascii="Arial" w:hAnsi="Arial" w:cs="Arial"/>
      <w:b/>
    </w:rPr>
  </w:style>
  <w:style w:type="paragraph" w:customStyle="1" w:styleId="datumtevilka">
    <w:name w:val="datum številka"/>
    <w:basedOn w:val="Navaden"/>
    <w:qFormat/>
    <w:rsid w:val="005218C9"/>
    <w:pPr>
      <w:tabs>
        <w:tab w:val="left" w:pos="1701"/>
      </w:tabs>
      <w:spacing w:after="0" w:line="260" w:lineRule="exact"/>
    </w:pPr>
    <w:rPr>
      <w:rFonts w:ascii="Arial" w:eastAsia="Times New Roman" w:hAnsi="Arial"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5436">
      <w:bodyDiv w:val="1"/>
      <w:marLeft w:val="0"/>
      <w:marRight w:val="0"/>
      <w:marTop w:val="0"/>
      <w:marBottom w:val="0"/>
      <w:divBdr>
        <w:top w:val="none" w:sz="0" w:space="0" w:color="auto"/>
        <w:left w:val="none" w:sz="0" w:space="0" w:color="auto"/>
        <w:bottom w:val="none" w:sz="0" w:space="0" w:color="auto"/>
        <w:right w:val="none" w:sz="0" w:space="0" w:color="auto"/>
      </w:divBdr>
    </w:div>
    <w:div w:id="63337597">
      <w:bodyDiv w:val="1"/>
      <w:marLeft w:val="0"/>
      <w:marRight w:val="0"/>
      <w:marTop w:val="0"/>
      <w:marBottom w:val="0"/>
      <w:divBdr>
        <w:top w:val="none" w:sz="0" w:space="0" w:color="auto"/>
        <w:left w:val="none" w:sz="0" w:space="0" w:color="auto"/>
        <w:bottom w:val="none" w:sz="0" w:space="0" w:color="auto"/>
        <w:right w:val="none" w:sz="0" w:space="0" w:color="auto"/>
      </w:divBdr>
    </w:div>
    <w:div w:id="115370783">
      <w:bodyDiv w:val="1"/>
      <w:marLeft w:val="0"/>
      <w:marRight w:val="0"/>
      <w:marTop w:val="0"/>
      <w:marBottom w:val="0"/>
      <w:divBdr>
        <w:top w:val="none" w:sz="0" w:space="0" w:color="auto"/>
        <w:left w:val="none" w:sz="0" w:space="0" w:color="auto"/>
        <w:bottom w:val="none" w:sz="0" w:space="0" w:color="auto"/>
        <w:right w:val="none" w:sz="0" w:space="0" w:color="auto"/>
      </w:divBdr>
    </w:div>
    <w:div w:id="118914519">
      <w:bodyDiv w:val="1"/>
      <w:marLeft w:val="0"/>
      <w:marRight w:val="0"/>
      <w:marTop w:val="0"/>
      <w:marBottom w:val="0"/>
      <w:divBdr>
        <w:top w:val="none" w:sz="0" w:space="0" w:color="auto"/>
        <w:left w:val="none" w:sz="0" w:space="0" w:color="auto"/>
        <w:bottom w:val="none" w:sz="0" w:space="0" w:color="auto"/>
        <w:right w:val="none" w:sz="0" w:space="0" w:color="auto"/>
      </w:divBdr>
    </w:div>
    <w:div w:id="125122682">
      <w:bodyDiv w:val="1"/>
      <w:marLeft w:val="0"/>
      <w:marRight w:val="0"/>
      <w:marTop w:val="0"/>
      <w:marBottom w:val="0"/>
      <w:divBdr>
        <w:top w:val="none" w:sz="0" w:space="0" w:color="auto"/>
        <w:left w:val="none" w:sz="0" w:space="0" w:color="auto"/>
        <w:bottom w:val="none" w:sz="0" w:space="0" w:color="auto"/>
        <w:right w:val="none" w:sz="0" w:space="0" w:color="auto"/>
      </w:divBdr>
    </w:div>
    <w:div w:id="181553561">
      <w:bodyDiv w:val="1"/>
      <w:marLeft w:val="0"/>
      <w:marRight w:val="0"/>
      <w:marTop w:val="0"/>
      <w:marBottom w:val="0"/>
      <w:divBdr>
        <w:top w:val="none" w:sz="0" w:space="0" w:color="auto"/>
        <w:left w:val="none" w:sz="0" w:space="0" w:color="auto"/>
        <w:bottom w:val="none" w:sz="0" w:space="0" w:color="auto"/>
        <w:right w:val="none" w:sz="0" w:space="0" w:color="auto"/>
      </w:divBdr>
    </w:div>
    <w:div w:id="201678579">
      <w:bodyDiv w:val="1"/>
      <w:marLeft w:val="0"/>
      <w:marRight w:val="0"/>
      <w:marTop w:val="0"/>
      <w:marBottom w:val="0"/>
      <w:divBdr>
        <w:top w:val="none" w:sz="0" w:space="0" w:color="auto"/>
        <w:left w:val="none" w:sz="0" w:space="0" w:color="auto"/>
        <w:bottom w:val="none" w:sz="0" w:space="0" w:color="auto"/>
        <w:right w:val="none" w:sz="0" w:space="0" w:color="auto"/>
      </w:divBdr>
    </w:div>
    <w:div w:id="204222027">
      <w:bodyDiv w:val="1"/>
      <w:marLeft w:val="0"/>
      <w:marRight w:val="0"/>
      <w:marTop w:val="0"/>
      <w:marBottom w:val="0"/>
      <w:divBdr>
        <w:top w:val="none" w:sz="0" w:space="0" w:color="auto"/>
        <w:left w:val="none" w:sz="0" w:space="0" w:color="auto"/>
        <w:bottom w:val="none" w:sz="0" w:space="0" w:color="auto"/>
        <w:right w:val="none" w:sz="0" w:space="0" w:color="auto"/>
      </w:divBdr>
    </w:div>
    <w:div w:id="232936979">
      <w:bodyDiv w:val="1"/>
      <w:marLeft w:val="0"/>
      <w:marRight w:val="0"/>
      <w:marTop w:val="0"/>
      <w:marBottom w:val="0"/>
      <w:divBdr>
        <w:top w:val="none" w:sz="0" w:space="0" w:color="auto"/>
        <w:left w:val="none" w:sz="0" w:space="0" w:color="auto"/>
        <w:bottom w:val="none" w:sz="0" w:space="0" w:color="auto"/>
        <w:right w:val="none" w:sz="0" w:space="0" w:color="auto"/>
      </w:divBdr>
    </w:div>
    <w:div w:id="288441258">
      <w:bodyDiv w:val="1"/>
      <w:marLeft w:val="0"/>
      <w:marRight w:val="0"/>
      <w:marTop w:val="0"/>
      <w:marBottom w:val="0"/>
      <w:divBdr>
        <w:top w:val="none" w:sz="0" w:space="0" w:color="auto"/>
        <w:left w:val="none" w:sz="0" w:space="0" w:color="auto"/>
        <w:bottom w:val="none" w:sz="0" w:space="0" w:color="auto"/>
        <w:right w:val="none" w:sz="0" w:space="0" w:color="auto"/>
      </w:divBdr>
    </w:div>
    <w:div w:id="334304088">
      <w:bodyDiv w:val="1"/>
      <w:marLeft w:val="0"/>
      <w:marRight w:val="0"/>
      <w:marTop w:val="0"/>
      <w:marBottom w:val="0"/>
      <w:divBdr>
        <w:top w:val="none" w:sz="0" w:space="0" w:color="auto"/>
        <w:left w:val="none" w:sz="0" w:space="0" w:color="auto"/>
        <w:bottom w:val="none" w:sz="0" w:space="0" w:color="auto"/>
        <w:right w:val="none" w:sz="0" w:space="0" w:color="auto"/>
      </w:divBdr>
    </w:div>
    <w:div w:id="388919724">
      <w:bodyDiv w:val="1"/>
      <w:marLeft w:val="0"/>
      <w:marRight w:val="0"/>
      <w:marTop w:val="0"/>
      <w:marBottom w:val="0"/>
      <w:divBdr>
        <w:top w:val="none" w:sz="0" w:space="0" w:color="auto"/>
        <w:left w:val="none" w:sz="0" w:space="0" w:color="auto"/>
        <w:bottom w:val="none" w:sz="0" w:space="0" w:color="auto"/>
        <w:right w:val="none" w:sz="0" w:space="0" w:color="auto"/>
      </w:divBdr>
    </w:div>
    <w:div w:id="393742041">
      <w:bodyDiv w:val="1"/>
      <w:marLeft w:val="0"/>
      <w:marRight w:val="0"/>
      <w:marTop w:val="0"/>
      <w:marBottom w:val="0"/>
      <w:divBdr>
        <w:top w:val="none" w:sz="0" w:space="0" w:color="auto"/>
        <w:left w:val="none" w:sz="0" w:space="0" w:color="auto"/>
        <w:bottom w:val="none" w:sz="0" w:space="0" w:color="auto"/>
        <w:right w:val="none" w:sz="0" w:space="0" w:color="auto"/>
      </w:divBdr>
    </w:div>
    <w:div w:id="400904086">
      <w:bodyDiv w:val="1"/>
      <w:marLeft w:val="0"/>
      <w:marRight w:val="0"/>
      <w:marTop w:val="0"/>
      <w:marBottom w:val="0"/>
      <w:divBdr>
        <w:top w:val="none" w:sz="0" w:space="0" w:color="auto"/>
        <w:left w:val="none" w:sz="0" w:space="0" w:color="auto"/>
        <w:bottom w:val="none" w:sz="0" w:space="0" w:color="auto"/>
        <w:right w:val="none" w:sz="0" w:space="0" w:color="auto"/>
      </w:divBdr>
    </w:div>
    <w:div w:id="422647624">
      <w:bodyDiv w:val="1"/>
      <w:marLeft w:val="0"/>
      <w:marRight w:val="0"/>
      <w:marTop w:val="0"/>
      <w:marBottom w:val="0"/>
      <w:divBdr>
        <w:top w:val="none" w:sz="0" w:space="0" w:color="auto"/>
        <w:left w:val="none" w:sz="0" w:space="0" w:color="auto"/>
        <w:bottom w:val="none" w:sz="0" w:space="0" w:color="auto"/>
        <w:right w:val="none" w:sz="0" w:space="0" w:color="auto"/>
      </w:divBdr>
    </w:div>
    <w:div w:id="423766729">
      <w:bodyDiv w:val="1"/>
      <w:marLeft w:val="0"/>
      <w:marRight w:val="0"/>
      <w:marTop w:val="0"/>
      <w:marBottom w:val="0"/>
      <w:divBdr>
        <w:top w:val="none" w:sz="0" w:space="0" w:color="auto"/>
        <w:left w:val="none" w:sz="0" w:space="0" w:color="auto"/>
        <w:bottom w:val="none" w:sz="0" w:space="0" w:color="auto"/>
        <w:right w:val="none" w:sz="0" w:space="0" w:color="auto"/>
      </w:divBdr>
    </w:div>
    <w:div w:id="433865622">
      <w:bodyDiv w:val="1"/>
      <w:marLeft w:val="0"/>
      <w:marRight w:val="0"/>
      <w:marTop w:val="0"/>
      <w:marBottom w:val="0"/>
      <w:divBdr>
        <w:top w:val="none" w:sz="0" w:space="0" w:color="auto"/>
        <w:left w:val="none" w:sz="0" w:space="0" w:color="auto"/>
        <w:bottom w:val="none" w:sz="0" w:space="0" w:color="auto"/>
        <w:right w:val="none" w:sz="0" w:space="0" w:color="auto"/>
      </w:divBdr>
    </w:div>
    <w:div w:id="450905148">
      <w:bodyDiv w:val="1"/>
      <w:marLeft w:val="0"/>
      <w:marRight w:val="0"/>
      <w:marTop w:val="0"/>
      <w:marBottom w:val="0"/>
      <w:divBdr>
        <w:top w:val="none" w:sz="0" w:space="0" w:color="auto"/>
        <w:left w:val="none" w:sz="0" w:space="0" w:color="auto"/>
        <w:bottom w:val="none" w:sz="0" w:space="0" w:color="auto"/>
        <w:right w:val="none" w:sz="0" w:space="0" w:color="auto"/>
      </w:divBdr>
    </w:div>
    <w:div w:id="510340163">
      <w:bodyDiv w:val="1"/>
      <w:marLeft w:val="0"/>
      <w:marRight w:val="0"/>
      <w:marTop w:val="0"/>
      <w:marBottom w:val="0"/>
      <w:divBdr>
        <w:top w:val="none" w:sz="0" w:space="0" w:color="auto"/>
        <w:left w:val="none" w:sz="0" w:space="0" w:color="auto"/>
        <w:bottom w:val="none" w:sz="0" w:space="0" w:color="auto"/>
        <w:right w:val="none" w:sz="0" w:space="0" w:color="auto"/>
      </w:divBdr>
    </w:div>
    <w:div w:id="685323330">
      <w:bodyDiv w:val="1"/>
      <w:marLeft w:val="0"/>
      <w:marRight w:val="0"/>
      <w:marTop w:val="0"/>
      <w:marBottom w:val="0"/>
      <w:divBdr>
        <w:top w:val="none" w:sz="0" w:space="0" w:color="auto"/>
        <w:left w:val="none" w:sz="0" w:space="0" w:color="auto"/>
        <w:bottom w:val="none" w:sz="0" w:space="0" w:color="auto"/>
        <w:right w:val="none" w:sz="0" w:space="0" w:color="auto"/>
      </w:divBdr>
    </w:div>
    <w:div w:id="745305814">
      <w:bodyDiv w:val="1"/>
      <w:marLeft w:val="0"/>
      <w:marRight w:val="0"/>
      <w:marTop w:val="0"/>
      <w:marBottom w:val="0"/>
      <w:divBdr>
        <w:top w:val="none" w:sz="0" w:space="0" w:color="auto"/>
        <w:left w:val="none" w:sz="0" w:space="0" w:color="auto"/>
        <w:bottom w:val="none" w:sz="0" w:space="0" w:color="auto"/>
        <w:right w:val="none" w:sz="0" w:space="0" w:color="auto"/>
      </w:divBdr>
    </w:div>
    <w:div w:id="770786681">
      <w:bodyDiv w:val="1"/>
      <w:marLeft w:val="0"/>
      <w:marRight w:val="0"/>
      <w:marTop w:val="0"/>
      <w:marBottom w:val="0"/>
      <w:divBdr>
        <w:top w:val="none" w:sz="0" w:space="0" w:color="auto"/>
        <w:left w:val="none" w:sz="0" w:space="0" w:color="auto"/>
        <w:bottom w:val="none" w:sz="0" w:space="0" w:color="auto"/>
        <w:right w:val="none" w:sz="0" w:space="0" w:color="auto"/>
      </w:divBdr>
    </w:div>
    <w:div w:id="786700774">
      <w:bodyDiv w:val="1"/>
      <w:marLeft w:val="0"/>
      <w:marRight w:val="0"/>
      <w:marTop w:val="0"/>
      <w:marBottom w:val="0"/>
      <w:divBdr>
        <w:top w:val="none" w:sz="0" w:space="0" w:color="auto"/>
        <w:left w:val="none" w:sz="0" w:space="0" w:color="auto"/>
        <w:bottom w:val="none" w:sz="0" w:space="0" w:color="auto"/>
        <w:right w:val="none" w:sz="0" w:space="0" w:color="auto"/>
      </w:divBdr>
    </w:div>
    <w:div w:id="803082068">
      <w:bodyDiv w:val="1"/>
      <w:marLeft w:val="0"/>
      <w:marRight w:val="0"/>
      <w:marTop w:val="0"/>
      <w:marBottom w:val="0"/>
      <w:divBdr>
        <w:top w:val="none" w:sz="0" w:space="0" w:color="auto"/>
        <w:left w:val="none" w:sz="0" w:space="0" w:color="auto"/>
        <w:bottom w:val="none" w:sz="0" w:space="0" w:color="auto"/>
        <w:right w:val="none" w:sz="0" w:space="0" w:color="auto"/>
      </w:divBdr>
    </w:div>
    <w:div w:id="805780494">
      <w:bodyDiv w:val="1"/>
      <w:marLeft w:val="0"/>
      <w:marRight w:val="0"/>
      <w:marTop w:val="0"/>
      <w:marBottom w:val="0"/>
      <w:divBdr>
        <w:top w:val="none" w:sz="0" w:space="0" w:color="auto"/>
        <w:left w:val="none" w:sz="0" w:space="0" w:color="auto"/>
        <w:bottom w:val="none" w:sz="0" w:space="0" w:color="auto"/>
        <w:right w:val="none" w:sz="0" w:space="0" w:color="auto"/>
      </w:divBdr>
    </w:div>
    <w:div w:id="887959847">
      <w:bodyDiv w:val="1"/>
      <w:marLeft w:val="0"/>
      <w:marRight w:val="0"/>
      <w:marTop w:val="0"/>
      <w:marBottom w:val="0"/>
      <w:divBdr>
        <w:top w:val="none" w:sz="0" w:space="0" w:color="auto"/>
        <w:left w:val="none" w:sz="0" w:space="0" w:color="auto"/>
        <w:bottom w:val="none" w:sz="0" w:space="0" w:color="auto"/>
        <w:right w:val="none" w:sz="0" w:space="0" w:color="auto"/>
      </w:divBdr>
    </w:div>
    <w:div w:id="1002704063">
      <w:bodyDiv w:val="1"/>
      <w:marLeft w:val="0"/>
      <w:marRight w:val="0"/>
      <w:marTop w:val="0"/>
      <w:marBottom w:val="0"/>
      <w:divBdr>
        <w:top w:val="none" w:sz="0" w:space="0" w:color="auto"/>
        <w:left w:val="none" w:sz="0" w:space="0" w:color="auto"/>
        <w:bottom w:val="none" w:sz="0" w:space="0" w:color="auto"/>
        <w:right w:val="none" w:sz="0" w:space="0" w:color="auto"/>
      </w:divBdr>
    </w:div>
    <w:div w:id="1054624187">
      <w:bodyDiv w:val="1"/>
      <w:marLeft w:val="0"/>
      <w:marRight w:val="0"/>
      <w:marTop w:val="0"/>
      <w:marBottom w:val="0"/>
      <w:divBdr>
        <w:top w:val="none" w:sz="0" w:space="0" w:color="auto"/>
        <w:left w:val="none" w:sz="0" w:space="0" w:color="auto"/>
        <w:bottom w:val="none" w:sz="0" w:space="0" w:color="auto"/>
        <w:right w:val="none" w:sz="0" w:space="0" w:color="auto"/>
      </w:divBdr>
    </w:div>
    <w:div w:id="1061052202">
      <w:bodyDiv w:val="1"/>
      <w:marLeft w:val="0"/>
      <w:marRight w:val="0"/>
      <w:marTop w:val="0"/>
      <w:marBottom w:val="0"/>
      <w:divBdr>
        <w:top w:val="none" w:sz="0" w:space="0" w:color="auto"/>
        <w:left w:val="none" w:sz="0" w:space="0" w:color="auto"/>
        <w:bottom w:val="none" w:sz="0" w:space="0" w:color="auto"/>
        <w:right w:val="none" w:sz="0" w:space="0" w:color="auto"/>
      </w:divBdr>
    </w:div>
    <w:div w:id="1124273949">
      <w:bodyDiv w:val="1"/>
      <w:marLeft w:val="0"/>
      <w:marRight w:val="0"/>
      <w:marTop w:val="0"/>
      <w:marBottom w:val="0"/>
      <w:divBdr>
        <w:top w:val="none" w:sz="0" w:space="0" w:color="auto"/>
        <w:left w:val="none" w:sz="0" w:space="0" w:color="auto"/>
        <w:bottom w:val="none" w:sz="0" w:space="0" w:color="auto"/>
        <w:right w:val="none" w:sz="0" w:space="0" w:color="auto"/>
      </w:divBdr>
    </w:div>
    <w:div w:id="1153259825">
      <w:bodyDiv w:val="1"/>
      <w:marLeft w:val="0"/>
      <w:marRight w:val="0"/>
      <w:marTop w:val="0"/>
      <w:marBottom w:val="0"/>
      <w:divBdr>
        <w:top w:val="none" w:sz="0" w:space="0" w:color="auto"/>
        <w:left w:val="none" w:sz="0" w:space="0" w:color="auto"/>
        <w:bottom w:val="none" w:sz="0" w:space="0" w:color="auto"/>
        <w:right w:val="none" w:sz="0" w:space="0" w:color="auto"/>
      </w:divBdr>
    </w:div>
    <w:div w:id="1158694736">
      <w:bodyDiv w:val="1"/>
      <w:marLeft w:val="0"/>
      <w:marRight w:val="0"/>
      <w:marTop w:val="0"/>
      <w:marBottom w:val="0"/>
      <w:divBdr>
        <w:top w:val="none" w:sz="0" w:space="0" w:color="auto"/>
        <w:left w:val="none" w:sz="0" w:space="0" w:color="auto"/>
        <w:bottom w:val="none" w:sz="0" w:space="0" w:color="auto"/>
        <w:right w:val="none" w:sz="0" w:space="0" w:color="auto"/>
      </w:divBdr>
    </w:div>
    <w:div w:id="1174031247">
      <w:bodyDiv w:val="1"/>
      <w:marLeft w:val="0"/>
      <w:marRight w:val="0"/>
      <w:marTop w:val="0"/>
      <w:marBottom w:val="0"/>
      <w:divBdr>
        <w:top w:val="none" w:sz="0" w:space="0" w:color="auto"/>
        <w:left w:val="none" w:sz="0" w:space="0" w:color="auto"/>
        <w:bottom w:val="none" w:sz="0" w:space="0" w:color="auto"/>
        <w:right w:val="none" w:sz="0" w:space="0" w:color="auto"/>
      </w:divBdr>
    </w:div>
    <w:div w:id="1202672415">
      <w:bodyDiv w:val="1"/>
      <w:marLeft w:val="0"/>
      <w:marRight w:val="0"/>
      <w:marTop w:val="0"/>
      <w:marBottom w:val="0"/>
      <w:divBdr>
        <w:top w:val="none" w:sz="0" w:space="0" w:color="auto"/>
        <w:left w:val="none" w:sz="0" w:space="0" w:color="auto"/>
        <w:bottom w:val="none" w:sz="0" w:space="0" w:color="auto"/>
        <w:right w:val="none" w:sz="0" w:space="0" w:color="auto"/>
      </w:divBdr>
    </w:div>
    <w:div w:id="1214074285">
      <w:bodyDiv w:val="1"/>
      <w:marLeft w:val="0"/>
      <w:marRight w:val="0"/>
      <w:marTop w:val="0"/>
      <w:marBottom w:val="0"/>
      <w:divBdr>
        <w:top w:val="none" w:sz="0" w:space="0" w:color="auto"/>
        <w:left w:val="none" w:sz="0" w:space="0" w:color="auto"/>
        <w:bottom w:val="none" w:sz="0" w:space="0" w:color="auto"/>
        <w:right w:val="none" w:sz="0" w:space="0" w:color="auto"/>
      </w:divBdr>
    </w:div>
    <w:div w:id="1222908688">
      <w:bodyDiv w:val="1"/>
      <w:marLeft w:val="0"/>
      <w:marRight w:val="0"/>
      <w:marTop w:val="0"/>
      <w:marBottom w:val="0"/>
      <w:divBdr>
        <w:top w:val="none" w:sz="0" w:space="0" w:color="auto"/>
        <w:left w:val="none" w:sz="0" w:space="0" w:color="auto"/>
        <w:bottom w:val="none" w:sz="0" w:space="0" w:color="auto"/>
        <w:right w:val="none" w:sz="0" w:space="0" w:color="auto"/>
      </w:divBdr>
    </w:div>
    <w:div w:id="1233853969">
      <w:bodyDiv w:val="1"/>
      <w:marLeft w:val="0"/>
      <w:marRight w:val="0"/>
      <w:marTop w:val="0"/>
      <w:marBottom w:val="0"/>
      <w:divBdr>
        <w:top w:val="none" w:sz="0" w:space="0" w:color="auto"/>
        <w:left w:val="none" w:sz="0" w:space="0" w:color="auto"/>
        <w:bottom w:val="none" w:sz="0" w:space="0" w:color="auto"/>
        <w:right w:val="none" w:sz="0" w:space="0" w:color="auto"/>
      </w:divBdr>
    </w:div>
    <w:div w:id="1241524145">
      <w:bodyDiv w:val="1"/>
      <w:marLeft w:val="0"/>
      <w:marRight w:val="0"/>
      <w:marTop w:val="0"/>
      <w:marBottom w:val="0"/>
      <w:divBdr>
        <w:top w:val="none" w:sz="0" w:space="0" w:color="auto"/>
        <w:left w:val="none" w:sz="0" w:space="0" w:color="auto"/>
        <w:bottom w:val="none" w:sz="0" w:space="0" w:color="auto"/>
        <w:right w:val="none" w:sz="0" w:space="0" w:color="auto"/>
      </w:divBdr>
    </w:div>
    <w:div w:id="1241674164">
      <w:bodyDiv w:val="1"/>
      <w:marLeft w:val="0"/>
      <w:marRight w:val="0"/>
      <w:marTop w:val="0"/>
      <w:marBottom w:val="0"/>
      <w:divBdr>
        <w:top w:val="none" w:sz="0" w:space="0" w:color="auto"/>
        <w:left w:val="none" w:sz="0" w:space="0" w:color="auto"/>
        <w:bottom w:val="none" w:sz="0" w:space="0" w:color="auto"/>
        <w:right w:val="none" w:sz="0" w:space="0" w:color="auto"/>
      </w:divBdr>
    </w:div>
    <w:div w:id="1246720137">
      <w:bodyDiv w:val="1"/>
      <w:marLeft w:val="0"/>
      <w:marRight w:val="0"/>
      <w:marTop w:val="0"/>
      <w:marBottom w:val="0"/>
      <w:divBdr>
        <w:top w:val="none" w:sz="0" w:space="0" w:color="auto"/>
        <w:left w:val="none" w:sz="0" w:space="0" w:color="auto"/>
        <w:bottom w:val="none" w:sz="0" w:space="0" w:color="auto"/>
        <w:right w:val="none" w:sz="0" w:space="0" w:color="auto"/>
      </w:divBdr>
    </w:div>
    <w:div w:id="1270240940">
      <w:bodyDiv w:val="1"/>
      <w:marLeft w:val="0"/>
      <w:marRight w:val="0"/>
      <w:marTop w:val="0"/>
      <w:marBottom w:val="0"/>
      <w:divBdr>
        <w:top w:val="none" w:sz="0" w:space="0" w:color="auto"/>
        <w:left w:val="none" w:sz="0" w:space="0" w:color="auto"/>
        <w:bottom w:val="none" w:sz="0" w:space="0" w:color="auto"/>
        <w:right w:val="none" w:sz="0" w:space="0" w:color="auto"/>
      </w:divBdr>
    </w:div>
    <w:div w:id="1315983966">
      <w:bodyDiv w:val="1"/>
      <w:marLeft w:val="0"/>
      <w:marRight w:val="0"/>
      <w:marTop w:val="0"/>
      <w:marBottom w:val="0"/>
      <w:divBdr>
        <w:top w:val="none" w:sz="0" w:space="0" w:color="auto"/>
        <w:left w:val="none" w:sz="0" w:space="0" w:color="auto"/>
        <w:bottom w:val="none" w:sz="0" w:space="0" w:color="auto"/>
        <w:right w:val="none" w:sz="0" w:space="0" w:color="auto"/>
      </w:divBdr>
    </w:div>
    <w:div w:id="1327392141">
      <w:bodyDiv w:val="1"/>
      <w:marLeft w:val="0"/>
      <w:marRight w:val="0"/>
      <w:marTop w:val="0"/>
      <w:marBottom w:val="0"/>
      <w:divBdr>
        <w:top w:val="none" w:sz="0" w:space="0" w:color="auto"/>
        <w:left w:val="none" w:sz="0" w:space="0" w:color="auto"/>
        <w:bottom w:val="none" w:sz="0" w:space="0" w:color="auto"/>
        <w:right w:val="none" w:sz="0" w:space="0" w:color="auto"/>
      </w:divBdr>
    </w:div>
    <w:div w:id="1334844388">
      <w:bodyDiv w:val="1"/>
      <w:marLeft w:val="0"/>
      <w:marRight w:val="0"/>
      <w:marTop w:val="0"/>
      <w:marBottom w:val="0"/>
      <w:divBdr>
        <w:top w:val="none" w:sz="0" w:space="0" w:color="auto"/>
        <w:left w:val="none" w:sz="0" w:space="0" w:color="auto"/>
        <w:bottom w:val="none" w:sz="0" w:space="0" w:color="auto"/>
        <w:right w:val="none" w:sz="0" w:space="0" w:color="auto"/>
      </w:divBdr>
    </w:div>
    <w:div w:id="1429888661">
      <w:bodyDiv w:val="1"/>
      <w:marLeft w:val="0"/>
      <w:marRight w:val="0"/>
      <w:marTop w:val="0"/>
      <w:marBottom w:val="0"/>
      <w:divBdr>
        <w:top w:val="none" w:sz="0" w:space="0" w:color="auto"/>
        <w:left w:val="none" w:sz="0" w:space="0" w:color="auto"/>
        <w:bottom w:val="none" w:sz="0" w:space="0" w:color="auto"/>
        <w:right w:val="none" w:sz="0" w:space="0" w:color="auto"/>
      </w:divBdr>
    </w:div>
    <w:div w:id="1433091108">
      <w:bodyDiv w:val="1"/>
      <w:marLeft w:val="0"/>
      <w:marRight w:val="0"/>
      <w:marTop w:val="0"/>
      <w:marBottom w:val="0"/>
      <w:divBdr>
        <w:top w:val="none" w:sz="0" w:space="0" w:color="auto"/>
        <w:left w:val="none" w:sz="0" w:space="0" w:color="auto"/>
        <w:bottom w:val="none" w:sz="0" w:space="0" w:color="auto"/>
        <w:right w:val="none" w:sz="0" w:space="0" w:color="auto"/>
      </w:divBdr>
    </w:div>
    <w:div w:id="1433940858">
      <w:bodyDiv w:val="1"/>
      <w:marLeft w:val="0"/>
      <w:marRight w:val="0"/>
      <w:marTop w:val="0"/>
      <w:marBottom w:val="0"/>
      <w:divBdr>
        <w:top w:val="none" w:sz="0" w:space="0" w:color="auto"/>
        <w:left w:val="none" w:sz="0" w:space="0" w:color="auto"/>
        <w:bottom w:val="none" w:sz="0" w:space="0" w:color="auto"/>
        <w:right w:val="none" w:sz="0" w:space="0" w:color="auto"/>
      </w:divBdr>
    </w:div>
    <w:div w:id="1512795053">
      <w:bodyDiv w:val="1"/>
      <w:marLeft w:val="0"/>
      <w:marRight w:val="0"/>
      <w:marTop w:val="0"/>
      <w:marBottom w:val="0"/>
      <w:divBdr>
        <w:top w:val="none" w:sz="0" w:space="0" w:color="auto"/>
        <w:left w:val="none" w:sz="0" w:space="0" w:color="auto"/>
        <w:bottom w:val="none" w:sz="0" w:space="0" w:color="auto"/>
        <w:right w:val="none" w:sz="0" w:space="0" w:color="auto"/>
      </w:divBdr>
    </w:div>
    <w:div w:id="1532761191">
      <w:bodyDiv w:val="1"/>
      <w:marLeft w:val="0"/>
      <w:marRight w:val="0"/>
      <w:marTop w:val="0"/>
      <w:marBottom w:val="0"/>
      <w:divBdr>
        <w:top w:val="none" w:sz="0" w:space="0" w:color="auto"/>
        <w:left w:val="none" w:sz="0" w:space="0" w:color="auto"/>
        <w:bottom w:val="none" w:sz="0" w:space="0" w:color="auto"/>
        <w:right w:val="none" w:sz="0" w:space="0" w:color="auto"/>
      </w:divBdr>
    </w:div>
    <w:div w:id="1562867199">
      <w:bodyDiv w:val="1"/>
      <w:marLeft w:val="0"/>
      <w:marRight w:val="0"/>
      <w:marTop w:val="0"/>
      <w:marBottom w:val="0"/>
      <w:divBdr>
        <w:top w:val="none" w:sz="0" w:space="0" w:color="auto"/>
        <w:left w:val="none" w:sz="0" w:space="0" w:color="auto"/>
        <w:bottom w:val="none" w:sz="0" w:space="0" w:color="auto"/>
        <w:right w:val="none" w:sz="0" w:space="0" w:color="auto"/>
      </w:divBdr>
    </w:div>
    <w:div w:id="1586113474">
      <w:bodyDiv w:val="1"/>
      <w:marLeft w:val="0"/>
      <w:marRight w:val="0"/>
      <w:marTop w:val="0"/>
      <w:marBottom w:val="0"/>
      <w:divBdr>
        <w:top w:val="none" w:sz="0" w:space="0" w:color="auto"/>
        <w:left w:val="none" w:sz="0" w:space="0" w:color="auto"/>
        <w:bottom w:val="none" w:sz="0" w:space="0" w:color="auto"/>
        <w:right w:val="none" w:sz="0" w:space="0" w:color="auto"/>
      </w:divBdr>
    </w:div>
    <w:div w:id="1642495412">
      <w:bodyDiv w:val="1"/>
      <w:marLeft w:val="0"/>
      <w:marRight w:val="0"/>
      <w:marTop w:val="0"/>
      <w:marBottom w:val="0"/>
      <w:divBdr>
        <w:top w:val="none" w:sz="0" w:space="0" w:color="auto"/>
        <w:left w:val="none" w:sz="0" w:space="0" w:color="auto"/>
        <w:bottom w:val="none" w:sz="0" w:space="0" w:color="auto"/>
        <w:right w:val="none" w:sz="0" w:space="0" w:color="auto"/>
      </w:divBdr>
    </w:div>
    <w:div w:id="1648123354">
      <w:bodyDiv w:val="1"/>
      <w:marLeft w:val="0"/>
      <w:marRight w:val="0"/>
      <w:marTop w:val="0"/>
      <w:marBottom w:val="0"/>
      <w:divBdr>
        <w:top w:val="none" w:sz="0" w:space="0" w:color="auto"/>
        <w:left w:val="none" w:sz="0" w:space="0" w:color="auto"/>
        <w:bottom w:val="none" w:sz="0" w:space="0" w:color="auto"/>
        <w:right w:val="none" w:sz="0" w:space="0" w:color="auto"/>
      </w:divBdr>
    </w:div>
    <w:div w:id="1678776011">
      <w:bodyDiv w:val="1"/>
      <w:marLeft w:val="0"/>
      <w:marRight w:val="0"/>
      <w:marTop w:val="0"/>
      <w:marBottom w:val="0"/>
      <w:divBdr>
        <w:top w:val="none" w:sz="0" w:space="0" w:color="auto"/>
        <w:left w:val="none" w:sz="0" w:space="0" w:color="auto"/>
        <w:bottom w:val="none" w:sz="0" w:space="0" w:color="auto"/>
        <w:right w:val="none" w:sz="0" w:space="0" w:color="auto"/>
      </w:divBdr>
    </w:div>
    <w:div w:id="1713072536">
      <w:bodyDiv w:val="1"/>
      <w:marLeft w:val="0"/>
      <w:marRight w:val="0"/>
      <w:marTop w:val="0"/>
      <w:marBottom w:val="0"/>
      <w:divBdr>
        <w:top w:val="none" w:sz="0" w:space="0" w:color="auto"/>
        <w:left w:val="none" w:sz="0" w:space="0" w:color="auto"/>
        <w:bottom w:val="none" w:sz="0" w:space="0" w:color="auto"/>
        <w:right w:val="none" w:sz="0" w:space="0" w:color="auto"/>
      </w:divBdr>
    </w:div>
    <w:div w:id="1812361593">
      <w:bodyDiv w:val="1"/>
      <w:marLeft w:val="0"/>
      <w:marRight w:val="0"/>
      <w:marTop w:val="0"/>
      <w:marBottom w:val="0"/>
      <w:divBdr>
        <w:top w:val="none" w:sz="0" w:space="0" w:color="auto"/>
        <w:left w:val="none" w:sz="0" w:space="0" w:color="auto"/>
        <w:bottom w:val="none" w:sz="0" w:space="0" w:color="auto"/>
        <w:right w:val="none" w:sz="0" w:space="0" w:color="auto"/>
      </w:divBdr>
    </w:div>
    <w:div w:id="1848205788">
      <w:bodyDiv w:val="1"/>
      <w:marLeft w:val="0"/>
      <w:marRight w:val="0"/>
      <w:marTop w:val="0"/>
      <w:marBottom w:val="0"/>
      <w:divBdr>
        <w:top w:val="none" w:sz="0" w:space="0" w:color="auto"/>
        <w:left w:val="none" w:sz="0" w:space="0" w:color="auto"/>
        <w:bottom w:val="none" w:sz="0" w:space="0" w:color="auto"/>
        <w:right w:val="none" w:sz="0" w:space="0" w:color="auto"/>
      </w:divBdr>
    </w:div>
    <w:div w:id="1994094596">
      <w:bodyDiv w:val="1"/>
      <w:marLeft w:val="0"/>
      <w:marRight w:val="0"/>
      <w:marTop w:val="0"/>
      <w:marBottom w:val="0"/>
      <w:divBdr>
        <w:top w:val="none" w:sz="0" w:space="0" w:color="auto"/>
        <w:left w:val="none" w:sz="0" w:space="0" w:color="auto"/>
        <w:bottom w:val="none" w:sz="0" w:space="0" w:color="auto"/>
        <w:right w:val="none" w:sz="0" w:space="0" w:color="auto"/>
      </w:divBdr>
    </w:div>
    <w:div w:id="2029060553">
      <w:bodyDiv w:val="1"/>
      <w:marLeft w:val="0"/>
      <w:marRight w:val="0"/>
      <w:marTop w:val="0"/>
      <w:marBottom w:val="0"/>
      <w:divBdr>
        <w:top w:val="none" w:sz="0" w:space="0" w:color="auto"/>
        <w:left w:val="none" w:sz="0" w:space="0" w:color="auto"/>
        <w:bottom w:val="none" w:sz="0" w:space="0" w:color="auto"/>
        <w:right w:val="none" w:sz="0" w:space="0" w:color="auto"/>
      </w:divBdr>
    </w:div>
    <w:div w:id="2044014822">
      <w:bodyDiv w:val="1"/>
      <w:marLeft w:val="0"/>
      <w:marRight w:val="0"/>
      <w:marTop w:val="0"/>
      <w:marBottom w:val="0"/>
      <w:divBdr>
        <w:top w:val="none" w:sz="0" w:space="0" w:color="auto"/>
        <w:left w:val="none" w:sz="0" w:space="0" w:color="auto"/>
        <w:bottom w:val="none" w:sz="0" w:space="0" w:color="auto"/>
        <w:right w:val="none" w:sz="0" w:space="0" w:color="auto"/>
      </w:divBdr>
    </w:div>
    <w:div w:id="210024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15E5D-4DDB-440E-8FC0-8D580E28A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11774</Words>
  <Characters>67114</Characters>
  <Application>Microsoft Office Word</Application>
  <DocSecurity>0</DocSecurity>
  <Lines>559</Lines>
  <Paragraphs>157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78731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NERED Igor</cp:lastModifiedBy>
  <cp:revision>2</cp:revision>
  <cp:lastPrinted>2019-01-10T14:44:00Z</cp:lastPrinted>
  <dcterms:created xsi:type="dcterms:W3CDTF">2021-02-19T12:21:00Z</dcterms:created>
  <dcterms:modified xsi:type="dcterms:W3CDTF">2021-02-19T12:21:00Z</dcterms:modified>
</cp:coreProperties>
</file>