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0A" w:rsidRPr="00E3425E" w:rsidRDefault="00707D0A" w:rsidP="00E3425E">
      <w:pPr>
        <w:rPr>
          <w:rFonts w:cs="Arial"/>
          <w:szCs w:val="20"/>
          <w:lang w:val="sl-SI"/>
        </w:rPr>
      </w:pPr>
    </w:p>
    <w:p w:rsidR="00E3425E" w:rsidRPr="00E3425E" w:rsidRDefault="00E3425E" w:rsidP="00E3425E">
      <w:pPr>
        <w:rPr>
          <w:rFonts w:cs="Arial"/>
          <w:szCs w:val="20"/>
          <w:lang w:val="sl-SI"/>
        </w:rPr>
      </w:pP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
        <w:gridCol w:w="669"/>
        <w:gridCol w:w="939"/>
        <w:gridCol w:w="3036"/>
        <w:gridCol w:w="3258"/>
        <w:gridCol w:w="96"/>
        <w:gridCol w:w="710"/>
        <w:gridCol w:w="47"/>
      </w:tblGrid>
      <w:tr w:rsidR="00D15B58" w:rsidRPr="00D15B58" w:rsidTr="00E3425E">
        <w:trPr>
          <w:gridBefore w:val="1"/>
          <w:gridAfter w:val="1"/>
          <w:wBefore w:w="34" w:type="dxa"/>
          <w:wAfter w:w="47" w:type="dxa"/>
          <w:trHeight w:val="446"/>
        </w:trPr>
        <w:tc>
          <w:tcPr>
            <w:tcW w:w="1608" w:type="dxa"/>
            <w:gridSpan w:val="2"/>
            <w:tcBorders>
              <w:bottom w:val="single" w:sz="4" w:space="0" w:color="000000"/>
              <w:right w:val="nil"/>
            </w:tcBorders>
            <w:shd w:val="clear" w:color="auto" w:fill="auto"/>
            <w:vAlign w:val="center"/>
          </w:tcPr>
          <w:p w:rsidR="00D15B58" w:rsidRPr="00E3425E" w:rsidRDefault="00D15B58" w:rsidP="003000FA">
            <w:pPr>
              <w:spacing w:line="240" w:lineRule="auto"/>
              <w:rPr>
                <w:rFonts w:cs="Arial"/>
                <w:spacing w:val="-4"/>
                <w:szCs w:val="20"/>
              </w:rPr>
            </w:pPr>
            <w:proofErr w:type="spellStart"/>
            <w:r w:rsidRPr="00E3425E">
              <w:rPr>
                <w:rFonts w:cs="Arial"/>
                <w:spacing w:val="-4"/>
                <w:szCs w:val="20"/>
              </w:rPr>
              <w:t>Številka</w:t>
            </w:r>
            <w:proofErr w:type="spellEnd"/>
            <w:r w:rsidRPr="00E3425E">
              <w:rPr>
                <w:rFonts w:cs="Arial"/>
                <w:spacing w:val="-4"/>
                <w:szCs w:val="20"/>
              </w:rPr>
              <w:t>:</w:t>
            </w:r>
          </w:p>
        </w:tc>
        <w:tc>
          <w:tcPr>
            <w:tcW w:w="3036" w:type="dxa"/>
            <w:tcBorders>
              <w:left w:val="nil"/>
              <w:bottom w:val="single" w:sz="4" w:space="0" w:color="000000"/>
            </w:tcBorders>
            <w:shd w:val="clear" w:color="auto" w:fill="auto"/>
            <w:vAlign w:val="center"/>
          </w:tcPr>
          <w:p w:rsidR="00D15B58" w:rsidRPr="00D15B58" w:rsidRDefault="00D15B58" w:rsidP="003000FA">
            <w:pPr>
              <w:spacing w:line="240" w:lineRule="auto"/>
              <w:rPr>
                <w:rFonts w:cs="Arial"/>
                <w:spacing w:val="-4"/>
                <w:szCs w:val="20"/>
              </w:rPr>
            </w:pPr>
            <w:r w:rsidRPr="00D15B58">
              <w:rPr>
                <w:rFonts w:cs="Arial"/>
                <w:spacing w:val="-4"/>
                <w:szCs w:val="20"/>
              </w:rPr>
              <w:t>35022-5/2019/20 - 10921-05</w:t>
            </w:r>
          </w:p>
        </w:tc>
        <w:tc>
          <w:tcPr>
            <w:tcW w:w="4064" w:type="dxa"/>
            <w:gridSpan w:val="3"/>
            <w:tcBorders>
              <w:top w:val="nil"/>
              <w:bottom w:val="nil"/>
              <w:right w:val="nil"/>
            </w:tcBorders>
            <w:shd w:val="clear" w:color="auto" w:fill="auto"/>
            <w:vAlign w:val="bottom"/>
          </w:tcPr>
          <w:p w:rsidR="00D15B58" w:rsidRPr="00D15B58" w:rsidRDefault="00D15B58" w:rsidP="003000FA">
            <w:pPr>
              <w:spacing w:line="240" w:lineRule="auto"/>
              <w:rPr>
                <w:rFonts w:cs="Arial"/>
                <w:spacing w:val="-4"/>
                <w:szCs w:val="20"/>
              </w:rPr>
            </w:pPr>
            <w:r w:rsidRPr="00D15B58">
              <w:rPr>
                <w:rFonts w:cs="Arial"/>
                <w:spacing w:val="-4"/>
                <w:szCs w:val="20"/>
              </w:rPr>
              <w:t xml:space="preserve">                                             </w:t>
            </w:r>
          </w:p>
        </w:tc>
      </w:tr>
      <w:tr w:rsidR="00D15B58" w:rsidRPr="00E3425E" w:rsidTr="00E3425E">
        <w:trPr>
          <w:gridBefore w:val="1"/>
          <w:gridAfter w:val="4"/>
          <w:wBefore w:w="34" w:type="dxa"/>
          <w:wAfter w:w="4111" w:type="dxa"/>
          <w:trHeight w:val="20"/>
        </w:trPr>
        <w:tc>
          <w:tcPr>
            <w:tcW w:w="1608" w:type="dxa"/>
            <w:gridSpan w:val="2"/>
            <w:tcBorders>
              <w:right w:val="nil"/>
            </w:tcBorders>
            <w:shd w:val="clear" w:color="auto" w:fill="auto"/>
            <w:vAlign w:val="center"/>
          </w:tcPr>
          <w:p w:rsidR="00D15B58" w:rsidRPr="00E3425E" w:rsidRDefault="00D15B58" w:rsidP="00E3425E">
            <w:pPr>
              <w:spacing w:line="240" w:lineRule="auto"/>
              <w:ind w:right="-1"/>
              <w:rPr>
                <w:rFonts w:cs="Arial"/>
                <w:snapToGrid w:val="0"/>
                <w:spacing w:val="-4"/>
                <w:szCs w:val="20"/>
              </w:rPr>
            </w:pPr>
            <w:r w:rsidRPr="00E3425E">
              <w:rPr>
                <w:rFonts w:cs="Arial"/>
                <w:spacing w:val="-4"/>
                <w:szCs w:val="20"/>
              </w:rPr>
              <w:t xml:space="preserve">Ljubljana, </w:t>
            </w:r>
            <w:proofErr w:type="spellStart"/>
            <w:r w:rsidRPr="00E3425E">
              <w:rPr>
                <w:rFonts w:cs="Arial"/>
                <w:spacing w:val="-4"/>
                <w:szCs w:val="20"/>
              </w:rPr>
              <w:t>dne</w:t>
            </w:r>
            <w:proofErr w:type="spellEnd"/>
          </w:p>
        </w:tc>
        <w:tc>
          <w:tcPr>
            <w:tcW w:w="3036" w:type="dxa"/>
            <w:tcBorders>
              <w:left w:val="nil"/>
            </w:tcBorders>
            <w:shd w:val="clear" w:color="auto" w:fill="auto"/>
            <w:vAlign w:val="center"/>
          </w:tcPr>
          <w:p w:rsidR="00D15B58" w:rsidRPr="0084218A" w:rsidRDefault="00D15B58" w:rsidP="006154EE">
            <w:pPr>
              <w:ind w:right="-1"/>
              <w:rPr>
                <w:rFonts w:cs="Arial"/>
                <w:snapToGrid w:val="0"/>
                <w:color w:val="FF0000"/>
              </w:rPr>
            </w:pPr>
            <w:r w:rsidRPr="0084218A">
              <w:rPr>
                <w:rFonts w:cs="Arial"/>
              </w:rPr>
              <w:t>09. 06. 2020</w:t>
            </w:r>
          </w:p>
        </w:tc>
      </w:tr>
      <w:tr w:rsidR="00E3425E" w:rsidRPr="00E3425E" w:rsidTr="00E3425E">
        <w:trPr>
          <w:gridBefore w:val="1"/>
          <w:gridAfter w:val="4"/>
          <w:wBefore w:w="34" w:type="dxa"/>
          <w:wAfter w:w="4111" w:type="dxa"/>
          <w:trHeight w:val="1343"/>
        </w:trPr>
        <w:tc>
          <w:tcPr>
            <w:tcW w:w="4644" w:type="dxa"/>
            <w:gridSpan w:val="3"/>
            <w:shd w:val="clear" w:color="auto" w:fill="auto"/>
            <w:vAlign w:val="center"/>
          </w:tcPr>
          <w:p w:rsidR="00E3425E" w:rsidRPr="00E3425E" w:rsidRDefault="00E3425E" w:rsidP="007F364D">
            <w:pPr>
              <w:spacing w:line="240" w:lineRule="auto"/>
              <w:ind w:right="-1"/>
              <w:rPr>
                <w:rFonts w:cs="Arial"/>
                <w:snapToGrid w:val="0"/>
                <w:color w:val="000000"/>
                <w:szCs w:val="20"/>
              </w:rPr>
            </w:pPr>
            <w:r w:rsidRPr="00E3425E">
              <w:rPr>
                <w:rFonts w:cs="Arial"/>
                <w:snapToGrid w:val="0"/>
                <w:color w:val="000000"/>
                <w:szCs w:val="20"/>
              </w:rPr>
              <w:t>GENERALNI  SEKRETARIAT  VLADE REPUBLIKE  SLOVENIJE</w:t>
            </w:r>
          </w:p>
          <w:p w:rsidR="00E3425E" w:rsidRPr="00E3425E" w:rsidRDefault="00671D81" w:rsidP="007F364D">
            <w:pPr>
              <w:spacing w:line="240" w:lineRule="auto"/>
              <w:ind w:right="-1"/>
              <w:rPr>
                <w:rFonts w:cs="Arial"/>
                <w:snapToGrid w:val="0"/>
                <w:color w:val="000000"/>
                <w:szCs w:val="20"/>
                <w:highlight w:val="yellow"/>
              </w:rPr>
            </w:pPr>
            <w:hyperlink r:id="rId9" w:history="1">
              <w:r w:rsidR="00E3425E" w:rsidRPr="00E3425E">
                <w:rPr>
                  <w:rStyle w:val="Hiperpovezava"/>
                  <w:rFonts w:cs="Arial"/>
                  <w:snapToGrid w:val="0"/>
                  <w:szCs w:val="20"/>
                </w:rPr>
                <w:t>gp.gs@gov.si</w:t>
              </w:r>
            </w:hyperlink>
          </w:p>
        </w:tc>
        <w:bookmarkStart w:id="0" w:name="_GoBack"/>
        <w:bookmarkEnd w:id="0"/>
      </w:tr>
      <w:tr w:rsidR="00E3425E" w:rsidRPr="00E3425E" w:rsidTr="00E3425E">
        <w:trPr>
          <w:gridBefore w:val="1"/>
          <w:gridAfter w:val="1"/>
          <w:wBefore w:w="34" w:type="dxa"/>
          <w:wAfter w:w="47" w:type="dxa"/>
          <w:trHeight w:val="1180"/>
        </w:trPr>
        <w:tc>
          <w:tcPr>
            <w:tcW w:w="1608" w:type="dxa"/>
            <w:gridSpan w:val="2"/>
            <w:tcBorders>
              <w:top w:val="single" w:sz="4" w:space="0" w:color="auto"/>
              <w:left w:val="single" w:sz="4" w:space="0" w:color="auto"/>
              <w:bottom w:val="single" w:sz="4" w:space="0" w:color="auto"/>
              <w:right w:val="nil"/>
            </w:tcBorders>
            <w:shd w:val="clear" w:color="auto" w:fill="auto"/>
            <w:vAlign w:val="center"/>
          </w:tcPr>
          <w:p w:rsidR="00E3425E" w:rsidRPr="00E3425E" w:rsidRDefault="00E3425E" w:rsidP="00E3425E">
            <w:pPr>
              <w:pStyle w:val="Naslov1"/>
              <w:rPr>
                <w:rFonts w:cs="Arial"/>
                <w:sz w:val="20"/>
                <w:szCs w:val="20"/>
                <w:highlight w:val="yellow"/>
              </w:rPr>
            </w:pPr>
            <w:r w:rsidRPr="00E3425E">
              <w:rPr>
                <w:rFonts w:cs="Arial"/>
                <w:sz w:val="20"/>
                <w:szCs w:val="20"/>
              </w:rPr>
              <w:t xml:space="preserve">Zadeva: </w:t>
            </w:r>
          </w:p>
        </w:tc>
        <w:tc>
          <w:tcPr>
            <w:tcW w:w="7100" w:type="dxa"/>
            <w:gridSpan w:val="4"/>
            <w:tcBorders>
              <w:top w:val="single" w:sz="4" w:space="0" w:color="auto"/>
              <w:left w:val="nil"/>
              <w:bottom w:val="single" w:sz="4" w:space="0" w:color="auto"/>
              <w:right w:val="single" w:sz="4" w:space="0" w:color="auto"/>
            </w:tcBorders>
            <w:shd w:val="clear" w:color="auto" w:fill="auto"/>
            <w:vAlign w:val="center"/>
          </w:tcPr>
          <w:p w:rsidR="00E3425E" w:rsidRPr="00E3425E" w:rsidRDefault="00E3425E" w:rsidP="007F364D">
            <w:pPr>
              <w:jc w:val="both"/>
              <w:rPr>
                <w:rFonts w:cs="Arial"/>
                <w:b/>
                <w:szCs w:val="20"/>
              </w:rPr>
            </w:pPr>
            <w:proofErr w:type="spellStart"/>
            <w:r w:rsidRPr="00E3425E">
              <w:rPr>
                <w:rFonts w:cs="Arial"/>
                <w:b/>
                <w:szCs w:val="20"/>
              </w:rPr>
              <w:t>Soglasje</w:t>
            </w:r>
            <w:proofErr w:type="spellEnd"/>
            <w:r w:rsidRPr="00E3425E">
              <w:rPr>
                <w:rFonts w:cs="Arial"/>
                <w:b/>
                <w:szCs w:val="20"/>
              </w:rPr>
              <w:t xml:space="preserve"> k </w:t>
            </w:r>
            <w:proofErr w:type="spellStart"/>
            <w:r w:rsidRPr="00E3425E">
              <w:rPr>
                <w:rFonts w:cs="Arial"/>
                <w:b/>
                <w:szCs w:val="20"/>
              </w:rPr>
              <w:t>pobudi</w:t>
            </w:r>
            <w:proofErr w:type="spellEnd"/>
            <w:r w:rsidRPr="00E3425E">
              <w:rPr>
                <w:rFonts w:cs="Arial"/>
                <w:b/>
                <w:szCs w:val="20"/>
              </w:rPr>
              <w:t xml:space="preserve"> </w:t>
            </w:r>
            <w:proofErr w:type="spellStart"/>
            <w:r w:rsidRPr="00E3425E">
              <w:rPr>
                <w:rFonts w:cs="Arial"/>
                <w:b/>
                <w:szCs w:val="20"/>
              </w:rPr>
              <w:t>Občine</w:t>
            </w:r>
            <w:proofErr w:type="spellEnd"/>
            <w:r w:rsidRPr="00E3425E">
              <w:rPr>
                <w:rFonts w:cs="Arial"/>
                <w:b/>
                <w:szCs w:val="20"/>
              </w:rPr>
              <w:t xml:space="preserve"> </w:t>
            </w:r>
            <w:proofErr w:type="spellStart"/>
            <w:r w:rsidRPr="00E3425E">
              <w:rPr>
                <w:rFonts w:cs="Arial"/>
                <w:b/>
                <w:szCs w:val="20"/>
              </w:rPr>
              <w:t>Lenart</w:t>
            </w:r>
            <w:proofErr w:type="spellEnd"/>
            <w:r w:rsidRPr="00E3425E">
              <w:rPr>
                <w:rFonts w:cs="Arial"/>
                <w:b/>
                <w:szCs w:val="20"/>
              </w:rPr>
              <w:t xml:space="preserve"> </w:t>
            </w:r>
            <w:proofErr w:type="spellStart"/>
            <w:r w:rsidRPr="00E3425E">
              <w:rPr>
                <w:rFonts w:cs="Arial"/>
                <w:b/>
                <w:szCs w:val="20"/>
              </w:rPr>
              <w:t>za</w:t>
            </w:r>
            <w:proofErr w:type="spellEnd"/>
            <w:r w:rsidRPr="00E3425E">
              <w:rPr>
                <w:rFonts w:cs="Arial"/>
                <w:b/>
                <w:szCs w:val="20"/>
              </w:rPr>
              <w:t xml:space="preserve"> </w:t>
            </w:r>
            <w:proofErr w:type="spellStart"/>
            <w:r w:rsidRPr="00E3425E">
              <w:rPr>
                <w:rFonts w:cs="Arial"/>
                <w:b/>
                <w:szCs w:val="20"/>
              </w:rPr>
              <w:t>načrtovanje</w:t>
            </w:r>
            <w:proofErr w:type="spellEnd"/>
            <w:r w:rsidRPr="00E3425E">
              <w:rPr>
                <w:rFonts w:cs="Arial"/>
                <w:b/>
                <w:szCs w:val="20"/>
              </w:rPr>
              <w:t xml:space="preserve"> </w:t>
            </w:r>
            <w:proofErr w:type="spellStart"/>
            <w:r w:rsidRPr="00E3425E">
              <w:rPr>
                <w:rFonts w:cs="Arial"/>
                <w:b/>
                <w:szCs w:val="20"/>
              </w:rPr>
              <w:t>prostorskih</w:t>
            </w:r>
            <w:proofErr w:type="spellEnd"/>
            <w:r w:rsidRPr="00E3425E">
              <w:rPr>
                <w:rFonts w:cs="Arial"/>
                <w:b/>
                <w:szCs w:val="20"/>
              </w:rPr>
              <w:t xml:space="preserve"> </w:t>
            </w:r>
            <w:proofErr w:type="spellStart"/>
            <w:r w:rsidRPr="00E3425E">
              <w:rPr>
                <w:rFonts w:cs="Arial"/>
                <w:b/>
                <w:szCs w:val="20"/>
              </w:rPr>
              <w:t>ureditev</w:t>
            </w:r>
            <w:proofErr w:type="spellEnd"/>
            <w:r w:rsidRPr="00E3425E">
              <w:rPr>
                <w:rFonts w:cs="Arial"/>
                <w:b/>
                <w:szCs w:val="20"/>
              </w:rPr>
              <w:t xml:space="preserve"> </w:t>
            </w:r>
            <w:proofErr w:type="spellStart"/>
            <w:r w:rsidRPr="00E3425E">
              <w:rPr>
                <w:rFonts w:cs="Arial"/>
                <w:b/>
                <w:szCs w:val="20"/>
              </w:rPr>
              <w:t>lokalnega</w:t>
            </w:r>
            <w:proofErr w:type="spellEnd"/>
            <w:r w:rsidRPr="00E3425E">
              <w:rPr>
                <w:rFonts w:cs="Arial"/>
                <w:b/>
                <w:szCs w:val="20"/>
              </w:rPr>
              <w:t xml:space="preserve"> </w:t>
            </w:r>
            <w:proofErr w:type="spellStart"/>
            <w:r w:rsidRPr="00E3425E">
              <w:rPr>
                <w:rFonts w:cs="Arial"/>
                <w:b/>
                <w:szCs w:val="20"/>
              </w:rPr>
              <w:t>pomena</w:t>
            </w:r>
            <w:proofErr w:type="spellEnd"/>
            <w:r w:rsidRPr="00E3425E">
              <w:rPr>
                <w:rFonts w:cs="Arial"/>
                <w:b/>
                <w:szCs w:val="20"/>
              </w:rPr>
              <w:t xml:space="preserve"> v </w:t>
            </w:r>
            <w:proofErr w:type="spellStart"/>
            <w:r w:rsidRPr="00E3425E">
              <w:rPr>
                <w:rFonts w:cs="Arial"/>
                <w:b/>
                <w:szCs w:val="20"/>
              </w:rPr>
              <w:t>območjih</w:t>
            </w:r>
            <w:proofErr w:type="spellEnd"/>
            <w:r w:rsidRPr="00E3425E">
              <w:rPr>
                <w:rFonts w:cs="Arial"/>
                <w:b/>
                <w:szCs w:val="20"/>
              </w:rPr>
              <w:t xml:space="preserve"> </w:t>
            </w:r>
            <w:proofErr w:type="spellStart"/>
            <w:r w:rsidRPr="00E3425E">
              <w:rPr>
                <w:rFonts w:cs="Arial"/>
                <w:b/>
                <w:szCs w:val="20"/>
              </w:rPr>
              <w:t>državnih</w:t>
            </w:r>
            <w:proofErr w:type="spellEnd"/>
            <w:r w:rsidRPr="00E3425E">
              <w:rPr>
                <w:rFonts w:cs="Arial"/>
                <w:b/>
                <w:szCs w:val="20"/>
              </w:rPr>
              <w:t xml:space="preserve"> </w:t>
            </w:r>
            <w:proofErr w:type="spellStart"/>
            <w:r w:rsidRPr="00E3425E">
              <w:rPr>
                <w:rFonts w:cs="Arial"/>
                <w:b/>
                <w:szCs w:val="20"/>
              </w:rPr>
              <w:t>prostorskih</w:t>
            </w:r>
            <w:proofErr w:type="spellEnd"/>
            <w:r w:rsidRPr="00E3425E">
              <w:rPr>
                <w:rFonts w:cs="Arial"/>
                <w:b/>
                <w:szCs w:val="20"/>
              </w:rPr>
              <w:t xml:space="preserve"> </w:t>
            </w:r>
            <w:proofErr w:type="spellStart"/>
            <w:r w:rsidRPr="00E3425E">
              <w:rPr>
                <w:rFonts w:cs="Arial"/>
                <w:b/>
                <w:szCs w:val="20"/>
              </w:rPr>
              <w:t>načrtov</w:t>
            </w:r>
            <w:proofErr w:type="spellEnd"/>
            <w:r w:rsidRPr="00E3425E">
              <w:rPr>
                <w:rFonts w:cs="Arial"/>
                <w:b/>
                <w:szCs w:val="20"/>
              </w:rPr>
              <w:t xml:space="preserve"> </w:t>
            </w:r>
            <w:proofErr w:type="spellStart"/>
            <w:r w:rsidRPr="00E3425E">
              <w:rPr>
                <w:rFonts w:cs="Arial"/>
                <w:b/>
                <w:szCs w:val="20"/>
              </w:rPr>
              <w:t>za</w:t>
            </w:r>
            <w:proofErr w:type="spellEnd"/>
            <w:r w:rsidRPr="00E3425E">
              <w:rPr>
                <w:rFonts w:cs="Arial"/>
                <w:b/>
                <w:szCs w:val="20"/>
              </w:rPr>
              <w:t xml:space="preserve"> </w:t>
            </w:r>
            <w:proofErr w:type="spellStart"/>
            <w:r w:rsidRPr="00E3425E">
              <w:rPr>
                <w:rFonts w:cs="Arial"/>
                <w:b/>
                <w:szCs w:val="20"/>
              </w:rPr>
              <w:t>avtocesto</w:t>
            </w:r>
            <w:proofErr w:type="spellEnd"/>
            <w:r w:rsidRPr="00E3425E">
              <w:rPr>
                <w:rFonts w:cs="Arial"/>
                <w:b/>
                <w:szCs w:val="20"/>
              </w:rPr>
              <w:t xml:space="preserve"> </w:t>
            </w:r>
            <w:proofErr w:type="spellStart"/>
            <w:r w:rsidRPr="00E3425E">
              <w:rPr>
                <w:rFonts w:cs="Arial"/>
                <w:b/>
                <w:szCs w:val="20"/>
              </w:rPr>
              <w:t>na</w:t>
            </w:r>
            <w:proofErr w:type="spellEnd"/>
            <w:r w:rsidRPr="00E3425E">
              <w:rPr>
                <w:rFonts w:cs="Arial"/>
                <w:b/>
                <w:szCs w:val="20"/>
              </w:rPr>
              <w:t xml:space="preserve"> </w:t>
            </w:r>
            <w:proofErr w:type="spellStart"/>
            <w:r w:rsidRPr="00E3425E">
              <w:rPr>
                <w:rFonts w:cs="Arial"/>
                <w:b/>
                <w:szCs w:val="20"/>
              </w:rPr>
              <w:t>odsekih</w:t>
            </w:r>
            <w:proofErr w:type="spellEnd"/>
            <w:r w:rsidRPr="00E3425E">
              <w:rPr>
                <w:rFonts w:cs="Arial"/>
                <w:b/>
                <w:szCs w:val="20"/>
              </w:rPr>
              <w:t xml:space="preserve"> Maribor–</w:t>
            </w:r>
            <w:proofErr w:type="spellStart"/>
            <w:r w:rsidRPr="00E3425E">
              <w:rPr>
                <w:rFonts w:cs="Arial"/>
                <w:b/>
                <w:szCs w:val="20"/>
              </w:rPr>
              <w:t>Lenart</w:t>
            </w:r>
            <w:proofErr w:type="spellEnd"/>
            <w:r w:rsidRPr="00E3425E">
              <w:rPr>
                <w:rFonts w:cs="Arial"/>
                <w:b/>
                <w:szCs w:val="20"/>
              </w:rPr>
              <w:t xml:space="preserve"> in </w:t>
            </w:r>
            <w:proofErr w:type="spellStart"/>
            <w:r w:rsidRPr="00E3425E">
              <w:rPr>
                <w:rFonts w:cs="Arial"/>
                <w:b/>
                <w:szCs w:val="20"/>
              </w:rPr>
              <w:t>Lenart</w:t>
            </w:r>
            <w:proofErr w:type="spellEnd"/>
            <w:r w:rsidRPr="00E3425E">
              <w:rPr>
                <w:rFonts w:cs="Arial"/>
                <w:b/>
                <w:szCs w:val="20"/>
              </w:rPr>
              <w:t>–</w:t>
            </w:r>
            <w:proofErr w:type="spellStart"/>
            <w:r w:rsidRPr="00E3425E">
              <w:rPr>
                <w:rFonts w:cs="Arial"/>
                <w:b/>
                <w:szCs w:val="20"/>
              </w:rPr>
              <w:t>Spodnja</w:t>
            </w:r>
            <w:proofErr w:type="spellEnd"/>
            <w:r w:rsidRPr="00E3425E">
              <w:rPr>
                <w:rFonts w:cs="Arial"/>
                <w:b/>
                <w:szCs w:val="20"/>
              </w:rPr>
              <w:t xml:space="preserve"> </w:t>
            </w:r>
            <w:proofErr w:type="spellStart"/>
            <w:r w:rsidRPr="00E3425E">
              <w:rPr>
                <w:rFonts w:cs="Arial"/>
                <w:b/>
                <w:szCs w:val="20"/>
              </w:rPr>
              <w:t>Senarska</w:t>
            </w:r>
            <w:proofErr w:type="spellEnd"/>
            <w:r w:rsidRPr="00E3425E">
              <w:rPr>
                <w:rFonts w:cs="Arial"/>
                <w:b/>
                <w:szCs w:val="20"/>
              </w:rPr>
              <w:t xml:space="preserve"> – </w:t>
            </w:r>
            <w:proofErr w:type="spellStart"/>
            <w:r w:rsidRPr="00E3425E">
              <w:rPr>
                <w:rFonts w:cs="Arial"/>
                <w:b/>
                <w:szCs w:val="20"/>
              </w:rPr>
              <w:t>predlog</w:t>
            </w:r>
            <w:proofErr w:type="spellEnd"/>
            <w:r w:rsidRPr="00E3425E">
              <w:rPr>
                <w:rFonts w:cs="Arial"/>
                <w:b/>
                <w:szCs w:val="20"/>
              </w:rPr>
              <w:t xml:space="preserve"> </w:t>
            </w:r>
            <w:proofErr w:type="spellStart"/>
            <w:r w:rsidRPr="00E3425E">
              <w:rPr>
                <w:rFonts w:cs="Arial"/>
                <w:b/>
                <w:szCs w:val="20"/>
              </w:rPr>
              <w:t>za</w:t>
            </w:r>
            <w:proofErr w:type="spellEnd"/>
            <w:r w:rsidRPr="00E3425E">
              <w:rPr>
                <w:rFonts w:cs="Arial"/>
                <w:b/>
                <w:szCs w:val="20"/>
              </w:rPr>
              <w:t xml:space="preserve"> </w:t>
            </w:r>
            <w:proofErr w:type="spellStart"/>
            <w:r w:rsidRPr="00E3425E">
              <w:rPr>
                <w:rFonts w:cs="Arial"/>
                <w:b/>
                <w:szCs w:val="20"/>
              </w:rPr>
              <w:t>obravnavo</w:t>
            </w:r>
            <w:proofErr w:type="spellEnd"/>
          </w:p>
        </w:tc>
      </w:tr>
      <w:tr w:rsidR="00E3425E" w:rsidRPr="00E3425E"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 xml:space="preserve">  1.</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Predlog sklepov vlade:</w:t>
            </w:r>
          </w:p>
        </w:tc>
      </w:tr>
      <w:tr w:rsidR="00E3425E" w:rsidRPr="00E3425E"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E3425E" w:rsidRDefault="00E3425E" w:rsidP="007F364D">
            <w:pPr>
              <w:pStyle w:val="Telobesedila"/>
              <w:ind w:right="-1"/>
              <w:rPr>
                <w:rFonts w:ascii="Arial" w:hAnsi="Arial" w:cs="Arial"/>
                <w:b/>
                <w:bCs/>
                <w:sz w:val="20"/>
                <w:szCs w:val="20"/>
                <w:lang w:eastAsia="sl-SI"/>
              </w:rPr>
            </w:pPr>
            <w:r w:rsidRPr="00E3425E">
              <w:rPr>
                <w:rFonts w:ascii="Arial" w:hAnsi="Arial" w:cs="Arial"/>
                <w:bCs/>
                <w:sz w:val="20"/>
                <w:szCs w:val="20"/>
                <w:lang w:eastAsia="sl-SI"/>
              </w:rPr>
              <w:t xml:space="preserve">Na podlagi tretjega odstavka 82. člena Zakona o urejanju prostora (Uradni list RS, št. 61/17) je Vlada Republike Slovenije na … seji dne … pod točko … sprejela naslednji </w:t>
            </w:r>
          </w:p>
          <w:p w:rsidR="00E3425E" w:rsidRPr="00E3425E" w:rsidRDefault="00E3425E" w:rsidP="007F364D">
            <w:pPr>
              <w:pStyle w:val="Telobesedila"/>
              <w:ind w:right="-1"/>
              <w:rPr>
                <w:rFonts w:ascii="Arial" w:hAnsi="Arial" w:cs="Arial"/>
                <w:b/>
                <w:bCs/>
                <w:sz w:val="20"/>
                <w:szCs w:val="20"/>
                <w:lang w:eastAsia="sl-SI"/>
              </w:rPr>
            </w:pPr>
          </w:p>
          <w:p w:rsidR="00E3425E" w:rsidRPr="00E3425E" w:rsidRDefault="00E3425E" w:rsidP="007F364D">
            <w:pPr>
              <w:pStyle w:val="Telobesedila"/>
              <w:ind w:right="-1"/>
              <w:jc w:val="center"/>
              <w:rPr>
                <w:rFonts w:ascii="Arial" w:hAnsi="Arial" w:cs="Arial"/>
                <w:b/>
                <w:bCs/>
                <w:sz w:val="20"/>
                <w:szCs w:val="20"/>
                <w:lang w:eastAsia="sl-SI"/>
              </w:rPr>
            </w:pPr>
            <w:r w:rsidRPr="00E3425E">
              <w:rPr>
                <w:rFonts w:ascii="Arial" w:hAnsi="Arial" w:cs="Arial"/>
                <w:bCs/>
                <w:sz w:val="20"/>
                <w:szCs w:val="20"/>
                <w:lang w:eastAsia="sl-SI"/>
              </w:rPr>
              <w:t>SKLEP:</w:t>
            </w:r>
          </w:p>
          <w:p w:rsidR="00E3425E" w:rsidRPr="00E3425E" w:rsidRDefault="00E3425E" w:rsidP="007F364D">
            <w:pPr>
              <w:pStyle w:val="Telobesedila"/>
              <w:ind w:right="-1"/>
              <w:rPr>
                <w:rFonts w:ascii="Arial" w:hAnsi="Arial" w:cs="Arial"/>
                <w:b/>
                <w:bCs/>
                <w:sz w:val="20"/>
                <w:szCs w:val="20"/>
                <w:lang w:eastAsia="sl-SI"/>
              </w:rPr>
            </w:pPr>
          </w:p>
          <w:p w:rsidR="00E3425E" w:rsidRPr="00E3425E" w:rsidRDefault="00E3425E" w:rsidP="00E3425E">
            <w:pPr>
              <w:pStyle w:val="Odstavekseznama"/>
              <w:numPr>
                <w:ilvl w:val="0"/>
                <w:numId w:val="26"/>
              </w:numPr>
              <w:ind w:left="567" w:hanging="425"/>
              <w:jc w:val="both"/>
              <w:rPr>
                <w:rFonts w:cs="Arial"/>
                <w:bCs/>
                <w:szCs w:val="20"/>
                <w:lang w:eastAsia="sl-SI"/>
              </w:rPr>
            </w:pPr>
            <w:r w:rsidRPr="00E3425E">
              <w:rPr>
                <w:rFonts w:cs="Arial"/>
                <w:bCs/>
                <w:szCs w:val="20"/>
                <w:lang w:eastAsia="sl-SI"/>
              </w:rPr>
              <w:t xml:space="preserve">Vlada Republike Slovenije je izdala Občini Lenart soglasje za načrtovanje prostorskih ureditev lokalnega pomena v območju Lokacijskega načrta za odsek avtoceste Maribor – Lenart, na zemljiščih oziroma delih zemljišč s </w:t>
            </w:r>
            <w:proofErr w:type="spellStart"/>
            <w:r w:rsidRPr="00E3425E">
              <w:rPr>
                <w:rFonts w:cs="Arial"/>
                <w:bCs/>
                <w:szCs w:val="20"/>
                <w:lang w:eastAsia="sl-SI"/>
              </w:rPr>
              <w:t>parc</w:t>
            </w:r>
            <w:proofErr w:type="spellEnd"/>
            <w:r w:rsidRPr="00E3425E">
              <w:rPr>
                <w:rFonts w:cs="Arial"/>
                <w:bCs/>
                <w:szCs w:val="20"/>
                <w:lang w:eastAsia="sl-SI"/>
              </w:rPr>
              <w:t>. št. 99/1, 99/2, 99/3, 101/1, 101/2, 102/1, 102/2, 102/3, 102/4, 103, 104/1, 104/3, 104/4, 106/3, 106/4, 106/5, 106/11, 106/12, 107, 111/5, 111/7, 113/1, 113/2, 113/3, 113/4, 114/1, 115/2, 116/2, 116/4, 116/5, 118/1, 118/2, 118/3, 118/4, 119/3, 120/1, 120/2, 123/1, 123/2, 125/2, 128/3, 132/2, 133/5, 134/3, 134/4, 136/3, 136/9, 136/15, 137/3, 138/3, 139/1, 143/1, 143/2, 143/3, 144/1, 144/3, 144/4, 144/7, 150/4, 150/8, 151/6, 151/8, 151/9, 152/4, 155/5, 294/2, 302/1, 302/13, 302/17, 302/18, 302/19, 303/2, 303/11, 306/2, 306/5, 306/8, 306/9, 308/4, 308/6, 308/7, 311/5, 311/7, 311/8, 311/9, 311/12, 311/3, 311/4, 313/4, 313/5, 313/6, 313/9, 313/10, 318/1, 318/4, 318/5, 318/8, 324/7, 325/3, 326/2, 326/3, 328/3, 328/5, 329/15,  329/17, 330/2, 330/3, 330/4, 330/7, 330/8, 330/9, 330/16, 334/6, 334/14, 334/25, 335/2, 335/8, 335/9, 335/14, 335/15, 336/1, 339/1, 339/5, 340/1, 340/2, 340/6, 340/7, 341/1, 341/3, 341/5, 341/6, 341/7, 344/1, 344/4, 344/6, 344/8, 344/9, 344/10, 344/11, 344/12, 344/13, 344/14, 344/19, 345/3, 345/4, 345/6, 345/7, 346/1, 348/2, 349/31, 349/34, 349/35, 349/37, 349/39, 349/40, 350/1, 350/8, 350/9, 351/1, 351/7, 355/1, 355/2 in 356, vsa v k.o. Močna (551).</w:t>
            </w:r>
          </w:p>
          <w:p w:rsidR="00E3425E" w:rsidRPr="00E3425E" w:rsidRDefault="00E3425E" w:rsidP="007F364D">
            <w:pPr>
              <w:pStyle w:val="Telobesedila"/>
              <w:ind w:left="567" w:right="-1"/>
              <w:rPr>
                <w:rFonts w:ascii="Arial" w:hAnsi="Arial" w:cs="Arial"/>
                <w:b/>
                <w:bCs/>
                <w:sz w:val="20"/>
                <w:szCs w:val="20"/>
                <w:lang w:eastAsia="sl-SI"/>
              </w:rPr>
            </w:pPr>
          </w:p>
          <w:p w:rsidR="00E3425E" w:rsidRPr="00E3425E" w:rsidRDefault="00E3425E" w:rsidP="00E3425E">
            <w:pPr>
              <w:pStyle w:val="Odstavekseznama"/>
              <w:numPr>
                <w:ilvl w:val="0"/>
                <w:numId w:val="26"/>
              </w:numPr>
              <w:ind w:left="567" w:hanging="425"/>
              <w:jc w:val="both"/>
              <w:rPr>
                <w:rFonts w:cs="Arial"/>
                <w:bCs/>
                <w:szCs w:val="20"/>
                <w:lang w:eastAsia="sl-SI"/>
              </w:rPr>
            </w:pPr>
            <w:r w:rsidRPr="00E3425E">
              <w:rPr>
                <w:rFonts w:cs="Arial"/>
                <w:bCs/>
                <w:szCs w:val="20"/>
                <w:lang w:eastAsia="sl-SI"/>
              </w:rPr>
              <w:t xml:space="preserve">Vlada Republike Slovenije je izdala Občini Lenart soglasje za načrtovanje prostorskih ureditev lokalnega pomena v območju Lokacijskega načrta za odsek avtoceste Maribor – Lenart, na zemljiščih oziroma delih zemljišč s </w:t>
            </w:r>
            <w:proofErr w:type="spellStart"/>
            <w:r w:rsidRPr="00E3425E">
              <w:rPr>
                <w:rFonts w:cs="Arial"/>
                <w:bCs/>
                <w:szCs w:val="20"/>
                <w:lang w:eastAsia="sl-SI"/>
              </w:rPr>
              <w:t>parc</w:t>
            </w:r>
            <w:proofErr w:type="spellEnd"/>
            <w:r w:rsidRPr="00E3425E">
              <w:rPr>
                <w:rFonts w:cs="Arial"/>
                <w:bCs/>
                <w:szCs w:val="20"/>
                <w:lang w:eastAsia="sl-SI"/>
              </w:rPr>
              <w:t>. št. 1298/9, 1302/5, 1302/6, 1302/8, 1302/9, 1306/4, 1306/9, 1306/10, 1306/11, 1306/12, 1306/13, 1309/1, 1309/2, 1309/4, 1325/6, 1325/9, 1325/12, 1325/13, 1325/14, 1325/16, 1325/18, 1326/1, 1326/5, 1327, 1340/6, 1340/7, 1340/9, 1340/15 in 1340/16, vsa v k.o. Partinje (530).</w:t>
            </w:r>
          </w:p>
          <w:p w:rsidR="00E3425E" w:rsidRPr="00E3425E" w:rsidRDefault="00E3425E" w:rsidP="007F364D">
            <w:pPr>
              <w:pStyle w:val="Telobesedila"/>
              <w:ind w:right="-1"/>
              <w:rPr>
                <w:rFonts w:ascii="Arial" w:hAnsi="Arial" w:cs="Arial"/>
                <w:b/>
                <w:bCs/>
                <w:sz w:val="20"/>
                <w:szCs w:val="20"/>
                <w:lang w:eastAsia="sl-SI"/>
              </w:rPr>
            </w:pPr>
          </w:p>
          <w:p w:rsidR="00E3425E" w:rsidRPr="00E3425E" w:rsidRDefault="00E3425E" w:rsidP="00E3425E">
            <w:pPr>
              <w:pStyle w:val="Odstavekseznama"/>
              <w:numPr>
                <w:ilvl w:val="0"/>
                <w:numId w:val="26"/>
              </w:numPr>
              <w:ind w:right="-1"/>
              <w:jc w:val="both"/>
              <w:rPr>
                <w:rFonts w:cs="Arial"/>
                <w:bCs/>
                <w:szCs w:val="20"/>
                <w:lang w:eastAsia="sl-SI"/>
              </w:rPr>
            </w:pPr>
            <w:r w:rsidRPr="00E3425E">
              <w:rPr>
                <w:rFonts w:cs="Arial"/>
                <w:bCs/>
                <w:szCs w:val="20"/>
                <w:lang w:eastAsia="sl-SI"/>
              </w:rPr>
              <w:lastRenderedPageBreak/>
              <w:t xml:space="preserve">Vlada Republike Slovenije je izdala Občini Lenart soglasje za načrtovanje prostorskih ureditev lokalnega pomena v območju Lokacijskega načrta za odsek avtoceste Maribor – Lenart, na zemljiščih oziroma delih zemljišč s </w:t>
            </w:r>
            <w:proofErr w:type="spellStart"/>
            <w:r w:rsidRPr="00E3425E">
              <w:rPr>
                <w:rFonts w:cs="Arial"/>
                <w:bCs/>
                <w:szCs w:val="20"/>
                <w:lang w:eastAsia="sl-SI"/>
              </w:rPr>
              <w:t>parc</w:t>
            </w:r>
            <w:proofErr w:type="spellEnd"/>
            <w:r w:rsidRPr="00E3425E">
              <w:rPr>
                <w:rFonts w:cs="Arial"/>
                <w:bCs/>
                <w:szCs w:val="20"/>
                <w:lang w:eastAsia="sl-SI"/>
              </w:rPr>
              <w:t>. št. 916/6, 917/7, 917/8, 1252/3, 1252/6, 1253/4, 1253/6, 1254/3, 1254/11, 1254/12, 1254/15, 1254/17, 1254/19, 1257/12, 1257/13, 1261/1, 1261/2, 1261/11, 1261/12, 1261/14, 1261/15, 1261/16, 1261/17, 1261/18, 1261/19, 1261/20, 1261/22, 1261/23, 1265/4, 1265/5, 1265/13, 1265/14, 1271/3, 1271/4, 1272/2, 1274/1, 1275/5, 1275/7, 1288/2, 1288/3, 1288/6, 1292/5, 1292/7, 1292/8, 1292/9, 1292/10, 1292/11, 1294/5, 1294/6, 1295/1, 1295/2, 1296/4, 1296/5, 1296/6, 1296/7, 1300/10, 1300/11, 1300/12, 1300/13, 1300/14, 1300/15, 1300/16, 1301/4, 1301/5, 1305/4, 1305/12, 1305/13, 1305/15, 1305/16, 1305/18, 1305/20, 1305/21, 1305/22, 1305/23, 1305/24, 1305/26, 1306/5, 1315, 1317/1, 1317/10, 1317/13, 1317/16, 1318/3, 1318/4, 1319/1, 1320/3, 1321/1, 1329/10, 1329/11, 1331/3, 1354/13, 1355/1, 1355/2, 1355/5, 1355/10, 1355/11, 1355/13, 1361/1, 1365/4, 1389/5, 1390/3, 1390/9, 1390/12, 1390/13, 1390/15, 1502/3, 1503/3, 1503/4, 1504/2, 1504/4, 1504/6, 1504/7, 1504/8, 1504/9 in 1504/10, vsa v k.o. Zamarkova (550.</w:t>
            </w:r>
          </w:p>
          <w:p w:rsidR="00E3425E" w:rsidRPr="00E3425E" w:rsidRDefault="00E3425E" w:rsidP="007F364D">
            <w:pPr>
              <w:pStyle w:val="Odstavekseznama"/>
              <w:ind w:left="567" w:right="-1"/>
              <w:jc w:val="both"/>
              <w:rPr>
                <w:rFonts w:cs="Arial"/>
                <w:bCs/>
                <w:szCs w:val="20"/>
                <w:lang w:eastAsia="sl-SI"/>
              </w:rPr>
            </w:pPr>
          </w:p>
          <w:p w:rsidR="00E3425E" w:rsidRPr="00E3425E" w:rsidRDefault="00E3425E" w:rsidP="00E3425E">
            <w:pPr>
              <w:pStyle w:val="Odstavekseznama"/>
              <w:numPr>
                <w:ilvl w:val="0"/>
                <w:numId w:val="26"/>
              </w:numPr>
              <w:ind w:right="-1"/>
              <w:jc w:val="both"/>
              <w:rPr>
                <w:rFonts w:cs="Arial"/>
                <w:szCs w:val="20"/>
              </w:rPr>
            </w:pPr>
            <w:r w:rsidRPr="00E3425E">
              <w:rPr>
                <w:rFonts w:cs="Arial"/>
                <w:bCs/>
                <w:szCs w:val="20"/>
                <w:lang w:eastAsia="sl-SI"/>
              </w:rPr>
              <w:t xml:space="preserve">Vlada Republike Slovenije je izdala Občini Lenart soglasje za načrtovanje prostorskih ureditev lokalnega pomena v območju Državnega lokacijskega načrta za avtocesto na odseku Lenart – Spodnja Senarska, na zemljiščih oziroma delih zemljišč s </w:t>
            </w:r>
            <w:proofErr w:type="spellStart"/>
            <w:r w:rsidRPr="00E3425E">
              <w:rPr>
                <w:rFonts w:cs="Arial"/>
                <w:bCs/>
                <w:szCs w:val="20"/>
                <w:lang w:eastAsia="sl-SI"/>
              </w:rPr>
              <w:t>parc</w:t>
            </w:r>
            <w:proofErr w:type="spellEnd"/>
            <w:r w:rsidRPr="00E3425E">
              <w:rPr>
                <w:rFonts w:cs="Arial"/>
                <w:bCs/>
                <w:szCs w:val="20"/>
                <w:lang w:eastAsia="sl-SI"/>
              </w:rPr>
              <w:t>. št. 97/5, 581/5, 581/6, 599/2, 601/3, 601/5, 602/1, 602/2, 609/3, 614/6, 615/3, 615/4, 616/3, 617/4, 618/3, 619/2, 632/6, 659/4, 666/4, 666/5, 671/7, 725/3, 725/4, 730/3, 738/1, 744/5, 744/6, 744/7, 744/8, 744/11, 744/13, 744/15, 744/17, 744/22, 744/23, 753/2, 754/2, 757/4, 759/2, 759/5, 764/1, 765/1, 765/5, 765/6, 765/8, 765/9, 766/2, 766/4, 767/10, 767/12, 768/6, 768/8, 768/9, 768/12, 769/9, 770/5, 770/8, 770/9, 770/10, 771/5, 772/4, 772/6, 773/3, 773/5, 784/4, 786/21, 786/24, 795/7, 796/1, 836/1, 836/3, 836/4, 838/2, 838/3, 838/5, 849/4, 849/5, 849/7, 849/8, 849/9, 849/10, 849/12, 849/13, 849/15, 849/16, 849/18, 850/3, 860/1, 872/1, 884/4, 885/7, 885/8, 885/9, 888/5, 889/6, 889/7, 890/4, 891/4, 892/4, 904/9, 914/10, 914/12, 1344/4, 1344/9, 1344/10, 1344/11, 1344/15, 1344/16, 1344/17, 1344/18, 1344/19, 1344/22, 1353/9, 1365/25, 1365/47, 1365/49, 1365/51, 1365/54, 1365/55, 1393/2, 1415/4, 1484/1, 1511/1, 1512/1, 1514/1, 1516/3, 1532/1, 1533/1, 1537/1, 1547/1 in 1551/1, vsa v k.o. Zamarkova (550).</w:t>
            </w:r>
          </w:p>
          <w:p w:rsidR="00E3425E" w:rsidRPr="00E3425E" w:rsidRDefault="00E3425E" w:rsidP="007F364D">
            <w:pPr>
              <w:pStyle w:val="Telobesedila"/>
              <w:ind w:left="567" w:right="-1"/>
              <w:rPr>
                <w:rFonts w:ascii="Arial" w:hAnsi="Arial" w:cs="Arial"/>
                <w:b/>
                <w:bCs/>
                <w:sz w:val="20"/>
                <w:szCs w:val="20"/>
                <w:lang w:eastAsia="sl-SI"/>
              </w:rPr>
            </w:pPr>
          </w:p>
          <w:p w:rsidR="00E3425E" w:rsidRPr="00E3425E" w:rsidRDefault="00E3425E" w:rsidP="00E3425E">
            <w:pPr>
              <w:pStyle w:val="Odstavekseznama"/>
              <w:numPr>
                <w:ilvl w:val="0"/>
                <w:numId w:val="26"/>
              </w:numPr>
              <w:jc w:val="both"/>
              <w:rPr>
                <w:rFonts w:cs="Arial"/>
                <w:bCs/>
                <w:szCs w:val="20"/>
                <w:lang w:eastAsia="sl-SI"/>
              </w:rPr>
            </w:pPr>
            <w:r w:rsidRPr="00E3425E">
              <w:rPr>
                <w:rFonts w:cs="Arial"/>
                <w:bCs/>
                <w:szCs w:val="20"/>
                <w:lang w:eastAsia="sl-SI"/>
              </w:rPr>
              <w:t xml:space="preserve">Vlada Republike Slovenije je izdala Občini Lenart soglasje za načrtovanje prostorskih ureditev lokalnega pomena v območju Državnega lokacijskega načrta za avtocesto na odseku Lenart – Spodnja Senarska, na zemljiščih oziroma delih zemljišč s </w:t>
            </w:r>
            <w:proofErr w:type="spellStart"/>
            <w:r w:rsidRPr="00E3425E">
              <w:rPr>
                <w:rFonts w:cs="Arial"/>
                <w:bCs/>
                <w:szCs w:val="20"/>
                <w:lang w:eastAsia="sl-SI"/>
              </w:rPr>
              <w:t>parc</w:t>
            </w:r>
            <w:proofErr w:type="spellEnd"/>
            <w:r w:rsidRPr="00E3425E">
              <w:rPr>
                <w:rFonts w:cs="Arial"/>
                <w:bCs/>
                <w:szCs w:val="20"/>
                <w:lang w:eastAsia="sl-SI"/>
              </w:rPr>
              <w:t>. št. 8/3, 8/6, 9/5, 10, 11, 12, 14/1, 14/2, 15, 24, 25, 26, 28/2, 28/3, 28/4, 29, 30, 31/1, 31/2, 31/3, 40, 41, 42, 43, 44, 46/2, 48/1, 50/1, 51, 52/1, 53, 54, 55, 56, 57/1, 57/2, 58/1, 58/2, 58/3, 59, 60, 61, 65/1, 65/2, 66, 69/1, 69/2, 70/2, 70/3, 70/4, 71, 181/2, 182/1, 182/2, 185/1, 185/2, 185/3, 185/4, 185/5, 185/6, 185/7, 185/8, 189/2, 190/3, 190/4, 193, 194, 200/3, 202/6, 203/13, 806/1, 811, 812, 813, 861/1, 861/2, 863/1, 863/2, 864/2, 864/4, 864/6, 864/7, 865/1, 866, 867/1, 870, 871, 872/1, 872/2, 873/1, 873/2, 874, 1013, 1016, 1017, 1018, 1019, 1026, 1051, 1052 dl, 1053, 1055, 1056, 1057, 1058, 1059, 1060, 1067/13, 1067/14, 1067/15, 1067/19, 1067/20, 1071, 1072, 1073, 1164/2, 1164/3, 1171/2, 1171/3, 1172/1, 1172/2, 1181, 1184/1, 1185, 1186/1 in 1186/2, vsa v k.o. Lenart v Slovenskih goricah (532).</w:t>
            </w:r>
          </w:p>
          <w:p w:rsidR="00E3425E" w:rsidRPr="00E3425E" w:rsidRDefault="00E3425E" w:rsidP="007F364D">
            <w:pPr>
              <w:pStyle w:val="Telobesedila"/>
              <w:ind w:left="567" w:right="-1"/>
              <w:rPr>
                <w:rFonts w:ascii="Arial" w:hAnsi="Arial" w:cs="Arial"/>
                <w:b/>
                <w:bCs/>
                <w:sz w:val="20"/>
                <w:szCs w:val="20"/>
                <w:lang w:eastAsia="sl-SI"/>
              </w:rPr>
            </w:pPr>
          </w:p>
          <w:p w:rsidR="00E3425E" w:rsidRPr="00E3425E" w:rsidRDefault="00E3425E" w:rsidP="00E3425E">
            <w:pPr>
              <w:pStyle w:val="Odstavekseznama"/>
              <w:numPr>
                <w:ilvl w:val="0"/>
                <w:numId w:val="26"/>
              </w:numPr>
              <w:ind w:right="-1"/>
              <w:jc w:val="both"/>
              <w:rPr>
                <w:rFonts w:cs="Arial"/>
                <w:bCs/>
                <w:szCs w:val="20"/>
                <w:lang w:eastAsia="sl-SI"/>
              </w:rPr>
            </w:pPr>
            <w:r w:rsidRPr="00E3425E">
              <w:rPr>
                <w:rFonts w:cs="Arial"/>
                <w:bCs/>
                <w:szCs w:val="20"/>
                <w:lang w:eastAsia="sl-SI"/>
              </w:rPr>
              <w:t xml:space="preserve">Vlada Republike Slovenije je izdala Občini Lenart soglasje za načrtovanje prostorskih ureditev lokalnega pomena v območju Državnega lokacijskega načrta za avtocesto na odseku Lenart – Spodnja Senarska, na zemljiščih oziroma delih zemljišč s </w:t>
            </w:r>
            <w:proofErr w:type="spellStart"/>
            <w:r w:rsidRPr="00E3425E">
              <w:rPr>
                <w:rFonts w:cs="Arial"/>
                <w:bCs/>
                <w:szCs w:val="20"/>
                <w:lang w:eastAsia="sl-SI"/>
              </w:rPr>
              <w:t>parc</w:t>
            </w:r>
            <w:proofErr w:type="spellEnd"/>
            <w:r w:rsidRPr="00E3425E">
              <w:rPr>
                <w:rFonts w:cs="Arial"/>
                <w:bCs/>
                <w:szCs w:val="20"/>
                <w:lang w:eastAsia="sl-SI"/>
              </w:rPr>
              <w:t>. št. 911/36, 1096/5, 1099, 1100/23, 1100/24, 1100/25, 1100/26, 1100/27, 1100/28 in 1103, vsa v k.o. Zgornji Žerjavci (523).</w:t>
            </w:r>
          </w:p>
          <w:p w:rsidR="00E3425E" w:rsidRPr="00653D52" w:rsidRDefault="00E3425E" w:rsidP="007F364D">
            <w:pPr>
              <w:pStyle w:val="Telobesedila"/>
              <w:ind w:right="-1"/>
              <w:rPr>
                <w:rFonts w:ascii="Arial" w:hAnsi="Arial" w:cs="Arial"/>
                <w:sz w:val="20"/>
                <w:szCs w:val="20"/>
                <w:u w:val="single"/>
              </w:rPr>
            </w:pPr>
          </w:p>
          <w:p w:rsidR="00E3425E" w:rsidRPr="00E3425E" w:rsidRDefault="00E3425E" w:rsidP="00E3425E">
            <w:pPr>
              <w:pStyle w:val="Odstavekseznama"/>
              <w:numPr>
                <w:ilvl w:val="0"/>
                <w:numId w:val="26"/>
              </w:numPr>
              <w:jc w:val="both"/>
              <w:rPr>
                <w:rFonts w:cs="Arial"/>
                <w:b/>
                <w:bCs/>
                <w:szCs w:val="20"/>
                <w:lang w:eastAsia="sl-SI"/>
              </w:rPr>
            </w:pPr>
            <w:r w:rsidRPr="00653D52">
              <w:rPr>
                <w:rFonts w:cs="Arial"/>
                <w:bCs/>
                <w:szCs w:val="20"/>
                <w:lang w:eastAsia="sl-SI"/>
              </w:rPr>
              <w:lastRenderedPageBreak/>
              <w:t xml:space="preserve">Vlada Republike Slovenije je izdala Občini Lenart soglasje za načrtovanje prostorskih ureditev lokalnega pomena v območju Državnega lokacijskega načrta za avtocesto na odseku Lenart – Spodnja Senarska, na zemljiščih oziroma delih zemljišč s </w:t>
            </w:r>
            <w:proofErr w:type="spellStart"/>
            <w:r w:rsidRPr="00653D52">
              <w:rPr>
                <w:rFonts w:cs="Arial"/>
                <w:bCs/>
                <w:szCs w:val="20"/>
                <w:lang w:eastAsia="sl-SI"/>
              </w:rPr>
              <w:t>parc</w:t>
            </w:r>
            <w:proofErr w:type="spellEnd"/>
            <w:r w:rsidRPr="00653D52">
              <w:rPr>
                <w:rFonts w:cs="Arial"/>
                <w:bCs/>
                <w:szCs w:val="20"/>
                <w:lang w:eastAsia="sl-SI"/>
              </w:rPr>
              <w:t>. št. 5/1, 10/1, 457/1, 458/1, 460</w:t>
            </w:r>
            <w:r w:rsidRPr="00E3425E">
              <w:rPr>
                <w:rFonts w:cs="Arial"/>
                <w:bCs/>
                <w:szCs w:val="20"/>
                <w:lang w:eastAsia="sl-SI"/>
              </w:rPr>
              <w:t>/1, 469/1, 526/4, 526/5, 535, 539/2, 539/8, 539/9, 539/10, 539/11, 545/6, 549/6, 550/6, 555/8, 555/10, 555/11, 557/5, 584/1, 604/1, 607/1, 619/3, 619/4, 619/5, 619/6, 619/7, 619/17, 619/18, 619/20, 619/21, 675/1, 678/1, 680/1, 709/1, 711/1, 711/2, 716/2, 716/4, 716/6, 723/3, 723/4, 723/5, 723/6, 723/7, 723/8, 723/9, 723/12, 723/14, 723/15, 723/16, 723/17, 724/1, 725/1, 725/2 in 725/3, vsa v k.o. Radehova (549).</w:t>
            </w:r>
          </w:p>
          <w:p w:rsidR="00E3425E" w:rsidRPr="00E3425E" w:rsidRDefault="00E3425E" w:rsidP="007F364D">
            <w:pPr>
              <w:pStyle w:val="Telobesedila"/>
              <w:ind w:right="-1"/>
              <w:rPr>
                <w:rFonts w:ascii="Arial" w:hAnsi="Arial" w:cs="Arial"/>
                <w:sz w:val="20"/>
                <w:szCs w:val="20"/>
                <w:u w:val="single"/>
              </w:rPr>
            </w:pPr>
          </w:p>
          <w:p w:rsidR="00E3425E" w:rsidRPr="00E3425E" w:rsidRDefault="00E3425E" w:rsidP="00E3425E">
            <w:pPr>
              <w:pStyle w:val="Odstavekseznama"/>
              <w:numPr>
                <w:ilvl w:val="0"/>
                <w:numId w:val="26"/>
              </w:numPr>
              <w:jc w:val="both"/>
              <w:rPr>
                <w:rFonts w:cs="Arial"/>
                <w:bCs/>
                <w:szCs w:val="20"/>
                <w:lang w:eastAsia="sl-SI"/>
              </w:rPr>
            </w:pPr>
            <w:r w:rsidRPr="00E3425E">
              <w:rPr>
                <w:rFonts w:cs="Arial"/>
                <w:bCs/>
                <w:szCs w:val="20"/>
                <w:lang w:eastAsia="sl-SI"/>
              </w:rPr>
              <w:t xml:space="preserve">Vlada Republike Slovenije je izdala Občini Lenart soglasje za načrtovanje prostorskih ureditev lokalnega pomena v območju Državnega lokacijskega načrta za avtocesto na odseku Lenart – Spodnja Senarska, na zemljiščih oziroma delih zemljišč s </w:t>
            </w:r>
            <w:proofErr w:type="spellStart"/>
            <w:r w:rsidRPr="00E3425E">
              <w:rPr>
                <w:rFonts w:cs="Arial"/>
                <w:bCs/>
                <w:szCs w:val="20"/>
                <w:lang w:eastAsia="sl-SI"/>
              </w:rPr>
              <w:t>parc</w:t>
            </w:r>
            <w:proofErr w:type="spellEnd"/>
            <w:r w:rsidRPr="00E3425E">
              <w:rPr>
                <w:rFonts w:cs="Arial"/>
                <w:bCs/>
                <w:szCs w:val="20"/>
                <w:lang w:eastAsia="sl-SI"/>
              </w:rPr>
              <w:t>. št. 291, 292, 293, 297/4, 297/5, 301/4, 301/5, 302/2, 302/3, 302/4, 302/5, 304/3, 304/4, 304/5, 306/9,  306/10, 306/11, 306/12, 306/13, 306/14, 306/15, 307/5, 307/7, 307/9, 307/10, 307/11, 308/4, 308/6, 308/7, 308/8, 311/5, 311/6, 311/7, 311/8, 311/9, 315/7, 315/8, 315/9, 315/10, 318/12, 318/13, 318/14, 318/15, 318/16, 318/17, 318/18, 318/19, 318/20, 318/21, 318/22, 322/6, 322/8, 322/9, 322/11, 366/8, 471/3, 471/4, 506/4, 506/5, 506/9, 506/10, 506/11, 508/4, 508/5, 509/10, 509/11, 509/12, 516/3, 516/6, 520/2, 520/6, 520/8, 520/9, 552/1, 552/2, 553/3, 553/5, 554/4, 554/5 in 554/6, vsa v k.o. Šetarova (555).</w:t>
            </w:r>
          </w:p>
          <w:p w:rsidR="00E3425E" w:rsidRPr="00E3425E" w:rsidRDefault="00E3425E" w:rsidP="007F364D">
            <w:pPr>
              <w:pStyle w:val="Telobesedila"/>
              <w:ind w:left="567" w:right="-1"/>
              <w:rPr>
                <w:rFonts w:ascii="Arial" w:hAnsi="Arial" w:cs="Arial"/>
                <w:b/>
                <w:bCs/>
                <w:sz w:val="20"/>
                <w:szCs w:val="20"/>
                <w:lang w:eastAsia="sl-SI"/>
              </w:rPr>
            </w:pPr>
          </w:p>
          <w:p w:rsidR="00E3425E" w:rsidRPr="00E3425E" w:rsidRDefault="00E3425E" w:rsidP="00E3425E">
            <w:pPr>
              <w:pStyle w:val="Telobesedila"/>
              <w:numPr>
                <w:ilvl w:val="0"/>
                <w:numId w:val="26"/>
              </w:numPr>
              <w:suppressAutoHyphens w:val="0"/>
              <w:spacing w:after="0"/>
              <w:ind w:right="-1"/>
              <w:jc w:val="both"/>
              <w:rPr>
                <w:rFonts w:ascii="Arial" w:hAnsi="Arial" w:cs="Arial"/>
                <w:b/>
                <w:bCs/>
                <w:sz w:val="20"/>
                <w:szCs w:val="20"/>
                <w:lang w:eastAsia="sl-SI"/>
              </w:rPr>
            </w:pPr>
            <w:r w:rsidRPr="00E3425E">
              <w:rPr>
                <w:rFonts w:ascii="Arial" w:hAnsi="Arial" w:cs="Arial"/>
                <w:bCs/>
                <w:sz w:val="20"/>
                <w:szCs w:val="20"/>
                <w:lang w:eastAsia="sl-SI"/>
              </w:rPr>
              <w:t>Občina Lenart po sprejetju občinskega prostorskega načrta, s katerim bo načrtovala prostorske ureditve lokalnega pomena na zemljiščih iz 1., 2., 3., 4., 5., 6., 7. in 8. točke tega sklepa, pošlje izvod tega akta Vladi Republike Slovenije.</w:t>
            </w:r>
          </w:p>
          <w:p w:rsidR="00E3425E" w:rsidRPr="00E3425E" w:rsidRDefault="00E3425E" w:rsidP="007F364D">
            <w:pPr>
              <w:spacing w:line="240" w:lineRule="auto"/>
              <w:ind w:left="992" w:right="-1"/>
              <w:jc w:val="both"/>
              <w:rPr>
                <w:rFonts w:cs="Arial"/>
                <w:bCs/>
                <w:color w:val="000000"/>
                <w:szCs w:val="20"/>
              </w:rPr>
            </w:pPr>
          </w:p>
          <w:p w:rsidR="00E3425E" w:rsidRPr="00E3425E" w:rsidRDefault="00E3425E" w:rsidP="007F364D">
            <w:pPr>
              <w:spacing w:line="240" w:lineRule="auto"/>
              <w:ind w:left="992" w:right="-1"/>
              <w:jc w:val="both"/>
              <w:rPr>
                <w:rFonts w:cs="Arial"/>
                <w:bCs/>
                <w:color w:val="000000"/>
                <w:szCs w:val="20"/>
              </w:rPr>
            </w:pPr>
          </w:p>
          <w:p w:rsidR="00E3425E" w:rsidRPr="00E3425E" w:rsidRDefault="00E3425E" w:rsidP="007F364D">
            <w:pPr>
              <w:spacing w:line="240" w:lineRule="auto"/>
              <w:ind w:left="567" w:hanging="567"/>
              <w:jc w:val="both"/>
              <w:outlineLvl w:val="0"/>
              <w:rPr>
                <w:rFonts w:cs="Arial"/>
                <w:b/>
                <w:color w:val="FF0000"/>
                <w:szCs w:val="20"/>
              </w:rPr>
            </w:pPr>
            <w:proofErr w:type="spellStart"/>
            <w:r w:rsidRPr="00E3425E">
              <w:rPr>
                <w:rFonts w:cs="Arial"/>
                <w:b/>
                <w:szCs w:val="20"/>
              </w:rPr>
              <w:t>Prejmejo</w:t>
            </w:r>
            <w:proofErr w:type="spellEnd"/>
            <w:r w:rsidRPr="00E3425E">
              <w:rPr>
                <w:rFonts w:cs="Arial"/>
                <w:b/>
                <w:szCs w:val="20"/>
              </w:rPr>
              <w:t xml:space="preserve">: </w:t>
            </w:r>
          </w:p>
          <w:p w:rsidR="00E3425E" w:rsidRPr="00E3425E" w:rsidRDefault="00E3425E" w:rsidP="00E3425E">
            <w:pPr>
              <w:pStyle w:val="Telobesedila"/>
              <w:numPr>
                <w:ilvl w:val="0"/>
                <w:numId w:val="25"/>
              </w:numPr>
              <w:suppressAutoHyphens w:val="0"/>
              <w:spacing w:after="0"/>
              <w:ind w:right="-1"/>
              <w:jc w:val="both"/>
              <w:rPr>
                <w:rFonts w:ascii="Arial" w:hAnsi="Arial" w:cs="Arial"/>
                <w:b/>
                <w:bCs/>
                <w:sz w:val="20"/>
                <w:szCs w:val="20"/>
                <w:lang w:eastAsia="sl-SI"/>
              </w:rPr>
            </w:pPr>
            <w:r w:rsidRPr="00E3425E">
              <w:rPr>
                <w:rFonts w:ascii="Arial" w:hAnsi="Arial" w:cs="Arial"/>
                <w:bCs/>
                <w:sz w:val="20"/>
                <w:szCs w:val="20"/>
                <w:lang w:eastAsia="sl-SI"/>
              </w:rPr>
              <w:t>Občina Lenart (</w:t>
            </w:r>
            <w:proofErr w:type="spellStart"/>
            <w:r w:rsidRPr="00E3425E">
              <w:rPr>
                <w:rFonts w:ascii="Arial" w:hAnsi="Arial" w:cs="Arial"/>
                <w:bCs/>
                <w:sz w:val="20"/>
                <w:szCs w:val="20"/>
                <w:lang w:eastAsia="sl-SI"/>
              </w:rPr>
              <w:t>obcina@lenart.si</w:t>
            </w:r>
            <w:proofErr w:type="spellEnd"/>
            <w:r w:rsidRPr="00E3425E">
              <w:rPr>
                <w:rFonts w:ascii="Arial" w:hAnsi="Arial" w:cs="Arial"/>
                <w:bCs/>
                <w:sz w:val="20"/>
                <w:szCs w:val="20"/>
                <w:lang w:eastAsia="sl-SI"/>
              </w:rPr>
              <w:t>), Trg osvoboditve 7, Lenart v Slovenskih goricah;</w:t>
            </w:r>
          </w:p>
          <w:p w:rsidR="00E3425E" w:rsidRPr="00E3425E" w:rsidRDefault="00E3425E" w:rsidP="00E3425E">
            <w:pPr>
              <w:pStyle w:val="Telobesedila"/>
              <w:numPr>
                <w:ilvl w:val="0"/>
                <w:numId w:val="25"/>
              </w:numPr>
              <w:suppressAutoHyphens w:val="0"/>
              <w:spacing w:after="0"/>
              <w:ind w:right="-1"/>
              <w:jc w:val="both"/>
              <w:rPr>
                <w:rFonts w:ascii="Arial" w:hAnsi="Arial" w:cs="Arial"/>
                <w:b/>
                <w:bCs/>
                <w:sz w:val="20"/>
                <w:szCs w:val="20"/>
                <w:lang w:eastAsia="sl-SI"/>
              </w:rPr>
            </w:pPr>
            <w:r w:rsidRPr="00E3425E">
              <w:rPr>
                <w:rFonts w:ascii="Arial" w:hAnsi="Arial" w:cs="Arial"/>
                <w:bCs/>
                <w:sz w:val="20"/>
                <w:szCs w:val="20"/>
                <w:lang w:eastAsia="sl-SI"/>
              </w:rPr>
              <w:t>Ministrstvo za infrastrukturo (</w:t>
            </w:r>
            <w:hyperlink r:id="rId10" w:history="1">
              <w:r w:rsidRPr="00E3425E">
                <w:rPr>
                  <w:rFonts w:ascii="Arial" w:hAnsi="Arial" w:cs="Arial"/>
                  <w:bCs/>
                  <w:sz w:val="20"/>
                  <w:szCs w:val="20"/>
                  <w:lang w:eastAsia="sl-SI"/>
                </w:rPr>
                <w:t>gp.mzi@gov.si</w:t>
              </w:r>
            </w:hyperlink>
            <w:r w:rsidRPr="00E3425E">
              <w:rPr>
                <w:rFonts w:ascii="Arial" w:hAnsi="Arial" w:cs="Arial"/>
                <w:bCs/>
                <w:sz w:val="20"/>
                <w:szCs w:val="20"/>
                <w:lang w:eastAsia="sl-SI"/>
              </w:rPr>
              <w:t>): Direktorat za kopenski promet;</w:t>
            </w:r>
          </w:p>
          <w:p w:rsidR="00E3425E" w:rsidRPr="00E3425E" w:rsidRDefault="00E3425E" w:rsidP="00E3425E">
            <w:pPr>
              <w:pStyle w:val="Telobesedila"/>
              <w:numPr>
                <w:ilvl w:val="0"/>
                <w:numId w:val="25"/>
              </w:numPr>
              <w:suppressAutoHyphens w:val="0"/>
              <w:spacing w:after="0"/>
              <w:ind w:right="-1"/>
              <w:jc w:val="both"/>
              <w:rPr>
                <w:rFonts w:ascii="Arial" w:hAnsi="Arial" w:cs="Arial"/>
                <w:b/>
                <w:bCs/>
                <w:sz w:val="20"/>
                <w:szCs w:val="20"/>
                <w:lang w:eastAsia="sl-SI"/>
              </w:rPr>
            </w:pPr>
            <w:r w:rsidRPr="00E3425E">
              <w:rPr>
                <w:rFonts w:ascii="Arial" w:hAnsi="Arial" w:cs="Arial"/>
                <w:bCs/>
                <w:sz w:val="20"/>
                <w:szCs w:val="20"/>
                <w:lang w:eastAsia="sl-SI"/>
              </w:rPr>
              <w:t>Ministrstvo za okolje in prostor (</w:t>
            </w:r>
            <w:hyperlink r:id="rId11" w:history="1">
              <w:r w:rsidRPr="00E3425E">
                <w:rPr>
                  <w:rFonts w:ascii="Arial" w:hAnsi="Arial" w:cs="Arial"/>
                  <w:bCs/>
                  <w:sz w:val="20"/>
                  <w:szCs w:val="20"/>
                  <w:lang w:eastAsia="sl-SI"/>
                </w:rPr>
                <w:t>gp.mop@gov.si</w:t>
              </w:r>
            </w:hyperlink>
            <w:r w:rsidRPr="00E3425E">
              <w:rPr>
                <w:rFonts w:ascii="Arial" w:hAnsi="Arial" w:cs="Arial"/>
                <w:bCs/>
                <w:sz w:val="20"/>
                <w:szCs w:val="20"/>
                <w:lang w:eastAsia="sl-SI"/>
              </w:rPr>
              <w:t>): Direktorat za prostor, graditev in stanovanja;</w:t>
            </w:r>
          </w:p>
          <w:p w:rsidR="00E3425E" w:rsidRPr="00E3425E" w:rsidRDefault="00E3425E" w:rsidP="00E3425E">
            <w:pPr>
              <w:pStyle w:val="Telobesedila"/>
              <w:numPr>
                <w:ilvl w:val="0"/>
                <w:numId w:val="25"/>
              </w:numPr>
              <w:suppressAutoHyphens w:val="0"/>
              <w:spacing w:after="0"/>
              <w:ind w:right="-1"/>
              <w:jc w:val="both"/>
              <w:rPr>
                <w:rFonts w:ascii="Arial" w:hAnsi="Arial" w:cs="Arial"/>
                <w:b/>
                <w:bCs/>
                <w:sz w:val="20"/>
                <w:szCs w:val="20"/>
                <w:lang w:eastAsia="sl-SI"/>
              </w:rPr>
            </w:pPr>
            <w:r w:rsidRPr="00E3425E">
              <w:rPr>
                <w:rFonts w:ascii="Arial" w:hAnsi="Arial" w:cs="Arial"/>
                <w:bCs/>
                <w:sz w:val="20"/>
                <w:szCs w:val="20"/>
                <w:lang w:eastAsia="sl-SI"/>
              </w:rPr>
              <w:t>DARS d.d. (</w:t>
            </w:r>
            <w:proofErr w:type="spellStart"/>
            <w:r w:rsidRPr="00E3425E">
              <w:rPr>
                <w:rFonts w:ascii="Arial" w:hAnsi="Arial" w:cs="Arial"/>
                <w:bCs/>
                <w:sz w:val="20"/>
                <w:szCs w:val="20"/>
                <w:lang w:eastAsia="sl-SI"/>
              </w:rPr>
              <w:t>gp@dars.si</w:t>
            </w:r>
            <w:proofErr w:type="spellEnd"/>
            <w:r w:rsidRPr="00E3425E">
              <w:rPr>
                <w:rFonts w:ascii="Arial" w:hAnsi="Arial" w:cs="Arial"/>
                <w:bCs/>
                <w:sz w:val="20"/>
                <w:szCs w:val="20"/>
                <w:lang w:eastAsia="sl-SI"/>
              </w:rPr>
              <w:t>), Dunajska 7, Ljubljana.</w:t>
            </w:r>
          </w:p>
          <w:p w:rsidR="00E3425E" w:rsidRPr="00E3425E" w:rsidRDefault="00E3425E" w:rsidP="007F364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w w:val="100"/>
                <w:sz w:val="20"/>
                <w:lang w:val="sl-SI" w:eastAsia="sl-SI"/>
              </w:rPr>
            </w:pPr>
          </w:p>
          <w:p w:rsidR="00E3425E" w:rsidRPr="00E3425E" w:rsidRDefault="00E3425E" w:rsidP="007F364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jc w:val="left"/>
              <w:rPr>
                <w:rFonts w:ascii="Arial" w:hAnsi="Arial" w:cs="Arial"/>
                <w:b/>
                <w:w w:val="100"/>
                <w:sz w:val="20"/>
                <w:lang w:val="sl-SI" w:eastAsia="sl-SI"/>
              </w:rPr>
            </w:pPr>
            <w:r w:rsidRPr="00E3425E">
              <w:rPr>
                <w:rFonts w:ascii="Arial" w:hAnsi="Arial" w:cs="Arial"/>
                <w:b/>
                <w:w w:val="100"/>
                <w:sz w:val="20"/>
                <w:lang w:val="sl-SI" w:eastAsia="sl-SI"/>
              </w:rPr>
              <w:t xml:space="preserve">V vednost: </w:t>
            </w:r>
          </w:p>
          <w:p w:rsidR="00E3425E" w:rsidRPr="00E3425E" w:rsidRDefault="00E3425E" w:rsidP="00E3425E">
            <w:pPr>
              <w:pStyle w:val="Telobesedila"/>
              <w:numPr>
                <w:ilvl w:val="0"/>
                <w:numId w:val="24"/>
              </w:numPr>
              <w:tabs>
                <w:tab w:val="left" w:pos="284"/>
              </w:tabs>
              <w:suppressAutoHyphens w:val="0"/>
              <w:spacing w:after="0"/>
              <w:ind w:right="-1"/>
              <w:jc w:val="both"/>
              <w:rPr>
                <w:rFonts w:ascii="Arial" w:hAnsi="Arial" w:cs="Arial"/>
                <w:b/>
                <w:bCs/>
                <w:sz w:val="20"/>
                <w:szCs w:val="20"/>
                <w:lang w:eastAsia="sl-SI"/>
              </w:rPr>
            </w:pPr>
            <w:r w:rsidRPr="00E3425E">
              <w:rPr>
                <w:rFonts w:ascii="Arial" w:hAnsi="Arial" w:cs="Arial"/>
                <w:bCs/>
                <w:sz w:val="20"/>
                <w:szCs w:val="20"/>
                <w:lang w:eastAsia="sl-SI"/>
              </w:rPr>
              <w:t>Ministrstvo za finance (</w:t>
            </w:r>
            <w:hyperlink r:id="rId12" w:history="1">
              <w:r w:rsidRPr="00E3425E">
                <w:rPr>
                  <w:rFonts w:ascii="Arial" w:hAnsi="Arial" w:cs="Arial"/>
                  <w:bCs/>
                  <w:sz w:val="20"/>
                  <w:szCs w:val="20"/>
                  <w:lang w:eastAsia="sl-SI"/>
                </w:rPr>
                <w:t>gp.mf@gov.si</w:t>
              </w:r>
            </w:hyperlink>
            <w:r w:rsidRPr="00E3425E">
              <w:rPr>
                <w:rFonts w:ascii="Arial" w:hAnsi="Arial" w:cs="Arial"/>
                <w:bCs/>
                <w:sz w:val="20"/>
                <w:szCs w:val="20"/>
                <w:lang w:eastAsia="sl-SI"/>
              </w:rPr>
              <w:t>);</w:t>
            </w:r>
          </w:p>
          <w:p w:rsidR="00E3425E" w:rsidRPr="00E3425E" w:rsidRDefault="00E3425E" w:rsidP="00E3425E">
            <w:pPr>
              <w:pStyle w:val="Telobesedila"/>
              <w:numPr>
                <w:ilvl w:val="0"/>
                <w:numId w:val="24"/>
              </w:numPr>
              <w:tabs>
                <w:tab w:val="left" w:pos="284"/>
              </w:tabs>
              <w:suppressAutoHyphens w:val="0"/>
              <w:spacing w:after="0"/>
              <w:ind w:right="-1"/>
              <w:jc w:val="both"/>
              <w:rPr>
                <w:rFonts w:ascii="Arial" w:hAnsi="Arial" w:cs="Arial"/>
                <w:b/>
                <w:bCs/>
                <w:sz w:val="20"/>
                <w:szCs w:val="20"/>
                <w:lang w:eastAsia="sl-SI"/>
              </w:rPr>
            </w:pPr>
            <w:r w:rsidRPr="00E3425E">
              <w:rPr>
                <w:rFonts w:ascii="Arial" w:hAnsi="Arial" w:cs="Arial"/>
                <w:bCs/>
                <w:sz w:val="20"/>
                <w:szCs w:val="20"/>
                <w:lang w:eastAsia="sl-SI"/>
              </w:rPr>
              <w:t>Služba Vlade Republike Slovenije za zakonodajo (</w:t>
            </w:r>
            <w:hyperlink r:id="rId13" w:history="1">
              <w:r w:rsidRPr="00E3425E">
                <w:rPr>
                  <w:rFonts w:ascii="Arial" w:hAnsi="Arial" w:cs="Arial"/>
                  <w:bCs/>
                  <w:sz w:val="20"/>
                  <w:szCs w:val="20"/>
                  <w:lang w:eastAsia="sl-SI"/>
                </w:rPr>
                <w:t>gp.svz@gov.si</w:t>
              </w:r>
            </w:hyperlink>
            <w:r w:rsidRPr="00E3425E">
              <w:rPr>
                <w:rFonts w:ascii="Arial" w:hAnsi="Arial" w:cs="Arial"/>
                <w:bCs/>
                <w:sz w:val="20"/>
                <w:szCs w:val="20"/>
                <w:lang w:eastAsia="sl-SI"/>
              </w:rPr>
              <w:t>);</w:t>
            </w:r>
          </w:p>
          <w:p w:rsidR="00E3425E" w:rsidRPr="00E3425E" w:rsidRDefault="00E3425E" w:rsidP="00E3425E">
            <w:pPr>
              <w:pStyle w:val="Telobesedila"/>
              <w:numPr>
                <w:ilvl w:val="0"/>
                <w:numId w:val="24"/>
              </w:numPr>
              <w:tabs>
                <w:tab w:val="left" w:pos="284"/>
              </w:tabs>
              <w:suppressAutoHyphens w:val="0"/>
              <w:spacing w:after="0"/>
              <w:ind w:right="-1"/>
              <w:jc w:val="both"/>
              <w:rPr>
                <w:rFonts w:ascii="Arial" w:hAnsi="Arial" w:cs="Arial"/>
                <w:color w:val="000000"/>
                <w:sz w:val="20"/>
                <w:szCs w:val="20"/>
                <w:lang w:eastAsia="sl-SI"/>
              </w:rPr>
            </w:pPr>
            <w:r w:rsidRPr="00E3425E">
              <w:rPr>
                <w:rFonts w:ascii="Arial" w:hAnsi="Arial" w:cs="Arial"/>
                <w:bCs/>
                <w:sz w:val="20"/>
                <w:szCs w:val="20"/>
                <w:lang w:eastAsia="sl-SI"/>
              </w:rPr>
              <w:t>Urad Vlade Republike Slovenije za komuniciranje (</w:t>
            </w:r>
            <w:hyperlink r:id="rId14" w:history="1">
              <w:r w:rsidRPr="00E3425E">
                <w:rPr>
                  <w:rFonts w:ascii="Arial" w:hAnsi="Arial" w:cs="Arial"/>
                  <w:bCs/>
                  <w:sz w:val="20"/>
                  <w:szCs w:val="20"/>
                  <w:lang w:eastAsia="sl-SI"/>
                </w:rPr>
                <w:t>gp.ukom@gov.si</w:t>
              </w:r>
            </w:hyperlink>
            <w:r w:rsidRPr="00E3425E">
              <w:rPr>
                <w:rFonts w:ascii="Arial" w:hAnsi="Arial" w:cs="Arial"/>
                <w:bCs/>
                <w:sz w:val="20"/>
                <w:szCs w:val="20"/>
                <w:lang w:eastAsia="sl-SI"/>
              </w:rPr>
              <w:t>).</w:t>
            </w:r>
          </w:p>
        </w:tc>
      </w:tr>
      <w:tr w:rsidR="00E3425E" w:rsidRPr="00E3425E" w:rsidTr="00E3425E">
        <w:trPr>
          <w:gridBefore w:val="1"/>
          <w:gridAfter w:val="1"/>
          <w:wBefore w:w="34" w:type="dxa"/>
          <w:wAfter w:w="47" w:type="dxa"/>
          <w:trHeight w:val="653"/>
        </w:trPr>
        <w:tc>
          <w:tcPr>
            <w:tcW w:w="669" w:type="dxa"/>
            <w:tcBorders>
              <w:top w:val="single" w:sz="4" w:space="0" w:color="auto"/>
              <w:left w:val="single" w:sz="4" w:space="0" w:color="auto"/>
              <w:bottom w:val="single" w:sz="4" w:space="0" w:color="auto"/>
              <w:right w:val="nil"/>
            </w:tcBorders>
            <w:shd w:val="clear" w:color="auto" w:fill="auto"/>
            <w:vAlign w:val="center"/>
          </w:tcPr>
          <w:p w:rsidR="00E3425E" w:rsidRPr="00E3425E" w:rsidRDefault="00E3425E" w:rsidP="00E3425E">
            <w:pPr>
              <w:pStyle w:val="Naslov1"/>
              <w:rPr>
                <w:rFonts w:cs="Arial"/>
                <w:sz w:val="20"/>
                <w:szCs w:val="20"/>
              </w:rPr>
            </w:pPr>
            <w:r w:rsidRPr="00E3425E">
              <w:rPr>
                <w:rFonts w:cs="Arial"/>
                <w:sz w:val="20"/>
                <w:szCs w:val="20"/>
              </w:rPr>
              <w:lastRenderedPageBreak/>
              <w:t>2.</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Predlog za obravnavo predloga zakona po nujnem ali skrajšanem postopku v Državnem zboru RS z obrazložitvijo razlogov:</w:t>
            </w:r>
          </w:p>
        </w:tc>
      </w:tr>
      <w:tr w:rsidR="00E3425E" w:rsidRPr="00E3425E" w:rsidTr="00E3425E">
        <w:trPr>
          <w:gridBefore w:val="1"/>
          <w:gridAfter w:val="1"/>
          <w:wBefore w:w="34" w:type="dxa"/>
          <w:wAfter w:w="47" w:type="dxa"/>
          <w:trHeight w:val="222"/>
        </w:trPr>
        <w:tc>
          <w:tcPr>
            <w:tcW w:w="8708"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E3425E" w:rsidRPr="00E3425E" w:rsidRDefault="00E3425E" w:rsidP="007F364D">
            <w:pPr>
              <w:autoSpaceDE w:val="0"/>
              <w:autoSpaceDN w:val="0"/>
              <w:adjustRightInd w:val="0"/>
              <w:spacing w:line="240" w:lineRule="auto"/>
              <w:rPr>
                <w:rFonts w:cs="Arial"/>
                <w:bCs/>
                <w:szCs w:val="20"/>
              </w:rPr>
            </w:pPr>
          </w:p>
        </w:tc>
      </w:tr>
      <w:tr w:rsidR="00E3425E" w:rsidRPr="00E3425E"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E3425E" w:rsidRDefault="00E3425E" w:rsidP="00E3425E">
            <w:pPr>
              <w:pStyle w:val="Naslov1"/>
              <w:rPr>
                <w:rFonts w:cs="Arial"/>
                <w:sz w:val="20"/>
                <w:szCs w:val="20"/>
              </w:rPr>
            </w:pPr>
            <w:proofErr w:type="spellStart"/>
            <w:r w:rsidRPr="00E3425E">
              <w:rPr>
                <w:rFonts w:cs="Arial"/>
                <w:sz w:val="20"/>
                <w:szCs w:val="20"/>
              </w:rPr>
              <w:t>3.a</w:t>
            </w:r>
            <w:proofErr w:type="spellEnd"/>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 xml:space="preserve">Osebe, odgovorne za strokovno pripravo in usklajenost gradiva: </w:t>
            </w:r>
          </w:p>
        </w:tc>
      </w:tr>
      <w:tr w:rsidR="00E3425E" w:rsidRPr="00E3425E"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E3425E" w:rsidRDefault="00E3425E" w:rsidP="00E3425E">
            <w:pPr>
              <w:numPr>
                <w:ilvl w:val="0"/>
                <w:numId w:val="18"/>
              </w:numPr>
              <w:spacing w:line="240" w:lineRule="auto"/>
              <w:ind w:right="-1"/>
              <w:jc w:val="both"/>
              <w:rPr>
                <w:rFonts w:cs="Arial"/>
                <w:snapToGrid w:val="0"/>
                <w:color w:val="000000"/>
                <w:szCs w:val="20"/>
              </w:rPr>
            </w:pPr>
            <w:r w:rsidRPr="00E3425E">
              <w:rPr>
                <w:rFonts w:cs="Arial"/>
                <w:snapToGrid w:val="0"/>
                <w:color w:val="000000"/>
                <w:szCs w:val="20"/>
              </w:rPr>
              <w:t xml:space="preserve">mag. Andrej VIZJAK, minister, </w:t>
            </w:r>
          </w:p>
          <w:p w:rsidR="00E3425E" w:rsidRPr="00E3425E" w:rsidRDefault="00E3425E" w:rsidP="00E3425E">
            <w:pPr>
              <w:numPr>
                <w:ilvl w:val="0"/>
                <w:numId w:val="18"/>
              </w:numPr>
              <w:spacing w:line="240" w:lineRule="auto"/>
              <w:ind w:right="-1"/>
              <w:jc w:val="both"/>
              <w:rPr>
                <w:rFonts w:cs="Arial"/>
                <w:snapToGrid w:val="0"/>
                <w:color w:val="000000"/>
                <w:szCs w:val="20"/>
              </w:rPr>
            </w:pPr>
            <w:r w:rsidRPr="00E3425E">
              <w:rPr>
                <w:rFonts w:cs="Arial"/>
                <w:snapToGrid w:val="0"/>
                <w:color w:val="000000"/>
                <w:szCs w:val="20"/>
              </w:rPr>
              <w:t xml:space="preserve">Robert </w:t>
            </w:r>
            <w:r w:rsidR="00963A15" w:rsidRPr="00E3425E">
              <w:rPr>
                <w:rFonts w:cs="Arial"/>
                <w:snapToGrid w:val="0"/>
                <w:color w:val="000000"/>
                <w:szCs w:val="20"/>
              </w:rPr>
              <w:t>ROŽAC</w:t>
            </w:r>
            <w:r w:rsidRPr="00E3425E">
              <w:rPr>
                <w:rFonts w:cs="Arial"/>
                <w:snapToGrid w:val="0"/>
                <w:color w:val="000000"/>
                <w:szCs w:val="20"/>
              </w:rPr>
              <w:t xml:space="preserve">, </w:t>
            </w:r>
            <w:proofErr w:type="spellStart"/>
            <w:r w:rsidRPr="00E3425E">
              <w:rPr>
                <w:rFonts w:cs="Arial"/>
                <w:snapToGrid w:val="0"/>
                <w:color w:val="000000"/>
                <w:szCs w:val="20"/>
              </w:rPr>
              <w:t>državni</w:t>
            </w:r>
            <w:proofErr w:type="spellEnd"/>
            <w:r w:rsidRPr="00E3425E">
              <w:rPr>
                <w:rFonts w:cs="Arial"/>
                <w:snapToGrid w:val="0"/>
                <w:color w:val="000000"/>
                <w:szCs w:val="20"/>
              </w:rPr>
              <w:t xml:space="preserve"> </w:t>
            </w:r>
            <w:proofErr w:type="spellStart"/>
            <w:r w:rsidRPr="00E3425E">
              <w:rPr>
                <w:rFonts w:cs="Arial"/>
                <w:snapToGrid w:val="0"/>
                <w:color w:val="000000"/>
                <w:szCs w:val="20"/>
              </w:rPr>
              <w:t>sekretar</w:t>
            </w:r>
            <w:proofErr w:type="spellEnd"/>
            <w:r w:rsidRPr="00E3425E">
              <w:rPr>
                <w:rFonts w:cs="Arial"/>
                <w:snapToGrid w:val="0"/>
                <w:color w:val="000000"/>
                <w:szCs w:val="20"/>
              </w:rPr>
              <w:t>,</w:t>
            </w:r>
          </w:p>
          <w:p w:rsidR="00E3425E" w:rsidRPr="00E3425E" w:rsidRDefault="00E3425E" w:rsidP="00E3425E">
            <w:pPr>
              <w:numPr>
                <w:ilvl w:val="0"/>
                <w:numId w:val="18"/>
              </w:numPr>
              <w:spacing w:line="240" w:lineRule="auto"/>
              <w:ind w:right="-1"/>
              <w:jc w:val="both"/>
              <w:rPr>
                <w:rFonts w:cs="Arial"/>
                <w:snapToGrid w:val="0"/>
                <w:color w:val="000000"/>
                <w:szCs w:val="20"/>
              </w:rPr>
            </w:pPr>
            <w:proofErr w:type="spellStart"/>
            <w:r w:rsidRPr="00E3425E">
              <w:rPr>
                <w:rFonts w:cs="Arial"/>
                <w:snapToGrid w:val="0"/>
                <w:color w:val="000000"/>
                <w:szCs w:val="20"/>
              </w:rPr>
              <w:t>Georgi</w:t>
            </w:r>
            <w:proofErr w:type="spellEnd"/>
            <w:r w:rsidRPr="00E3425E">
              <w:rPr>
                <w:rFonts w:cs="Arial"/>
                <w:snapToGrid w:val="0"/>
                <w:color w:val="000000"/>
                <w:szCs w:val="20"/>
              </w:rPr>
              <w:t xml:space="preserve"> BANGIEV, v. d. </w:t>
            </w:r>
            <w:proofErr w:type="spellStart"/>
            <w:r w:rsidRPr="00E3425E">
              <w:rPr>
                <w:rFonts w:cs="Arial"/>
                <w:snapToGrid w:val="0"/>
                <w:color w:val="000000"/>
                <w:szCs w:val="20"/>
              </w:rPr>
              <w:t>generalnega</w:t>
            </w:r>
            <w:proofErr w:type="spellEnd"/>
            <w:r w:rsidRPr="00E3425E">
              <w:rPr>
                <w:rFonts w:cs="Arial"/>
                <w:snapToGrid w:val="0"/>
                <w:color w:val="000000"/>
                <w:szCs w:val="20"/>
              </w:rPr>
              <w:t xml:space="preserve"> </w:t>
            </w:r>
            <w:proofErr w:type="spellStart"/>
            <w:r w:rsidRPr="00E3425E">
              <w:rPr>
                <w:rFonts w:cs="Arial"/>
                <w:snapToGrid w:val="0"/>
                <w:color w:val="000000"/>
                <w:szCs w:val="20"/>
              </w:rPr>
              <w:t>direktorja</w:t>
            </w:r>
            <w:proofErr w:type="spellEnd"/>
            <w:r w:rsidRPr="00E3425E">
              <w:rPr>
                <w:rFonts w:cs="Arial"/>
                <w:snapToGrid w:val="0"/>
                <w:color w:val="000000"/>
                <w:szCs w:val="20"/>
              </w:rPr>
              <w:t xml:space="preserve"> </w:t>
            </w:r>
            <w:proofErr w:type="spellStart"/>
            <w:r w:rsidRPr="00E3425E">
              <w:rPr>
                <w:rFonts w:cs="Arial"/>
                <w:snapToGrid w:val="0"/>
                <w:color w:val="000000"/>
                <w:szCs w:val="20"/>
              </w:rPr>
              <w:t>Direktorata</w:t>
            </w:r>
            <w:proofErr w:type="spellEnd"/>
            <w:r w:rsidRPr="00E3425E">
              <w:rPr>
                <w:rFonts w:cs="Arial"/>
                <w:snapToGrid w:val="0"/>
                <w:color w:val="000000"/>
                <w:szCs w:val="20"/>
              </w:rPr>
              <w:t xml:space="preserve"> </w:t>
            </w:r>
            <w:proofErr w:type="spellStart"/>
            <w:r w:rsidRPr="00E3425E">
              <w:rPr>
                <w:rFonts w:cs="Arial"/>
                <w:snapToGrid w:val="0"/>
                <w:color w:val="000000"/>
                <w:szCs w:val="20"/>
              </w:rPr>
              <w:t>za</w:t>
            </w:r>
            <w:proofErr w:type="spellEnd"/>
            <w:r w:rsidRPr="00E3425E">
              <w:rPr>
                <w:rFonts w:cs="Arial"/>
                <w:snapToGrid w:val="0"/>
                <w:color w:val="000000"/>
                <w:szCs w:val="20"/>
              </w:rPr>
              <w:t xml:space="preserve"> </w:t>
            </w:r>
            <w:proofErr w:type="spellStart"/>
            <w:r w:rsidRPr="00E3425E">
              <w:rPr>
                <w:rFonts w:cs="Arial"/>
                <w:snapToGrid w:val="0"/>
                <w:color w:val="000000"/>
                <w:szCs w:val="20"/>
              </w:rPr>
              <w:t>prostor</w:t>
            </w:r>
            <w:proofErr w:type="spellEnd"/>
            <w:r w:rsidRPr="00E3425E">
              <w:rPr>
                <w:rFonts w:cs="Arial"/>
                <w:snapToGrid w:val="0"/>
                <w:color w:val="000000"/>
                <w:szCs w:val="20"/>
              </w:rPr>
              <w:t xml:space="preserve">, </w:t>
            </w:r>
            <w:proofErr w:type="spellStart"/>
            <w:r w:rsidRPr="00E3425E">
              <w:rPr>
                <w:rFonts w:cs="Arial"/>
                <w:snapToGrid w:val="0"/>
                <w:color w:val="000000"/>
                <w:szCs w:val="20"/>
              </w:rPr>
              <w:t>graditev</w:t>
            </w:r>
            <w:proofErr w:type="spellEnd"/>
            <w:r w:rsidRPr="00E3425E">
              <w:rPr>
                <w:rFonts w:cs="Arial"/>
                <w:snapToGrid w:val="0"/>
                <w:color w:val="000000"/>
                <w:szCs w:val="20"/>
              </w:rPr>
              <w:t xml:space="preserve"> in </w:t>
            </w:r>
            <w:proofErr w:type="spellStart"/>
            <w:r w:rsidRPr="00E3425E">
              <w:rPr>
                <w:rFonts w:cs="Arial"/>
                <w:snapToGrid w:val="0"/>
                <w:color w:val="000000"/>
                <w:szCs w:val="20"/>
              </w:rPr>
              <w:t>stanovanja</w:t>
            </w:r>
            <w:proofErr w:type="spellEnd"/>
            <w:r w:rsidRPr="00E3425E">
              <w:rPr>
                <w:rFonts w:cs="Arial"/>
                <w:snapToGrid w:val="0"/>
                <w:color w:val="000000"/>
                <w:szCs w:val="20"/>
              </w:rPr>
              <w:t>,</w:t>
            </w:r>
          </w:p>
          <w:p w:rsidR="00E3425E" w:rsidRPr="00E3425E" w:rsidRDefault="00E3425E" w:rsidP="00E3425E">
            <w:pPr>
              <w:numPr>
                <w:ilvl w:val="0"/>
                <w:numId w:val="18"/>
              </w:numPr>
              <w:spacing w:line="240" w:lineRule="auto"/>
              <w:ind w:right="-1"/>
              <w:jc w:val="both"/>
              <w:rPr>
                <w:rFonts w:cs="Arial"/>
                <w:snapToGrid w:val="0"/>
                <w:color w:val="000000"/>
                <w:szCs w:val="20"/>
              </w:rPr>
            </w:pPr>
            <w:r w:rsidRPr="00E3425E">
              <w:rPr>
                <w:rFonts w:cs="Arial"/>
                <w:snapToGrid w:val="0"/>
                <w:color w:val="000000"/>
                <w:szCs w:val="20"/>
              </w:rPr>
              <w:t xml:space="preserve">Ana VIDMAR, </w:t>
            </w:r>
            <w:proofErr w:type="spellStart"/>
            <w:r w:rsidRPr="00E3425E">
              <w:rPr>
                <w:rFonts w:cs="Arial"/>
                <w:snapToGrid w:val="0"/>
                <w:color w:val="000000"/>
                <w:szCs w:val="20"/>
              </w:rPr>
              <w:t>vodja</w:t>
            </w:r>
            <w:proofErr w:type="spellEnd"/>
            <w:r w:rsidRPr="00E3425E">
              <w:rPr>
                <w:rFonts w:cs="Arial"/>
                <w:snapToGrid w:val="0"/>
                <w:color w:val="000000"/>
                <w:szCs w:val="20"/>
              </w:rPr>
              <w:t xml:space="preserve"> </w:t>
            </w:r>
            <w:proofErr w:type="spellStart"/>
            <w:r w:rsidRPr="00E3425E">
              <w:rPr>
                <w:rFonts w:cs="Arial"/>
                <w:snapToGrid w:val="0"/>
                <w:color w:val="000000"/>
                <w:szCs w:val="20"/>
              </w:rPr>
              <w:t>Sektorja</w:t>
            </w:r>
            <w:proofErr w:type="spellEnd"/>
            <w:r w:rsidRPr="00E3425E">
              <w:rPr>
                <w:rFonts w:cs="Arial"/>
                <w:snapToGrid w:val="0"/>
                <w:color w:val="000000"/>
                <w:szCs w:val="20"/>
              </w:rPr>
              <w:t xml:space="preserve"> </w:t>
            </w:r>
            <w:proofErr w:type="spellStart"/>
            <w:r w:rsidRPr="00E3425E">
              <w:rPr>
                <w:rFonts w:cs="Arial"/>
                <w:snapToGrid w:val="0"/>
                <w:color w:val="000000"/>
                <w:szCs w:val="20"/>
              </w:rPr>
              <w:t>za</w:t>
            </w:r>
            <w:proofErr w:type="spellEnd"/>
            <w:r w:rsidRPr="00E3425E">
              <w:rPr>
                <w:rFonts w:cs="Arial"/>
                <w:snapToGrid w:val="0"/>
                <w:color w:val="000000"/>
                <w:szCs w:val="20"/>
              </w:rPr>
              <w:t xml:space="preserve"> </w:t>
            </w:r>
            <w:proofErr w:type="spellStart"/>
            <w:r w:rsidRPr="00E3425E">
              <w:rPr>
                <w:rFonts w:cs="Arial"/>
                <w:snapToGrid w:val="0"/>
                <w:color w:val="000000"/>
                <w:szCs w:val="20"/>
              </w:rPr>
              <w:t>prostorsko</w:t>
            </w:r>
            <w:proofErr w:type="spellEnd"/>
            <w:r w:rsidRPr="00E3425E">
              <w:rPr>
                <w:rFonts w:cs="Arial"/>
                <w:snapToGrid w:val="0"/>
                <w:color w:val="000000"/>
                <w:szCs w:val="20"/>
              </w:rPr>
              <w:t xml:space="preserve"> </w:t>
            </w:r>
            <w:proofErr w:type="spellStart"/>
            <w:r w:rsidRPr="00E3425E">
              <w:rPr>
                <w:rFonts w:cs="Arial"/>
                <w:snapToGrid w:val="0"/>
                <w:color w:val="000000"/>
                <w:szCs w:val="20"/>
              </w:rPr>
              <w:t>načrtovanje</w:t>
            </w:r>
            <w:proofErr w:type="spellEnd"/>
            <w:r w:rsidRPr="00E3425E">
              <w:rPr>
                <w:rFonts w:cs="Arial"/>
                <w:snapToGrid w:val="0"/>
                <w:color w:val="000000"/>
                <w:szCs w:val="20"/>
              </w:rPr>
              <w:t>,</w:t>
            </w:r>
          </w:p>
          <w:p w:rsidR="00E3425E" w:rsidRPr="00E3425E" w:rsidRDefault="00E3425E" w:rsidP="00E3425E">
            <w:pPr>
              <w:numPr>
                <w:ilvl w:val="0"/>
                <w:numId w:val="18"/>
              </w:numPr>
              <w:spacing w:line="240" w:lineRule="auto"/>
              <w:ind w:right="-1"/>
              <w:jc w:val="both"/>
              <w:rPr>
                <w:rFonts w:cs="Arial"/>
                <w:snapToGrid w:val="0"/>
                <w:color w:val="000000"/>
                <w:szCs w:val="20"/>
              </w:rPr>
            </w:pPr>
            <w:proofErr w:type="gramStart"/>
            <w:r w:rsidRPr="00E3425E">
              <w:rPr>
                <w:rFonts w:cs="Arial"/>
                <w:snapToGrid w:val="0"/>
                <w:color w:val="000000"/>
                <w:spacing w:val="-2"/>
                <w:szCs w:val="20"/>
              </w:rPr>
              <w:t>mag</w:t>
            </w:r>
            <w:proofErr w:type="gramEnd"/>
            <w:r w:rsidRPr="00E3425E">
              <w:rPr>
                <w:rFonts w:cs="Arial"/>
                <w:snapToGrid w:val="0"/>
                <w:color w:val="000000"/>
                <w:spacing w:val="-2"/>
                <w:szCs w:val="20"/>
              </w:rPr>
              <w:t xml:space="preserve">. Renata GORJUP,  </w:t>
            </w:r>
            <w:proofErr w:type="spellStart"/>
            <w:r w:rsidRPr="00E3425E">
              <w:rPr>
                <w:rFonts w:cs="Arial"/>
                <w:snapToGrid w:val="0"/>
                <w:color w:val="000000"/>
                <w:spacing w:val="-2"/>
                <w:szCs w:val="20"/>
              </w:rPr>
              <w:t>višja</w:t>
            </w:r>
            <w:proofErr w:type="spellEnd"/>
            <w:r w:rsidRPr="00E3425E">
              <w:rPr>
                <w:rFonts w:cs="Arial"/>
                <w:snapToGrid w:val="0"/>
                <w:color w:val="000000"/>
                <w:spacing w:val="-2"/>
                <w:szCs w:val="20"/>
              </w:rPr>
              <w:t xml:space="preserve"> </w:t>
            </w:r>
            <w:proofErr w:type="spellStart"/>
            <w:r w:rsidRPr="00E3425E">
              <w:rPr>
                <w:rFonts w:cs="Arial"/>
                <w:snapToGrid w:val="0"/>
                <w:color w:val="000000"/>
                <w:spacing w:val="-2"/>
                <w:szCs w:val="20"/>
              </w:rPr>
              <w:t>svetovalka</w:t>
            </w:r>
            <w:proofErr w:type="spellEnd"/>
            <w:r w:rsidRPr="00E3425E">
              <w:rPr>
                <w:rFonts w:cs="Arial"/>
                <w:snapToGrid w:val="0"/>
                <w:color w:val="000000"/>
                <w:spacing w:val="-2"/>
                <w:szCs w:val="20"/>
              </w:rPr>
              <w:t>.</w:t>
            </w:r>
          </w:p>
        </w:tc>
      </w:tr>
      <w:tr w:rsidR="00E3425E" w:rsidRPr="00E3425E"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E3425E" w:rsidRDefault="00E3425E" w:rsidP="00E3425E">
            <w:pPr>
              <w:pStyle w:val="Naslov1"/>
              <w:rPr>
                <w:rFonts w:cs="Arial"/>
                <w:sz w:val="20"/>
                <w:szCs w:val="20"/>
              </w:rPr>
            </w:pPr>
            <w:proofErr w:type="spellStart"/>
            <w:r w:rsidRPr="00E3425E">
              <w:rPr>
                <w:rFonts w:cs="Arial"/>
                <w:sz w:val="20"/>
                <w:szCs w:val="20"/>
              </w:rPr>
              <w:t>3.b</w:t>
            </w:r>
            <w:proofErr w:type="spellEnd"/>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Zunanji strokovnjaki, ki so sodelovali pri pripravi dela ali celotnega gradiva:</w:t>
            </w:r>
          </w:p>
        </w:tc>
      </w:tr>
      <w:tr w:rsidR="00E3425E" w:rsidRPr="00E3425E"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E3425E" w:rsidRDefault="00E3425E" w:rsidP="007F364D">
            <w:pPr>
              <w:spacing w:line="240" w:lineRule="auto"/>
              <w:ind w:left="142" w:right="-1"/>
              <w:jc w:val="both"/>
              <w:rPr>
                <w:rFonts w:cs="Arial"/>
                <w:i/>
                <w:snapToGrid w:val="0"/>
                <w:color w:val="000000"/>
                <w:szCs w:val="20"/>
              </w:rPr>
            </w:pPr>
          </w:p>
        </w:tc>
      </w:tr>
      <w:tr w:rsidR="00E3425E" w:rsidRPr="00E3425E"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lastRenderedPageBreak/>
              <w:t>4.</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Predstavniki vlade, ki bodo sodelovali pri delu Državnega zbora RS:</w:t>
            </w:r>
          </w:p>
        </w:tc>
      </w:tr>
      <w:tr w:rsidR="00E3425E" w:rsidRPr="00E3425E"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E3425E" w:rsidRDefault="00E3425E" w:rsidP="00E3425E">
            <w:pPr>
              <w:pStyle w:val="Naslov1"/>
              <w:rPr>
                <w:rFonts w:cs="Arial"/>
                <w:sz w:val="20"/>
                <w:szCs w:val="20"/>
              </w:rPr>
            </w:pPr>
          </w:p>
        </w:tc>
      </w:tr>
      <w:tr w:rsidR="00E3425E" w:rsidRPr="00E3425E" w:rsidTr="00E3425E">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5.</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Kratek povzetek gradiva:</w:t>
            </w:r>
          </w:p>
        </w:tc>
      </w:tr>
      <w:tr w:rsidR="00E3425E" w:rsidRPr="00E3425E" w:rsidTr="00E3425E">
        <w:trPr>
          <w:gridBefore w:val="1"/>
          <w:gridAfter w:val="1"/>
          <w:wBefore w:w="34" w:type="dxa"/>
          <w:wAfter w:w="47" w:type="dxa"/>
          <w:trHeight w:val="391"/>
        </w:trPr>
        <w:tc>
          <w:tcPr>
            <w:tcW w:w="8708" w:type="dxa"/>
            <w:gridSpan w:val="6"/>
            <w:tcBorders>
              <w:top w:val="single" w:sz="4" w:space="0" w:color="auto"/>
              <w:bottom w:val="single" w:sz="4" w:space="0" w:color="auto"/>
            </w:tcBorders>
            <w:shd w:val="clear" w:color="auto" w:fill="auto"/>
          </w:tcPr>
          <w:p w:rsidR="00E3425E" w:rsidRPr="00E3425E" w:rsidRDefault="00E3425E" w:rsidP="00653D52">
            <w:pPr>
              <w:pStyle w:val="Seznam"/>
              <w:spacing w:line="240" w:lineRule="auto"/>
              <w:ind w:left="0" w:firstLine="0"/>
              <w:rPr>
                <w:rFonts w:ascii="Arial" w:hAnsi="Arial" w:cs="Arial"/>
                <w:sz w:val="20"/>
              </w:rPr>
            </w:pPr>
            <w:r w:rsidRPr="00E3425E">
              <w:rPr>
                <w:rFonts w:ascii="Arial" w:hAnsi="Arial" w:cs="Arial"/>
                <w:w w:val="100"/>
                <w:sz w:val="20"/>
                <w:lang w:val="sl-SI"/>
              </w:rPr>
              <w:t>Na podlagi določb 82. člena Zakona o urejanju prostora (Uradni list RS, št. 61/17) lahko občina načrtuje prostorske ureditve lokalnega pomena na območjih DPN, uredbe o najustreznejši varianti in uredbe o varovanem območju,</w:t>
            </w:r>
            <w:r w:rsidRPr="00E3425E">
              <w:rPr>
                <w:rFonts w:ascii="Arial" w:hAnsi="Arial" w:cs="Arial"/>
                <w:w w:val="100"/>
                <w:sz w:val="20"/>
              </w:rPr>
              <w:t xml:space="preserve"> če s tem soglaša </w:t>
            </w:r>
            <w:r w:rsidRPr="00E3425E">
              <w:rPr>
                <w:rFonts w:ascii="Arial" w:hAnsi="Arial" w:cs="Arial"/>
                <w:w w:val="100"/>
                <w:sz w:val="20"/>
                <w:lang w:val="sl-SI"/>
              </w:rPr>
              <w:t>vlada i</w:t>
            </w:r>
            <w:r w:rsidRPr="00E3425E">
              <w:rPr>
                <w:rFonts w:ascii="Arial" w:hAnsi="Arial" w:cs="Arial"/>
                <w:w w:val="100"/>
                <w:sz w:val="20"/>
              </w:rPr>
              <w:t>n če</w:t>
            </w:r>
            <w:r w:rsidRPr="00E3425E">
              <w:rPr>
                <w:rFonts w:ascii="Arial" w:hAnsi="Arial" w:cs="Arial"/>
                <w:w w:val="100"/>
                <w:sz w:val="20"/>
                <w:lang w:val="sl-SI"/>
              </w:rPr>
              <w:t xml:space="preserve"> nista</w:t>
            </w:r>
            <w:r w:rsidRPr="00E3425E">
              <w:rPr>
                <w:rFonts w:ascii="Arial" w:hAnsi="Arial" w:cs="Arial"/>
                <w:w w:val="100"/>
                <w:sz w:val="20"/>
              </w:rPr>
              <w:t xml:space="preserve"> onemogoč</w:t>
            </w:r>
            <w:r w:rsidRPr="00E3425E">
              <w:rPr>
                <w:rFonts w:ascii="Arial" w:hAnsi="Arial" w:cs="Arial"/>
                <w:w w:val="100"/>
                <w:sz w:val="20"/>
                <w:lang w:val="sl-SI"/>
              </w:rPr>
              <w:t xml:space="preserve">eni izvedba in uporaba </w:t>
            </w:r>
            <w:r w:rsidRPr="00653D52">
              <w:rPr>
                <w:rFonts w:ascii="Arial" w:hAnsi="Arial" w:cs="Arial"/>
                <w:w w:val="100"/>
                <w:sz w:val="20"/>
                <w:lang w:val="sl-SI"/>
              </w:rPr>
              <w:t xml:space="preserve"> prostorskih ureditev</w:t>
            </w:r>
            <w:r w:rsidRPr="00E3425E">
              <w:rPr>
                <w:rFonts w:ascii="Arial" w:hAnsi="Arial" w:cs="Arial"/>
                <w:w w:val="100"/>
                <w:sz w:val="20"/>
                <w:lang w:val="sl-SI"/>
              </w:rPr>
              <w:t>, načrtovanih v DPN ali uredbi o najustreznejši varianti, ali dovoljeni s celovitim dovoljenjem. O soglasju za tovrstno načrtovanje oziroma zavrnitvi soglasja odloča Vlada RS na vsakokratno pobudo posamezne občine, ki po predhodni uskladitvi z investitorjem izvedbe načrtovane prostorske ureditve ali upravljavcem izvedene ureditve utemelji načrtovanje lokalnih prostorskih ureditev.</w:t>
            </w:r>
          </w:p>
          <w:p w:rsidR="00E3425E" w:rsidRPr="00E3425E" w:rsidRDefault="00E3425E" w:rsidP="007F364D">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sz w:val="20"/>
              </w:rPr>
            </w:pPr>
            <w:r w:rsidRPr="00E3425E">
              <w:rPr>
                <w:rFonts w:ascii="Arial" w:hAnsi="Arial" w:cs="Arial"/>
                <w:w w:val="100"/>
                <w:sz w:val="20"/>
                <w:lang w:val="sl-SI"/>
              </w:rPr>
              <w:t>Občina Lenart bi rada na robnih delih AC na območju svoje občine prostorsko načrtovala tako, da bi ta območja vključila v OPN in z njim določila elemente izvedbene regulacije prostora. Nekatera območja, ki so zajeta v DPN za AC odseka Maribor – Lenart in za odsek AC Lenart - Spodnja Senarska, so namreč za delovanje in obratovanje izvedenih ureditev na podlagi DPN nepotrebna ali pa načrtovane ureditve niso bile izvedene oziroma niso več potrebne. Gre za območje načrtovane severne obvozne ceste za Lenart, ker z DPN načrtovan potek za občino ni več aktualen, območja preloženih lokalnih cest in javnih poti, območja prestavitve vodotokov, območja za odlaganje materiala, pogozdena območja, ipd.</w:t>
            </w:r>
          </w:p>
        </w:tc>
      </w:tr>
      <w:tr w:rsidR="00E3425E" w:rsidRPr="00E3425E"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6.</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Presoja posledic:</w:t>
            </w:r>
          </w:p>
        </w:tc>
      </w:tr>
      <w:tr w:rsidR="00E3425E" w:rsidRPr="00E3425E"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E3425E" w:rsidRDefault="00E3425E" w:rsidP="007F364D">
            <w:pPr>
              <w:autoSpaceDE w:val="0"/>
              <w:autoSpaceDN w:val="0"/>
              <w:adjustRightInd w:val="0"/>
              <w:spacing w:line="240" w:lineRule="auto"/>
              <w:ind w:left="540" w:hanging="540"/>
              <w:jc w:val="center"/>
              <w:rPr>
                <w:rFonts w:cs="Arial"/>
                <w:bCs/>
                <w:szCs w:val="20"/>
              </w:rPr>
            </w:pPr>
            <w:r w:rsidRPr="00E3425E">
              <w:rPr>
                <w:rFonts w:cs="Arial"/>
                <w:bCs/>
                <w:szCs w:val="20"/>
              </w:rPr>
              <w:t>a)</w:t>
            </w:r>
          </w:p>
        </w:tc>
        <w:tc>
          <w:tcPr>
            <w:tcW w:w="7233" w:type="dxa"/>
            <w:gridSpan w:val="3"/>
            <w:shd w:val="clear" w:color="auto" w:fill="auto"/>
          </w:tcPr>
          <w:p w:rsidR="00E3425E" w:rsidRPr="00E3425E" w:rsidRDefault="00E3425E" w:rsidP="007F364D">
            <w:pPr>
              <w:autoSpaceDE w:val="0"/>
              <w:autoSpaceDN w:val="0"/>
              <w:adjustRightInd w:val="0"/>
              <w:spacing w:line="240" w:lineRule="auto"/>
              <w:rPr>
                <w:rFonts w:cs="Arial"/>
                <w:bCs/>
                <w:szCs w:val="20"/>
              </w:rPr>
            </w:pPr>
            <w:proofErr w:type="spellStart"/>
            <w:r w:rsidRPr="00E3425E">
              <w:rPr>
                <w:rFonts w:cs="Arial"/>
                <w:bCs/>
                <w:szCs w:val="20"/>
              </w:rPr>
              <w:t>na</w:t>
            </w:r>
            <w:proofErr w:type="spellEnd"/>
            <w:r w:rsidRPr="00E3425E">
              <w:rPr>
                <w:rFonts w:cs="Arial"/>
                <w:bCs/>
                <w:szCs w:val="20"/>
              </w:rPr>
              <w:t xml:space="preserve"> </w:t>
            </w:r>
            <w:proofErr w:type="spellStart"/>
            <w:r w:rsidRPr="00E3425E">
              <w:rPr>
                <w:rFonts w:cs="Arial"/>
                <w:bCs/>
                <w:szCs w:val="20"/>
              </w:rPr>
              <w:t>javnofinančna</w:t>
            </w:r>
            <w:proofErr w:type="spellEnd"/>
            <w:r w:rsidRPr="00E3425E">
              <w:rPr>
                <w:rFonts w:cs="Arial"/>
                <w:bCs/>
                <w:szCs w:val="20"/>
              </w:rPr>
              <w:t xml:space="preserve"> </w:t>
            </w:r>
            <w:proofErr w:type="spellStart"/>
            <w:r w:rsidRPr="00E3425E">
              <w:rPr>
                <w:rFonts w:cs="Arial"/>
                <w:bCs/>
                <w:szCs w:val="20"/>
              </w:rPr>
              <w:t>sredstva</w:t>
            </w:r>
            <w:proofErr w:type="spellEnd"/>
            <w:r w:rsidRPr="00E3425E">
              <w:rPr>
                <w:rFonts w:cs="Arial"/>
                <w:bCs/>
                <w:szCs w:val="20"/>
              </w:rPr>
              <w:t xml:space="preserve"> v </w:t>
            </w:r>
            <w:proofErr w:type="spellStart"/>
            <w:r w:rsidRPr="00E3425E">
              <w:rPr>
                <w:rFonts w:cs="Arial"/>
                <w:bCs/>
                <w:szCs w:val="20"/>
              </w:rPr>
              <w:t>višini</w:t>
            </w:r>
            <w:proofErr w:type="spellEnd"/>
            <w:r w:rsidRPr="00E3425E">
              <w:rPr>
                <w:rFonts w:cs="Arial"/>
                <w:bCs/>
                <w:szCs w:val="20"/>
              </w:rPr>
              <w:t xml:space="preserve">, </w:t>
            </w:r>
            <w:proofErr w:type="spellStart"/>
            <w:r w:rsidRPr="00E3425E">
              <w:rPr>
                <w:rFonts w:cs="Arial"/>
                <w:bCs/>
                <w:szCs w:val="20"/>
              </w:rPr>
              <w:t>večji</w:t>
            </w:r>
            <w:proofErr w:type="spellEnd"/>
            <w:r w:rsidRPr="00E3425E">
              <w:rPr>
                <w:rFonts w:cs="Arial"/>
                <w:bCs/>
                <w:szCs w:val="20"/>
              </w:rPr>
              <w:t xml:space="preserve"> od 40 000 EUR v </w:t>
            </w:r>
            <w:proofErr w:type="spellStart"/>
            <w:r w:rsidRPr="00E3425E">
              <w:rPr>
                <w:rFonts w:cs="Arial"/>
                <w:bCs/>
                <w:szCs w:val="20"/>
              </w:rPr>
              <w:t>tekočem</w:t>
            </w:r>
            <w:proofErr w:type="spellEnd"/>
            <w:r w:rsidRPr="00E3425E">
              <w:rPr>
                <w:rFonts w:cs="Arial"/>
                <w:bCs/>
                <w:szCs w:val="20"/>
              </w:rPr>
              <w:t xml:space="preserve"> in </w:t>
            </w:r>
            <w:proofErr w:type="spellStart"/>
            <w:r w:rsidRPr="00E3425E">
              <w:rPr>
                <w:rFonts w:cs="Arial"/>
                <w:bCs/>
                <w:szCs w:val="20"/>
              </w:rPr>
              <w:t>naslednjih</w:t>
            </w:r>
            <w:proofErr w:type="spellEnd"/>
            <w:r w:rsidRPr="00E3425E">
              <w:rPr>
                <w:rFonts w:cs="Arial"/>
                <w:bCs/>
                <w:szCs w:val="20"/>
              </w:rPr>
              <w:t xml:space="preserve"> </w:t>
            </w:r>
            <w:proofErr w:type="spellStart"/>
            <w:r w:rsidRPr="00E3425E">
              <w:rPr>
                <w:rFonts w:cs="Arial"/>
                <w:bCs/>
                <w:szCs w:val="20"/>
              </w:rPr>
              <w:t>treh</w:t>
            </w:r>
            <w:proofErr w:type="spellEnd"/>
            <w:r w:rsidRPr="00E3425E">
              <w:rPr>
                <w:rFonts w:cs="Arial"/>
                <w:bCs/>
                <w:szCs w:val="20"/>
              </w:rPr>
              <w:t xml:space="preserve"> </w:t>
            </w:r>
            <w:proofErr w:type="spellStart"/>
            <w:r w:rsidRPr="00E3425E">
              <w:rPr>
                <w:rFonts w:cs="Arial"/>
                <w:bCs/>
                <w:szCs w:val="20"/>
              </w:rPr>
              <w:t>letih</w:t>
            </w:r>
            <w:proofErr w:type="spellEnd"/>
            <w:r w:rsidRPr="00E3425E">
              <w:rPr>
                <w:rFonts w:cs="Arial"/>
                <w:bCs/>
                <w:szCs w:val="20"/>
              </w:rPr>
              <w:t xml:space="preserve"> </w:t>
            </w:r>
          </w:p>
        </w:tc>
        <w:tc>
          <w:tcPr>
            <w:tcW w:w="806" w:type="dxa"/>
            <w:gridSpan w:val="2"/>
            <w:shd w:val="clear" w:color="auto" w:fill="auto"/>
            <w:vAlign w:val="center"/>
          </w:tcPr>
          <w:p w:rsidR="00E3425E" w:rsidRPr="00E3425E" w:rsidRDefault="00E3425E" w:rsidP="007F364D">
            <w:pPr>
              <w:autoSpaceDE w:val="0"/>
              <w:autoSpaceDN w:val="0"/>
              <w:adjustRightInd w:val="0"/>
              <w:spacing w:line="240" w:lineRule="auto"/>
              <w:jc w:val="center"/>
              <w:rPr>
                <w:rFonts w:cs="Arial"/>
                <w:bCs/>
                <w:szCs w:val="20"/>
              </w:rPr>
            </w:pPr>
            <w:r w:rsidRPr="00E3425E">
              <w:rPr>
                <w:rFonts w:cs="Arial"/>
                <w:bCs/>
                <w:szCs w:val="20"/>
              </w:rPr>
              <w:t>NE</w:t>
            </w:r>
          </w:p>
        </w:tc>
      </w:tr>
      <w:tr w:rsidR="00E3425E" w:rsidRPr="00E3425E"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E3425E" w:rsidRDefault="00E3425E" w:rsidP="007F364D">
            <w:pPr>
              <w:autoSpaceDE w:val="0"/>
              <w:autoSpaceDN w:val="0"/>
              <w:adjustRightInd w:val="0"/>
              <w:spacing w:line="240" w:lineRule="auto"/>
              <w:ind w:left="540" w:hanging="540"/>
              <w:jc w:val="center"/>
              <w:rPr>
                <w:rFonts w:cs="Arial"/>
                <w:bCs/>
                <w:szCs w:val="20"/>
              </w:rPr>
            </w:pPr>
            <w:r w:rsidRPr="00E3425E">
              <w:rPr>
                <w:rFonts w:cs="Arial"/>
                <w:bCs/>
                <w:szCs w:val="20"/>
              </w:rPr>
              <w:t>b)</w:t>
            </w:r>
          </w:p>
        </w:tc>
        <w:tc>
          <w:tcPr>
            <w:tcW w:w="7233" w:type="dxa"/>
            <w:gridSpan w:val="3"/>
            <w:shd w:val="clear" w:color="auto" w:fill="auto"/>
          </w:tcPr>
          <w:p w:rsidR="00E3425E" w:rsidRPr="00E3425E" w:rsidRDefault="00E3425E" w:rsidP="007F364D">
            <w:pPr>
              <w:autoSpaceDE w:val="0"/>
              <w:autoSpaceDN w:val="0"/>
              <w:adjustRightInd w:val="0"/>
              <w:spacing w:line="240" w:lineRule="auto"/>
              <w:rPr>
                <w:rFonts w:cs="Arial"/>
                <w:bCs/>
                <w:szCs w:val="20"/>
              </w:rPr>
            </w:pPr>
            <w:proofErr w:type="spellStart"/>
            <w:r w:rsidRPr="00E3425E">
              <w:rPr>
                <w:rFonts w:cs="Arial"/>
                <w:bCs/>
                <w:szCs w:val="20"/>
              </w:rPr>
              <w:t>na</w:t>
            </w:r>
            <w:proofErr w:type="spellEnd"/>
            <w:r w:rsidRPr="00E3425E">
              <w:rPr>
                <w:rFonts w:cs="Arial"/>
                <w:bCs/>
                <w:szCs w:val="20"/>
              </w:rPr>
              <w:t xml:space="preserve"> </w:t>
            </w:r>
            <w:proofErr w:type="spellStart"/>
            <w:r w:rsidRPr="00E3425E">
              <w:rPr>
                <w:rFonts w:cs="Arial"/>
                <w:bCs/>
                <w:szCs w:val="20"/>
              </w:rPr>
              <w:t>usklajenost</w:t>
            </w:r>
            <w:proofErr w:type="spellEnd"/>
            <w:r w:rsidRPr="00E3425E">
              <w:rPr>
                <w:rFonts w:cs="Arial"/>
                <w:bCs/>
                <w:szCs w:val="20"/>
              </w:rPr>
              <w:t xml:space="preserve"> </w:t>
            </w:r>
            <w:proofErr w:type="spellStart"/>
            <w:r w:rsidRPr="00E3425E">
              <w:rPr>
                <w:rFonts w:cs="Arial"/>
                <w:bCs/>
                <w:szCs w:val="20"/>
              </w:rPr>
              <w:t>slovenskega</w:t>
            </w:r>
            <w:proofErr w:type="spellEnd"/>
            <w:r w:rsidRPr="00E3425E">
              <w:rPr>
                <w:rFonts w:cs="Arial"/>
                <w:bCs/>
                <w:szCs w:val="20"/>
              </w:rPr>
              <w:t xml:space="preserve"> </w:t>
            </w:r>
            <w:proofErr w:type="spellStart"/>
            <w:r w:rsidRPr="00E3425E">
              <w:rPr>
                <w:rFonts w:cs="Arial"/>
                <w:bCs/>
                <w:szCs w:val="20"/>
              </w:rPr>
              <w:t>pravnega</w:t>
            </w:r>
            <w:proofErr w:type="spellEnd"/>
            <w:r w:rsidRPr="00E3425E">
              <w:rPr>
                <w:rFonts w:cs="Arial"/>
                <w:bCs/>
                <w:szCs w:val="20"/>
              </w:rPr>
              <w:t xml:space="preserve"> </w:t>
            </w:r>
            <w:proofErr w:type="spellStart"/>
            <w:r w:rsidRPr="00E3425E">
              <w:rPr>
                <w:rFonts w:cs="Arial"/>
                <w:bCs/>
                <w:szCs w:val="20"/>
              </w:rPr>
              <w:t>reda</w:t>
            </w:r>
            <w:proofErr w:type="spellEnd"/>
            <w:r w:rsidRPr="00E3425E">
              <w:rPr>
                <w:rFonts w:cs="Arial"/>
                <w:bCs/>
                <w:szCs w:val="20"/>
              </w:rPr>
              <w:t xml:space="preserve"> s </w:t>
            </w:r>
            <w:proofErr w:type="spellStart"/>
            <w:r w:rsidRPr="00E3425E">
              <w:rPr>
                <w:rFonts w:cs="Arial"/>
                <w:bCs/>
                <w:szCs w:val="20"/>
              </w:rPr>
              <w:t>pravnim</w:t>
            </w:r>
            <w:proofErr w:type="spellEnd"/>
            <w:r w:rsidRPr="00E3425E">
              <w:rPr>
                <w:rFonts w:cs="Arial"/>
                <w:bCs/>
                <w:szCs w:val="20"/>
              </w:rPr>
              <w:t xml:space="preserve"> </w:t>
            </w:r>
            <w:proofErr w:type="spellStart"/>
            <w:r w:rsidRPr="00E3425E">
              <w:rPr>
                <w:rFonts w:cs="Arial"/>
                <w:bCs/>
                <w:szCs w:val="20"/>
              </w:rPr>
              <w:t>redom</w:t>
            </w:r>
            <w:proofErr w:type="spellEnd"/>
            <w:r w:rsidRPr="00E3425E">
              <w:rPr>
                <w:rFonts w:cs="Arial"/>
                <w:bCs/>
                <w:szCs w:val="20"/>
              </w:rPr>
              <w:t xml:space="preserve"> </w:t>
            </w:r>
            <w:proofErr w:type="spellStart"/>
            <w:r w:rsidRPr="00E3425E">
              <w:rPr>
                <w:rFonts w:cs="Arial"/>
                <w:bCs/>
                <w:szCs w:val="20"/>
              </w:rPr>
              <w:t>Evropske</w:t>
            </w:r>
            <w:proofErr w:type="spellEnd"/>
            <w:r w:rsidRPr="00E3425E">
              <w:rPr>
                <w:rFonts w:cs="Arial"/>
                <w:bCs/>
                <w:szCs w:val="20"/>
              </w:rPr>
              <w:t xml:space="preserve"> </w:t>
            </w:r>
            <w:proofErr w:type="spellStart"/>
            <w:r w:rsidRPr="00E3425E">
              <w:rPr>
                <w:rFonts w:cs="Arial"/>
                <w:bCs/>
                <w:szCs w:val="20"/>
              </w:rPr>
              <w:t>unije</w:t>
            </w:r>
            <w:proofErr w:type="spellEnd"/>
            <w:r w:rsidRPr="00E3425E">
              <w:rPr>
                <w:rFonts w:cs="Arial"/>
                <w:bCs/>
                <w:szCs w:val="20"/>
              </w:rPr>
              <w:t xml:space="preserve"> </w:t>
            </w:r>
          </w:p>
        </w:tc>
        <w:tc>
          <w:tcPr>
            <w:tcW w:w="806" w:type="dxa"/>
            <w:gridSpan w:val="2"/>
            <w:shd w:val="clear" w:color="auto" w:fill="auto"/>
            <w:vAlign w:val="center"/>
          </w:tcPr>
          <w:p w:rsidR="00E3425E" w:rsidRPr="00E3425E" w:rsidRDefault="00E3425E" w:rsidP="007F364D">
            <w:pPr>
              <w:autoSpaceDE w:val="0"/>
              <w:autoSpaceDN w:val="0"/>
              <w:adjustRightInd w:val="0"/>
              <w:spacing w:line="240" w:lineRule="auto"/>
              <w:jc w:val="center"/>
              <w:rPr>
                <w:rFonts w:cs="Arial"/>
                <w:bCs/>
                <w:szCs w:val="20"/>
              </w:rPr>
            </w:pPr>
            <w:r w:rsidRPr="00E3425E">
              <w:rPr>
                <w:rFonts w:cs="Arial"/>
                <w:bCs/>
                <w:szCs w:val="20"/>
              </w:rPr>
              <w:t>NE</w:t>
            </w:r>
          </w:p>
        </w:tc>
      </w:tr>
      <w:tr w:rsidR="00E3425E" w:rsidRPr="00E3425E"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E3425E" w:rsidRDefault="00E3425E" w:rsidP="007F364D">
            <w:pPr>
              <w:autoSpaceDE w:val="0"/>
              <w:autoSpaceDN w:val="0"/>
              <w:adjustRightInd w:val="0"/>
              <w:spacing w:line="240" w:lineRule="auto"/>
              <w:ind w:left="540" w:hanging="540"/>
              <w:jc w:val="center"/>
              <w:rPr>
                <w:rFonts w:cs="Arial"/>
                <w:szCs w:val="20"/>
              </w:rPr>
            </w:pPr>
            <w:r w:rsidRPr="00E3425E">
              <w:rPr>
                <w:rFonts w:cs="Arial"/>
                <w:szCs w:val="20"/>
              </w:rPr>
              <w:t>c)</w:t>
            </w:r>
          </w:p>
        </w:tc>
        <w:tc>
          <w:tcPr>
            <w:tcW w:w="7233" w:type="dxa"/>
            <w:gridSpan w:val="3"/>
            <w:shd w:val="clear" w:color="auto" w:fill="auto"/>
          </w:tcPr>
          <w:p w:rsidR="00E3425E" w:rsidRPr="00E3425E" w:rsidRDefault="00E3425E" w:rsidP="007F364D">
            <w:pPr>
              <w:autoSpaceDE w:val="0"/>
              <w:autoSpaceDN w:val="0"/>
              <w:adjustRightInd w:val="0"/>
              <w:spacing w:line="240" w:lineRule="auto"/>
              <w:rPr>
                <w:rFonts w:cs="Arial"/>
                <w:szCs w:val="20"/>
              </w:rPr>
            </w:pPr>
            <w:proofErr w:type="spellStart"/>
            <w:r w:rsidRPr="00E3425E">
              <w:rPr>
                <w:rFonts w:cs="Arial"/>
                <w:szCs w:val="20"/>
              </w:rPr>
              <w:t>administrativne</w:t>
            </w:r>
            <w:proofErr w:type="spellEnd"/>
            <w:r w:rsidRPr="00E3425E">
              <w:rPr>
                <w:rFonts w:cs="Arial"/>
                <w:szCs w:val="20"/>
              </w:rPr>
              <w:t xml:space="preserve"> </w:t>
            </w:r>
            <w:proofErr w:type="spellStart"/>
            <w:r w:rsidRPr="00E3425E">
              <w:rPr>
                <w:rFonts w:cs="Arial"/>
                <w:szCs w:val="20"/>
              </w:rPr>
              <w:t>posledice</w:t>
            </w:r>
            <w:proofErr w:type="spellEnd"/>
          </w:p>
        </w:tc>
        <w:tc>
          <w:tcPr>
            <w:tcW w:w="806" w:type="dxa"/>
            <w:gridSpan w:val="2"/>
            <w:shd w:val="clear" w:color="auto" w:fill="auto"/>
            <w:vAlign w:val="center"/>
          </w:tcPr>
          <w:p w:rsidR="00E3425E" w:rsidRPr="00E3425E" w:rsidRDefault="00E3425E" w:rsidP="007F364D">
            <w:pPr>
              <w:autoSpaceDE w:val="0"/>
              <w:autoSpaceDN w:val="0"/>
              <w:adjustRightInd w:val="0"/>
              <w:spacing w:line="240" w:lineRule="auto"/>
              <w:jc w:val="center"/>
              <w:rPr>
                <w:rFonts w:cs="Arial"/>
                <w:bCs/>
                <w:szCs w:val="20"/>
              </w:rPr>
            </w:pPr>
            <w:r w:rsidRPr="00E3425E">
              <w:rPr>
                <w:rFonts w:cs="Arial"/>
                <w:bCs/>
                <w:szCs w:val="20"/>
              </w:rPr>
              <w:t>NE</w:t>
            </w:r>
          </w:p>
        </w:tc>
      </w:tr>
      <w:tr w:rsidR="00E3425E" w:rsidRPr="00E3425E"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E3425E" w:rsidRDefault="00E3425E" w:rsidP="007F364D">
            <w:pPr>
              <w:autoSpaceDE w:val="0"/>
              <w:autoSpaceDN w:val="0"/>
              <w:adjustRightInd w:val="0"/>
              <w:spacing w:line="240" w:lineRule="auto"/>
              <w:ind w:left="540" w:hanging="540"/>
              <w:jc w:val="center"/>
              <w:rPr>
                <w:rFonts w:cs="Arial"/>
                <w:szCs w:val="20"/>
              </w:rPr>
            </w:pPr>
            <w:r w:rsidRPr="00E3425E">
              <w:rPr>
                <w:rFonts w:cs="Arial"/>
                <w:szCs w:val="20"/>
              </w:rPr>
              <w:t>č)</w:t>
            </w:r>
          </w:p>
        </w:tc>
        <w:tc>
          <w:tcPr>
            <w:tcW w:w="7233" w:type="dxa"/>
            <w:gridSpan w:val="3"/>
            <w:shd w:val="clear" w:color="auto" w:fill="auto"/>
          </w:tcPr>
          <w:p w:rsidR="00E3425E" w:rsidRPr="00E3425E" w:rsidRDefault="00E3425E" w:rsidP="007F364D">
            <w:pPr>
              <w:autoSpaceDE w:val="0"/>
              <w:autoSpaceDN w:val="0"/>
              <w:adjustRightInd w:val="0"/>
              <w:spacing w:line="240" w:lineRule="auto"/>
              <w:rPr>
                <w:rFonts w:cs="Arial"/>
                <w:szCs w:val="20"/>
              </w:rPr>
            </w:pPr>
            <w:proofErr w:type="spellStart"/>
            <w:r w:rsidRPr="00E3425E">
              <w:rPr>
                <w:rFonts w:cs="Arial"/>
                <w:szCs w:val="20"/>
              </w:rPr>
              <w:t>na</w:t>
            </w:r>
            <w:proofErr w:type="spellEnd"/>
            <w:r w:rsidRPr="00E3425E">
              <w:rPr>
                <w:rFonts w:cs="Arial"/>
                <w:szCs w:val="20"/>
              </w:rPr>
              <w:t xml:space="preserve"> </w:t>
            </w:r>
            <w:proofErr w:type="spellStart"/>
            <w:r w:rsidRPr="00E3425E">
              <w:rPr>
                <w:rFonts w:cs="Arial"/>
                <w:szCs w:val="20"/>
              </w:rPr>
              <w:t>gospodarstvo</w:t>
            </w:r>
            <w:proofErr w:type="spellEnd"/>
            <w:r w:rsidRPr="00E3425E">
              <w:rPr>
                <w:rFonts w:cs="Arial"/>
                <w:szCs w:val="20"/>
              </w:rPr>
              <w:t xml:space="preserve">, </w:t>
            </w:r>
            <w:proofErr w:type="spellStart"/>
            <w:r w:rsidRPr="00E3425E">
              <w:rPr>
                <w:rFonts w:cs="Arial"/>
                <w:szCs w:val="20"/>
              </w:rPr>
              <w:t>posebej</w:t>
            </w:r>
            <w:proofErr w:type="spellEnd"/>
            <w:r w:rsidRPr="00E3425E">
              <w:rPr>
                <w:rFonts w:cs="Arial"/>
                <w:szCs w:val="20"/>
              </w:rPr>
              <w:t xml:space="preserve"> </w:t>
            </w:r>
            <w:proofErr w:type="spellStart"/>
            <w:r w:rsidRPr="00E3425E">
              <w:rPr>
                <w:rFonts w:cs="Arial"/>
                <w:szCs w:val="20"/>
              </w:rPr>
              <w:t>na</w:t>
            </w:r>
            <w:proofErr w:type="spellEnd"/>
            <w:r w:rsidRPr="00E3425E">
              <w:rPr>
                <w:rFonts w:cs="Arial"/>
                <w:szCs w:val="20"/>
              </w:rPr>
              <w:t xml:space="preserve"> mala in </w:t>
            </w:r>
            <w:proofErr w:type="spellStart"/>
            <w:r w:rsidRPr="00E3425E">
              <w:rPr>
                <w:rFonts w:cs="Arial"/>
                <w:szCs w:val="20"/>
              </w:rPr>
              <w:t>srednja</w:t>
            </w:r>
            <w:proofErr w:type="spellEnd"/>
            <w:r w:rsidRPr="00E3425E">
              <w:rPr>
                <w:rFonts w:cs="Arial"/>
                <w:szCs w:val="20"/>
              </w:rPr>
              <w:t xml:space="preserve"> </w:t>
            </w:r>
            <w:proofErr w:type="spellStart"/>
            <w:r w:rsidRPr="00E3425E">
              <w:rPr>
                <w:rFonts w:cs="Arial"/>
                <w:szCs w:val="20"/>
              </w:rPr>
              <w:t>podjetja</w:t>
            </w:r>
            <w:proofErr w:type="spellEnd"/>
            <w:r w:rsidRPr="00E3425E">
              <w:rPr>
                <w:rFonts w:cs="Arial"/>
                <w:szCs w:val="20"/>
              </w:rPr>
              <w:t xml:space="preserve"> </w:t>
            </w:r>
            <w:proofErr w:type="spellStart"/>
            <w:r w:rsidRPr="00E3425E">
              <w:rPr>
                <w:rFonts w:cs="Arial"/>
                <w:szCs w:val="20"/>
              </w:rPr>
              <w:t>ter</w:t>
            </w:r>
            <w:proofErr w:type="spellEnd"/>
            <w:r w:rsidRPr="00E3425E">
              <w:rPr>
                <w:rFonts w:cs="Arial"/>
                <w:szCs w:val="20"/>
              </w:rPr>
              <w:t xml:space="preserve"> </w:t>
            </w:r>
            <w:proofErr w:type="spellStart"/>
            <w:r w:rsidRPr="00E3425E">
              <w:rPr>
                <w:rFonts w:cs="Arial"/>
                <w:szCs w:val="20"/>
              </w:rPr>
              <w:t>konkurenčnost</w:t>
            </w:r>
            <w:proofErr w:type="spellEnd"/>
            <w:r w:rsidRPr="00E3425E">
              <w:rPr>
                <w:rFonts w:cs="Arial"/>
                <w:szCs w:val="20"/>
              </w:rPr>
              <w:t xml:space="preserve"> </w:t>
            </w:r>
            <w:proofErr w:type="spellStart"/>
            <w:r w:rsidRPr="00E3425E">
              <w:rPr>
                <w:rFonts w:cs="Arial"/>
                <w:szCs w:val="20"/>
              </w:rPr>
              <w:t>podjetij</w:t>
            </w:r>
            <w:proofErr w:type="spellEnd"/>
            <w:r w:rsidRPr="00E3425E">
              <w:rPr>
                <w:rFonts w:cs="Arial"/>
                <w:szCs w:val="20"/>
              </w:rPr>
              <w:t xml:space="preserve"> </w:t>
            </w:r>
          </w:p>
        </w:tc>
        <w:tc>
          <w:tcPr>
            <w:tcW w:w="806" w:type="dxa"/>
            <w:gridSpan w:val="2"/>
            <w:shd w:val="clear" w:color="auto" w:fill="auto"/>
            <w:vAlign w:val="center"/>
          </w:tcPr>
          <w:p w:rsidR="00E3425E" w:rsidRPr="00E3425E" w:rsidRDefault="00E3425E" w:rsidP="007F364D">
            <w:pPr>
              <w:autoSpaceDE w:val="0"/>
              <w:autoSpaceDN w:val="0"/>
              <w:adjustRightInd w:val="0"/>
              <w:spacing w:line="240" w:lineRule="auto"/>
              <w:jc w:val="center"/>
              <w:rPr>
                <w:rFonts w:cs="Arial"/>
                <w:bCs/>
                <w:szCs w:val="20"/>
              </w:rPr>
            </w:pPr>
            <w:r w:rsidRPr="00E3425E">
              <w:rPr>
                <w:rFonts w:cs="Arial"/>
                <w:bCs/>
                <w:szCs w:val="20"/>
              </w:rPr>
              <w:t>NE</w:t>
            </w:r>
          </w:p>
        </w:tc>
      </w:tr>
      <w:tr w:rsidR="00E3425E" w:rsidRPr="00E3425E"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E3425E" w:rsidRDefault="00E3425E" w:rsidP="007F364D">
            <w:pPr>
              <w:autoSpaceDE w:val="0"/>
              <w:autoSpaceDN w:val="0"/>
              <w:adjustRightInd w:val="0"/>
              <w:spacing w:line="240" w:lineRule="auto"/>
              <w:ind w:left="540" w:hanging="540"/>
              <w:jc w:val="center"/>
              <w:rPr>
                <w:rFonts w:cs="Arial"/>
                <w:szCs w:val="20"/>
              </w:rPr>
            </w:pPr>
            <w:r w:rsidRPr="00E3425E">
              <w:rPr>
                <w:rFonts w:cs="Arial"/>
                <w:szCs w:val="20"/>
              </w:rPr>
              <w:t>d)</w:t>
            </w:r>
          </w:p>
        </w:tc>
        <w:tc>
          <w:tcPr>
            <w:tcW w:w="7233" w:type="dxa"/>
            <w:gridSpan w:val="3"/>
            <w:shd w:val="clear" w:color="auto" w:fill="auto"/>
          </w:tcPr>
          <w:p w:rsidR="00E3425E" w:rsidRPr="00E3425E" w:rsidRDefault="00E3425E" w:rsidP="007F364D">
            <w:pPr>
              <w:autoSpaceDE w:val="0"/>
              <w:autoSpaceDN w:val="0"/>
              <w:adjustRightInd w:val="0"/>
              <w:spacing w:line="240" w:lineRule="auto"/>
              <w:rPr>
                <w:rFonts w:cs="Arial"/>
                <w:szCs w:val="20"/>
              </w:rPr>
            </w:pPr>
            <w:proofErr w:type="spellStart"/>
            <w:r w:rsidRPr="00E3425E">
              <w:rPr>
                <w:rFonts w:cs="Arial"/>
                <w:bCs/>
                <w:szCs w:val="20"/>
              </w:rPr>
              <w:t>na</w:t>
            </w:r>
            <w:proofErr w:type="spellEnd"/>
            <w:r w:rsidRPr="00E3425E">
              <w:rPr>
                <w:rFonts w:cs="Arial"/>
                <w:bCs/>
                <w:szCs w:val="20"/>
              </w:rPr>
              <w:t xml:space="preserve"> </w:t>
            </w:r>
            <w:proofErr w:type="spellStart"/>
            <w:r w:rsidRPr="00E3425E">
              <w:rPr>
                <w:rFonts w:cs="Arial"/>
                <w:bCs/>
                <w:szCs w:val="20"/>
              </w:rPr>
              <w:t>okolje</w:t>
            </w:r>
            <w:proofErr w:type="spellEnd"/>
            <w:r w:rsidRPr="00E3425E">
              <w:rPr>
                <w:rFonts w:cs="Arial"/>
                <w:bCs/>
                <w:szCs w:val="20"/>
              </w:rPr>
              <w:t xml:space="preserve">, </w:t>
            </w:r>
            <w:proofErr w:type="spellStart"/>
            <w:r w:rsidRPr="00E3425E">
              <w:rPr>
                <w:rFonts w:cs="Arial"/>
                <w:bCs/>
                <w:szCs w:val="20"/>
              </w:rPr>
              <w:t>kar</w:t>
            </w:r>
            <w:proofErr w:type="spellEnd"/>
            <w:r w:rsidRPr="00E3425E">
              <w:rPr>
                <w:rFonts w:cs="Arial"/>
                <w:bCs/>
                <w:szCs w:val="20"/>
              </w:rPr>
              <w:t xml:space="preserve"> </w:t>
            </w:r>
            <w:proofErr w:type="spellStart"/>
            <w:r w:rsidRPr="00E3425E">
              <w:rPr>
                <w:rFonts w:cs="Arial"/>
                <w:bCs/>
                <w:szCs w:val="20"/>
              </w:rPr>
              <w:t>vključuje</w:t>
            </w:r>
            <w:proofErr w:type="spellEnd"/>
            <w:r w:rsidRPr="00E3425E">
              <w:rPr>
                <w:rFonts w:cs="Arial"/>
                <w:bCs/>
                <w:szCs w:val="20"/>
              </w:rPr>
              <w:t xml:space="preserve"> </w:t>
            </w:r>
            <w:proofErr w:type="spellStart"/>
            <w:r w:rsidRPr="00E3425E">
              <w:rPr>
                <w:rFonts w:cs="Arial"/>
                <w:bCs/>
                <w:szCs w:val="20"/>
              </w:rPr>
              <w:t>tudi</w:t>
            </w:r>
            <w:proofErr w:type="spellEnd"/>
            <w:r w:rsidRPr="00E3425E">
              <w:rPr>
                <w:rFonts w:cs="Arial"/>
                <w:bCs/>
                <w:szCs w:val="20"/>
              </w:rPr>
              <w:t xml:space="preserve"> </w:t>
            </w:r>
            <w:proofErr w:type="spellStart"/>
            <w:r w:rsidRPr="00E3425E">
              <w:rPr>
                <w:rFonts w:cs="Arial"/>
                <w:bCs/>
                <w:szCs w:val="20"/>
              </w:rPr>
              <w:t>prostorske</w:t>
            </w:r>
            <w:proofErr w:type="spellEnd"/>
            <w:r w:rsidRPr="00E3425E">
              <w:rPr>
                <w:rFonts w:cs="Arial"/>
                <w:bCs/>
                <w:szCs w:val="20"/>
              </w:rPr>
              <w:t xml:space="preserve"> in </w:t>
            </w:r>
            <w:proofErr w:type="spellStart"/>
            <w:r w:rsidRPr="00E3425E">
              <w:rPr>
                <w:rFonts w:cs="Arial"/>
                <w:bCs/>
                <w:szCs w:val="20"/>
              </w:rPr>
              <w:t>varstvene</w:t>
            </w:r>
            <w:proofErr w:type="spellEnd"/>
            <w:r w:rsidRPr="00E3425E">
              <w:rPr>
                <w:rFonts w:cs="Arial"/>
                <w:bCs/>
                <w:szCs w:val="20"/>
              </w:rPr>
              <w:t xml:space="preserve"> </w:t>
            </w:r>
            <w:proofErr w:type="spellStart"/>
            <w:r w:rsidRPr="00E3425E">
              <w:rPr>
                <w:rFonts w:cs="Arial"/>
                <w:bCs/>
                <w:szCs w:val="20"/>
              </w:rPr>
              <w:t>vidike</w:t>
            </w:r>
            <w:proofErr w:type="spellEnd"/>
          </w:p>
        </w:tc>
        <w:tc>
          <w:tcPr>
            <w:tcW w:w="806" w:type="dxa"/>
            <w:gridSpan w:val="2"/>
            <w:shd w:val="clear" w:color="auto" w:fill="auto"/>
            <w:vAlign w:val="center"/>
          </w:tcPr>
          <w:p w:rsidR="00E3425E" w:rsidRPr="00E3425E" w:rsidRDefault="00E3425E" w:rsidP="007F364D">
            <w:pPr>
              <w:autoSpaceDE w:val="0"/>
              <w:autoSpaceDN w:val="0"/>
              <w:adjustRightInd w:val="0"/>
              <w:spacing w:line="240" w:lineRule="auto"/>
              <w:jc w:val="center"/>
              <w:rPr>
                <w:rFonts w:cs="Arial"/>
                <w:bCs/>
                <w:szCs w:val="20"/>
              </w:rPr>
            </w:pPr>
            <w:r w:rsidRPr="00E3425E">
              <w:rPr>
                <w:rFonts w:cs="Arial"/>
                <w:bCs/>
                <w:szCs w:val="20"/>
              </w:rPr>
              <w:t>NE</w:t>
            </w:r>
          </w:p>
        </w:tc>
      </w:tr>
      <w:tr w:rsidR="00E3425E" w:rsidRPr="00E3425E" w:rsidTr="00E3425E">
        <w:tblPrEx>
          <w:tblCellMar>
            <w:left w:w="57" w:type="dxa"/>
            <w:right w:w="57" w:type="dxa"/>
          </w:tblCellMar>
        </w:tblPrEx>
        <w:trPr>
          <w:gridBefore w:val="1"/>
          <w:gridAfter w:val="1"/>
          <w:wBefore w:w="34" w:type="dxa"/>
          <w:wAfter w:w="47" w:type="dxa"/>
        </w:trPr>
        <w:tc>
          <w:tcPr>
            <w:tcW w:w="669" w:type="dxa"/>
            <w:shd w:val="clear" w:color="auto" w:fill="auto"/>
          </w:tcPr>
          <w:p w:rsidR="00E3425E" w:rsidRPr="00E3425E" w:rsidRDefault="00E3425E" w:rsidP="007F364D">
            <w:pPr>
              <w:autoSpaceDE w:val="0"/>
              <w:autoSpaceDN w:val="0"/>
              <w:adjustRightInd w:val="0"/>
              <w:spacing w:line="240" w:lineRule="auto"/>
              <w:ind w:left="540" w:hanging="540"/>
              <w:jc w:val="center"/>
              <w:rPr>
                <w:rFonts w:cs="Arial"/>
                <w:bCs/>
                <w:szCs w:val="20"/>
              </w:rPr>
            </w:pPr>
            <w:r w:rsidRPr="00E3425E">
              <w:rPr>
                <w:rFonts w:cs="Arial"/>
                <w:bCs/>
                <w:szCs w:val="20"/>
              </w:rPr>
              <w:t>e)</w:t>
            </w:r>
          </w:p>
        </w:tc>
        <w:tc>
          <w:tcPr>
            <w:tcW w:w="7233" w:type="dxa"/>
            <w:gridSpan w:val="3"/>
            <w:shd w:val="clear" w:color="auto" w:fill="auto"/>
          </w:tcPr>
          <w:p w:rsidR="00E3425E" w:rsidRPr="00E3425E" w:rsidRDefault="00E3425E" w:rsidP="007F364D">
            <w:pPr>
              <w:autoSpaceDE w:val="0"/>
              <w:autoSpaceDN w:val="0"/>
              <w:adjustRightInd w:val="0"/>
              <w:spacing w:line="240" w:lineRule="auto"/>
              <w:rPr>
                <w:rFonts w:cs="Arial"/>
                <w:bCs/>
                <w:szCs w:val="20"/>
              </w:rPr>
            </w:pPr>
            <w:proofErr w:type="spellStart"/>
            <w:r w:rsidRPr="00E3425E">
              <w:rPr>
                <w:rFonts w:cs="Arial"/>
                <w:bCs/>
                <w:szCs w:val="20"/>
              </w:rPr>
              <w:t>na</w:t>
            </w:r>
            <w:proofErr w:type="spellEnd"/>
            <w:r w:rsidRPr="00E3425E">
              <w:rPr>
                <w:rFonts w:cs="Arial"/>
                <w:bCs/>
                <w:szCs w:val="20"/>
              </w:rPr>
              <w:t xml:space="preserve"> </w:t>
            </w:r>
            <w:proofErr w:type="spellStart"/>
            <w:r w:rsidRPr="00E3425E">
              <w:rPr>
                <w:rFonts w:cs="Arial"/>
                <w:bCs/>
                <w:szCs w:val="20"/>
              </w:rPr>
              <w:t>socialno</w:t>
            </w:r>
            <w:proofErr w:type="spellEnd"/>
            <w:r w:rsidRPr="00E3425E">
              <w:rPr>
                <w:rFonts w:cs="Arial"/>
                <w:bCs/>
                <w:szCs w:val="20"/>
              </w:rPr>
              <w:t xml:space="preserve"> </w:t>
            </w:r>
            <w:proofErr w:type="spellStart"/>
            <w:r w:rsidRPr="00E3425E">
              <w:rPr>
                <w:rFonts w:cs="Arial"/>
                <w:bCs/>
                <w:szCs w:val="20"/>
              </w:rPr>
              <w:t>področje</w:t>
            </w:r>
            <w:proofErr w:type="spellEnd"/>
          </w:p>
        </w:tc>
        <w:tc>
          <w:tcPr>
            <w:tcW w:w="806" w:type="dxa"/>
            <w:gridSpan w:val="2"/>
            <w:shd w:val="clear" w:color="auto" w:fill="auto"/>
            <w:vAlign w:val="center"/>
          </w:tcPr>
          <w:p w:rsidR="00E3425E" w:rsidRPr="00E3425E" w:rsidRDefault="00E3425E" w:rsidP="007F364D">
            <w:pPr>
              <w:autoSpaceDE w:val="0"/>
              <w:autoSpaceDN w:val="0"/>
              <w:adjustRightInd w:val="0"/>
              <w:spacing w:line="240" w:lineRule="auto"/>
              <w:jc w:val="center"/>
              <w:rPr>
                <w:rFonts w:cs="Arial"/>
                <w:bCs/>
                <w:szCs w:val="20"/>
              </w:rPr>
            </w:pPr>
            <w:r w:rsidRPr="00E3425E">
              <w:rPr>
                <w:rFonts w:cs="Arial"/>
                <w:bCs/>
                <w:szCs w:val="20"/>
              </w:rPr>
              <w:t>NE</w:t>
            </w:r>
          </w:p>
        </w:tc>
      </w:tr>
      <w:tr w:rsidR="00E3425E" w:rsidRPr="00E3425E" w:rsidTr="00E3425E">
        <w:tblPrEx>
          <w:tblCellMar>
            <w:left w:w="57" w:type="dxa"/>
            <w:right w:w="57" w:type="dxa"/>
          </w:tblCellMar>
        </w:tblPrEx>
        <w:trPr>
          <w:gridBefore w:val="1"/>
          <w:gridAfter w:val="1"/>
          <w:wBefore w:w="34" w:type="dxa"/>
          <w:wAfter w:w="47" w:type="dxa"/>
        </w:trPr>
        <w:tc>
          <w:tcPr>
            <w:tcW w:w="669" w:type="dxa"/>
            <w:tcBorders>
              <w:bottom w:val="single" w:sz="4" w:space="0" w:color="auto"/>
            </w:tcBorders>
            <w:shd w:val="clear" w:color="auto" w:fill="auto"/>
          </w:tcPr>
          <w:p w:rsidR="00E3425E" w:rsidRPr="00E3425E" w:rsidRDefault="00E3425E" w:rsidP="007F364D">
            <w:pPr>
              <w:autoSpaceDE w:val="0"/>
              <w:autoSpaceDN w:val="0"/>
              <w:adjustRightInd w:val="0"/>
              <w:spacing w:line="240" w:lineRule="auto"/>
              <w:ind w:left="540" w:hanging="540"/>
              <w:jc w:val="center"/>
              <w:rPr>
                <w:rFonts w:cs="Arial"/>
                <w:bCs/>
                <w:szCs w:val="20"/>
              </w:rPr>
            </w:pPr>
            <w:r w:rsidRPr="00E3425E">
              <w:rPr>
                <w:rFonts w:cs="Arial"/>
                <w:bCs/>
                <w:szCs w:val="20"/>
              </w:rPr>
              <w:t>f)</w:t>
            </w:r>
          </w:p>
        </w:tc>
        <w:tc>
          <w:tcPr>
            <w:tcW w:w="7233" w:type="dxa"/>
            <w:gridSpan w:val="3"/>
            <w:tcBorders>
              <w:bottom w:val="single" w:sz="4" w:space="0" w:color="auto"/>
            </w:tcBorders>
            <w:shd w:val="clear" w:color="auto" w:fill="auto"/>
          </w:tcPr>
          <w:p w:rsidR="00E3425E" w:rsidRPr="00E3425E" w:rsidRDefault="00E3425E" w:rsidP="007F364D">
            <w:pPr>
              <w:autoSpaceDE w:val="0"/>
              <w:autoSpaceDN w:val="0"/>
              <w:adjustRightInd w:val="0"/>
              <w:spacing w:line="240" w:lineRule="auto"/>
              <w:rPr>
                <w:rFonts w:cs="Arial"/>
                <w:bCs/>
                <w:szCs w:val="20"/>
              </w:rPr>
            </w:pPr>
            <w:proofErr w:type="spellStart"/>
            <w:r w:rsidRPr="00E3425E">
              <w:rPr>
                <w:rFonts w:cs="Arial"/>
                <w:bCs/>
                <w:szCs w:val="20"/>
              </w:rPr>
              <w:t>na</w:t>
            </w:r>
            <w:proofErr w:type="spellEnd"/>
            <w:r w:rsidRPr="00E3425E">
              <w:rPr>
                <w:rFonts w:cs="Arial"/>
                <w:bCs/>
                <w:szCs w:val="20"/>
              </w:rPr>
              <w:t xml:space="preserve"> </w:t>
            </w:r>
            <w:proofErr w:type="spellStart"/>
            <w:r w:rsidRPr="00E3425E">
              <w:rPr>
                <w:rFonts w:cs="Arial"/>
                <w:bCs/>
                <w:szCs w:val="20"/>
              </w:rPr>
              <w:t>dokumente</w:t>
            </w:r>
            <w:proofErr w:type="spellEnd"/>
            <w:r w:rsidRPr="00E3425E">
              <w:rPr>
                <w:rFonts w:cs="Arial"/>
                <w:bCs/>
                <w:szCs w:val="20"/>
              </w:rPr>
              <w:t xml:space="preserve"> </w:t>
            </w:r>
            <w:proofErr w:type="spellStart"/>
            <w:r w:rsidRPr="00E3425E">
              <w:rPr>
                <w:rFonts w:cs="Arial"/>
                <w:bCs/>
                <w:szCs w:val="20"/>
              </w:rPr>
              <w:t>razvojnega</w:t>
            </w:r>
            <w:proofErr w:type="spellEnd"/>
            <w:r w:rsidRPr="00E3425E">
              <w:rPr>
                <w:rFonts w:cs="Arial"/>
                <w:bCs/>
                <w:szCs w:val="20"/>
              </w:rPr>
              <w:t xml:space="preserve"> </w:t>
            </w:r>
            <w:proofErr w:type="spellStart"/>
            <w:r w:rsidRPr="00E3425E">
              <w:rPr>
                <w:rFonts w:cs="Arial"/>
                <w:bCs/>
                <w:szCs w:val="20"/>
              </w:rPr>
              <w:t>načrtovanja</w:t>
            </w:r>
            <w:proofErr w:type="spellEnd"/>
            <w:r w:rsidRPr="00E3425E">
              <w:rPr>
                <w:rFonts w:cs="Arial"/>
                <w:bCs/>
                <w:szCs w:val="20"/>
              </w:rPr>
              <w:t>:</w:t>
            </w:r>
          </w:p>
          <w:p w:rsidR="00E3425E" w:rsidRPr="00E3425E" w:rsidRDefault="00E3425E" w:rsidP="00E3425E">
            <w:pPr>
              <w:numPr>
                <w:ilvl w:val="0"/>
                <w:numId w:val="18"/>
              </w:numPr>
              <w:spacing w:line="240" w:lineRule="auto"/>
              <w:ind w:right="-1"/>
              <w:jc w:val="both"/>
              <w:rPr>
                <w:rFonts w:cs="Arial"/>
                <w:szCs w:val="20"/>
              </w:rPr>
            </w:pPr>
            <w:proofErr w:type="spellStart"/>
            <w:r w:rsidRPr="00E3425E">
              <w:rPr>
                <w:rFonts w:cs="Arial"/>
                <w:szCs w:val="20"/>
              </w:rPr>
              <w:t>na</w:t>
            </w:r>
            <w:proofErr w:type="spellEnd"/>
            <w:r w:rsidRPr="00E3425E">
              <w:rPr>
                <w:rFonts w:cs="Arial"/>
                <w:szCs w:val="20"/>
              </w:rPr>
              <w:t xml:space="preserve"> </w:t>
            </w:r>
            <w:proofErr w:type="spellStart"/>
            <w:r w:rsidRPr="00E3425E">
              <w:rPr>
                <w:rFonts w:cs="Arial"/>
                <w:szCs w:val="20"/>
              </w:rPr>
              <w:t>nacionalne</w:t>
            </w:r>
            <w:proofErr w:type="spellEnd"/>
            <w:r w:rsidRPr="00E3425E">
              <w:rPr>
                <w:rFonts w:cs="Arial"/>
                <w:szCs w:val="20"/>
              </w:rPr>
              <w:t xml:space="preserve"> </w:t>
            </w:r>
            <w:proofErr w:type="spellStart"/>
            <w:r w:rsidRPr="00E3425E">
              <w:rPr>
                <w:rFonts w:cs="Arial"/>
                <w:szCs w:val="20"/>
              </w:rPr>
              <w:t>dokumente</w:t>
            </w:r>
            <w:proofErr w:type="spellEnd"/>
            <w:r w:rsidRPr="00E3425E">
              <w:rPr>
                <w:rFonts w:cs="Arial"/>
                <w:szCs w:val="20"/>
              </w:rPr>
              <w:t xml:space="preserve"> </w:t>
            </w:r>
            <w:proofErr w:type="spellStart"/>
            <w:r w:rsidRPr="00E3425E">
              <w:rPr>
                <w:rFonts w:cs="Arial"/>
                <w:szCs w:val="20"/>
              </w:rPr>
              <w:t>razvojnega</w:t>
            </w:r>
            <w:proofErr w:type="spellEnd"/>
            <w:r w:rsidRPr="00E3425E">
              <w:rPr>
                <w:rFonts w:cs="Arial"/>
                <w:szCs w:val="20"/>
              </w:rPr>
              <w:t xml:space="preserve"> </w:t>
            </w:r>
            <w:proofErr w:type="spellStart"/>
            <w:r w:rsidRPr="00E3425E">
              <w:rPr>
                <w:rFonts w:cs="Arial"/>
                <w:szCs w:val="20"/>
              </w:rPr>
              <w:t>načrtovanja</w:t>
            </w:r>
            <w:proofErr w:type="spellEnd"/>
            <w:r w:rsidRPr="00E3425E">
              <w:rPr>
                <w:rFonts w:cs="Arial"/>
                <w:szCs w:val="20"/>
              </w:rPr>
              <w:t>,</w:t>
            </w:r>
          </w:p>
          <w:p w:rsidR="00E3425E" w:rsidRPr="00E3425E" w:rsidRDefault="00E3425E" w:rsidP="00E3425E">
            <w:pPr>
              <w:numPr>
                <w:ilvl w:val="0"/>
                <w:numId w:val="18"/>
              </w:numPr>
              <w:spacing w:line="240" w:lineRule="auto"/>
              <w:ind w:right="-1"/>
              <w:jc w:val="both"/>
              <w:rPr>
                <w:rFonts w:cs="Arial"/>
                <w:szCs w:val="20"/>
              </w:rPr>
            </w:pPr>
            <w:proofErr w:type="spellStart"/>
            <w:r w:rsidRPr="00E3425E">
              <w:rPr>
                <w:rFonts w:cs="Arial"/>
                <w:bCs/>
                <w:szCs w:val="20"/>
              </w:rPr>
              <w:t>na</w:t>
            </w:r>
            <w:proofErr w:type="spellEnd"/>
            <w:r w:rsidRPr="00E3425E">
              <w:rPr>
                <w:rFonts w:cs="Arial"/>
                <w:bCs/>
                <w:szCs w:val="20"/>
              </w:rPr>
              <w:t xml:space="preserve"> </w:t>
            </w:r>
            <w:proofErr w:type="spellStart"/>
            <w:r w:rsidRPr="00E3425E">
              <w:rPr>
                <w:rFonts w:cs="Arial"/>
                <w:bCs/>
                <w:szCs w:val="20"/>
              </w:rPr>
              <w:t>razvojne</w:t>
            </w:r>
            <w:proofErr w:type="spellEnd"/>
            <w:r w:rsidRPr="00E3425E">
              <w:rPr>
                <w:rFonts w:cs="Arial"/>
                <w:bCs/>
                <w:szCs w:val="20"/>
              </w:rPr>
              <w:t xml:space="preserve"> </w:t>
            </w:r>
            <w:proofErr w:type="spellStart"/>
            <w:r w:rsidRPr="00E3425E">
              <w:rPr>
                <w:rFonts w:cs="Arial"/>
                <w:bCs/>
                <w:szCs w:val="20"/>
              </w:rPr>
              <w:t>politike</w:t>
            </w:r>
            <w:proofErr w:type="spellEnd"/>
            <w:r w:rsidRPr="00E3425E">
              <w:rPr>
                <w:rFonts w:cs="Arial"/>
                <w:bCs/>
                <w:szCs w:val="20"/>
              </w:rPr>
              <w:t xml:space="preserve"> </w:t>
            </w:r>
            <w:proofErr w:type="spellStart"/>
            <w:r w:rsidRPr="00E3425E">
              <w:rPr>
                <w:rFonts w:cs="Arial"/>
                <w:bCs/>
                <w:szCs w:val="20"/>
              </w:rPr>
              <w:t>na</w:t>
            </w:r>
            <w:proofErr w:type="spellEnd"/>
            <w:r w:rsidRPr="00E3425E">
              <w:rPr>
                <w:rFonts w:cs="Arial"/>
                <w:bCs/>
                <w:szCs w:val="20"/>
              </w:rPr>
              <w:t xml:space="preserve"> </w:t>
            </w:r>
            <w:proofErr w:type="spellStart"/>
            <w:r w:rsidRPr="00E3425E">
              <w:rPr>
                <w:rFonts w:cs="Arial"/>
                <w:bCs/>
                <w:szCs w:val="20"/>
              </w:rPr>
              <w:t>ravni</w:t>
            </w:r>
            <w:proofErr w:type="spellEnd"/>
            <w:r w:rsidRPr="00E3425E">
              <w:rPr>
                <w:rFonts w:cs="Arial"/>
                <w:bCs/>
                <w:szCs w:val="20"/>
              </w:rPr>
              <w:t xml:space="preserve"> </w:t>
            </w:r>
            <w:proofErr w:type="spellStart"/>
            <w:r w:rsidRPr="00E3425E">
              <w:rPr>
                <w:rFonts w:cs="Arial"/>
                <w:bCs/>
                <w:szCs w:val="20"/>
              </w:rPr>
              <w:t>programov</w:t>
            </w:r>
            <w:proofErr w:type="spellEnd"/>
            <w:r w:rsidRPr="00E3425E">
              <w:rPr>
                <w:rFonts w:cs="Arial"/>
                <w:bCs/>
                <w:szCs w:val="20"/>
              </w:rPr>
              <w:t xml:space="preserve"> </w:t>
            </w:r>
            <w:proofErr w:type="spellStart"/>
            <w:r w:rsidRPr="00E3425E">
              <w:rPr>
                <w:rFonts w:cs="Arial"/>
                <w:bCs/>
                <w:szCs w:val="20"/>
              </w:rPr>
              <w:t>po</w:t>
            </w:r>
            <w:proofErr w:type="spellEnd"/>
            <w:r w:rsidRPr="00E3425E">
              <w:rPr>
                <w:rFonts w:cs="Arial"/>
                <w:bCs/>
                <w:szCs w:val="20"/>
              </w:rPr>
              <w:t xml:space="preserve"> </w:t>
            </w:r>
            <w:proofErr w:type="spellStart"/>
            <w:r w:rsidRPr="00E3425E">
              <w:rPr>
                <w:rFonts w:cs="Arial"/>
                <w:bCs/>
                <w:szCs w:val="20"/>
              </w:rPr>
              <w:t>strukturi</w:t>
            </w:r>
            <w:proofErr w:type="spellEnd"/>
            <w:r w:rsidRPr="00E3425E">
              <w:rPr>
                <w:rFonts w:cs="Arial"/>
                <w:bCs/>
                <w:szCs w:val="20"/>
              </w:rPr>
              <w:t xml:space="preserve"> </w:t>
            </w:r>
            <w:proofErr w:type="spellStart"/>
            <w:r w:rsidRPr="00E3425E">
              <w:rPr>
                <w:rFonts w:cs="Arial"/>
                <w:bCs/>
                <w:szCs w:val="20"/>
              </w:rPr>
              <w:t>razvojne</w:t>
            </w:r>
            <w:proofErr w:type="spellEnd"/>
            <w:r w:rsidRPr="00E3425E">
              <w:rPr>
                <w:rFonts w:cs="Arial"/>
                <w:bCs/>
                <w:szCs w:val="20"/>
              </w:rPr>
              <w:t xml:space="preserve"> </w:t>
            </w:r>
            <w:proofErr w:type="spellStart"/>
            <w:r w:rsidRPr="00E3425E">
              <w:rPr>
                <w:rFonts w:cs="Arial"/>
                <w:bCs/>
                <w:szCs w:val="20"/>
              </w:rPr>
              <w:t>klasifikacije</w:t>
            </w:r>
            <w:proofErr w:type="spellEnd"/>
            <w:r w:rsidRPr="00E3425E">
              <w:rPr>
                <w:rFonts w:cs="Arial"/>
                <w:bCs/>
                <w:szCs w:val="20"/>
              </w:rPr>
              <w:t xml:space="preserve"> </w:t>
            </w:r>
            <w:proofErr w:type="spellStart"/>
            <w:r w:rsidRPr="00E3425E">
              <w:rPr>
                <w:rFonts w:cs="Arial"/>
                <w:bCs/>
                <w:szCs w:val="20"/>
              </w:rPr>
              <w:t>programskega</w:t>
            </w:r>
            <w:proofErr w:type="spellEnd"/>
            <w:r w:rsidRPr="00E3425E">
              <w:rPr>
                <w:rFonts w:cs="Arial"/>
                <w:bCs/>
                <w:szCs w:val="20"/>
              </w:rPr>
              <w:t xml:space="preserve"> </w:t>
            </w:r>
            <w:proofErr w:type="spellStart"/>
            <w:r w:rsidRPr="00E3425E">
              <w:rPr>
                <w:rFonts w:cs="Arial"/>
                <w:bCs/>
                <w:szCs w:val="20"/>
              </w:rPr>
              <w:t>proračuna</w:t>
            </w:r>
            <w:proofErr w:type="spellEnd"/>
            <w:r w:rsidRPr="00E3425E">
              <w:rPr>
                <w:rFonts w:cs="Arial"/>
                <w:bCs/>
                <w:szCs w:val="20"/>
              </w:rPr>
              <w:t>,</w:t>
            </w:r>
          </w:p>
          <w:p w:rsidR="00E3425E" w:rsidRPr="00E3425E" w:rsidRDefault="00E3425E" w:rsidP="00E3425E">
            <w:pPr>
              <w:numPr>
                <w:ilvl w:val="0"/>
                <w:numId w:val="18"/>
              </w:numPr>
              <w:spacing w:line="240" w:lineRule="auto"/>
              <w:ind w:right="-1"/>
              <w:jc w:val="both"/>
              <w:rPr>
                <w:rFonts w:cs="Arial"/>
                <w:szCs w:val="20"/>
              </w:rPr>
            </w:pPr>
            <w:proofErr w:type="spellStart"/>
            <w:proofErr w:type="gramStart"/>
            <w:r w:rsidRPr="00E3425E">
              <w:rPr>
                <w:rFonts w:cs="Arial"/>
                <w:bCs/>
                <w:szCs w:val="20"/>
              </w:rPr>
              <w:t>na</w:t>
            </w:r>
            <w:proofErr w:type="spellEnd"/>
            <w:proofErr w:type="gramEnd"/>
            <w:r w:rsidRPr="00E3425E">
              <w:rPr>
                <w:rFonts w:cs="Arial"/>
                <w:bCs/>
                <w:szCs w:val="20"/>
              </w:rPr>
              <w:t xml:space="preserve"> </w:t>
            </w:r>
            <w:proofErr w:type="spellStart"/>
            <w:r w:rsidRPr="00E3425E">
              <w:rPr>
                <w:rFonts w:cs="Arial"/>
                <w:bCs/>
                <w:szCs w:val="20"/>
              </w:rPr>
              <w:t>razvojne</w:t>
            </w:r>
            <w:proofErr w:type="spellEnd"/>
            <w:r w:rsidRPr="00E3425E">
              <w:rPr>
                <w:rFonts w:cs="Arial"/>
                <w:bCs/>
                <w:szCs w:val="20"/>
              </w:rPr>
              <w:t xml:space="preserve"> </w:t>
            </w:r>
            <w:proofErr w:type="spellStart"/>
            <w:r w:rsidRPr="00E3425E">
              <w:rPr>
                <w:rFonts w:cs="Arial"/>
                <w:bCs/>
                <w:szCs w:val="20"/>
              </w:rPr>
              <w:t>dokumente</w:t>
            </w:r>
            <w:proofErr w:type="spellEnd"/>
            <w:r w:rsidRPr="00E3425E">
              <w:rPr>
                <w:rFonts w:cs="Arial"/>
                <w:bCs/>
                <w:szCs w:val="20"/>
              </w:rPr>
              <w:t xml:space="preserve"> </w:t>
            </w:r>
            <w:proofErr w:type="spellStart"/>
            <w:r w:rsidRPr="00E3425E">
              <w:rPr>
                <w:rFonts w:cs="Arial"/>
                <w:bCs/>
                <w:szCs w:val="20"/>
              </w:rPr>
              <w:t>Evropske</w:t>
            </w:r>
            <w:proofErr w:type="spellEnd"/>
            <w:r w:rsidRPr="00E3425E">
              <w:rPr>
                <w:rFonts w:cs="Arial"/>
                <w:bCs/>
                <w:szCs w:val="20"/>
              </w:rPr>
              <w:t xml:space="preserve"> </w:t>
            </w:r>
            <w:proofErr w:type="spellStart"/>
            <w:r w:rsidRPr="00E3425E">
              <w:rPr>
                <w:rFonts w:cs="Arial"/>
                <w:bCs/>
                <w:szCs w:val="20"/>
              </w:rPr>
              <w:t>unije</w:t>
            </w:r>
            <w:proofErr w:type="spellEnd"/>
            <w:r w:rsidRPr="00E3425E">
              <w:rPr>
                <w:rFonts w:cs="Arial"/>
                <w:bCs/>
                <w:szCs w:val="20"/>
              </w:rPr>
              <w:t xml:space="preserve"> in </w:t>
            </w:r>
            <w:proofErr w:type="spellStart"/>
            <w:r w:rsidRPr="00E3425E">
              <w:rPr>
                <w:rFonts w:cs="Arial"/>
                <w:bCs/>
                <w:szCs w:val="20"/>
              </w:rPr>
              <w:t>mednarodnih</w:t>
            </w:r>
            <w:proofErr w:type="spellEnd"/>
            <w:r w:rsidRPr="00E3425E">
              <w:rPr>
                <w:rFonts w:cs="Arial"/>
                <w:bCs/>
                <w:szCs w:val="20"/>
              </w:rPr>
              <w:t xml:space="preserve"> </w:t>
            </w:r>
            <w:proofErr w:type="spellStart"/>
            <w:r w:rsidRPr="00E3425E">
              <w:rPr>
                <w:rFonts w:cs="Arial"/>
                <w:bCs/>
                <w:szCs w:val="20"/>
              </w:rPr>
              <w:t>organizacij</w:t>
            </w:r>
            <w:proofErr w:type="spellEnd"/>
            <w:r w:rsidRPr="00E3425E">
              <w:rPr>
                <w:rFonts w:cs="Arial"/>
                <w:szCs w:val="20"/>
              </w:rPr>
              <w:t>.</w:t>
            </w:r>
          </w:p>
        </w:tc>
        <w:tc>
          <w:tcPr>
            <w:tcW w:w="806" w:type="dxa"/>
            <w:gridSpan w:val="2"/>
            <w:tcBorders>
              <w:bottom w:val="single" w:sz="4" w:space="0" w:color="auto"/>
            </w:tcBorders>
            <w:shd w:val="clear" w:color="auto" w:fill="auto"/>
          </w:tcPr>
          <w:p w:rsidR="00E3425E" w:rsidRPr="00E3425E" w:rsidRDefault="00E3425E" w:rsidP="007F364D">
            <w:pPr>
              <w:autoSpaceDE w:val="0"/>
              <w:autoSpaceDN w:val="0"/>
              <w:adjustRightInd w:val="0"/>
              <w:spacing w:line="240" w:lineRule="auto"/>
              <w:jc w:val="center"/>
              <w:rPr>
                <w:rFonts w:cs="Arial"/>
                <w:bCs/>
                <w:szCs w:val="20"/>
              </w:rPr>
            </w:pPr>
            <w:r w:rsidRPr="00E3425E">
              <w:rPr>
                <w:rFonts w:cs="Arial"/>
                <w:bCs/>
                <w:szCs w:val="20"/>
              </w:rPr>
              <w:t>NE</w:t>
            </w:r>
          </w:p>
        </w:tc>
      </w:tr>
      <w:tr w:rsidR="00E3425E" w:rsidRPr="00E3425E" w:rsidTr="00E3425E">
        <w:tblPrEx>
          <w:tblCellMar>
            <w:left w:w="57" w:type="dxa"/>
            <w:right w:w="57" w:type="dxa"/>
          </w:tblCellMar>
        </w:tblPrEx>
        <w:trPr>
          <w:gridBefore w:val="1"/>
          <w:gridAfter w:val="1"/>
          <w:wBefore w:w="34" w:type="dxa"/>
          <w:wAfter w:w="47" w:type="dxa"/>
          <w:trHeight w:val="567"/>
        </w:trPr>
        <w:tc>
          <w:tcPr>
            <w:tcW w:w="669" w:type="dxa"/>
            <w:tcBorders>
              <w:bottom w:val="single" w:sz="4" w:space="0" w:color="auto"/>
              <w:right w:val="nil"/>
            </w:tcBorders>
            <w:shd w:val="clear" w:color="auto" w:fill="auto"/>
            <w:vAlign w:val="bottom"/>
          </w:tcPr>
          <w:p w:rsidR="00E3425E" w:rsidRPr="00E3425E" w:rsidRDefault="00E3425E" w:rsidP="00E3425E">
            <w:pPr>
              <w:pStyle w:val="Naslov1"/>
              <w:rPr>
                <w:rFonts w:cs="Arial"/>
                <w:sz w:val="20"/>
                <w:szCs w:val="20"/>
              </w:rPr>
            </w:pPr>
            <w:proofErr w:type="spellStart"/>
            <w:r w:rsidRPr="00E3425E">
              <w:rPr>
                <w:rFonts w:cs="Arial"/>
                <w:sz w:val="20"/>
                <w:szCs w:val="20"/>
              </w:rPr>
              <w:lastRenderedPageBreak/>
              <w:t>7.a</w:t>
            </w:r>
            <w:proofErr w:type="spellEnd"/>
          </w:p>
        </w:tc>
        <w:tc>
          <w:tcPr>
            <w:tcW w:w="8039" w:type="dxa"/>
            <w:gridSpan w:val="5"/>
            <w:tcBorders>
              <w:left w:val="nil"/>
              <w:bottom w:val="single" w:sz="4" w:space="0" w:color="auto"/>
            </w:tcBorders>
            <w:shd w:val="clear" w:color="auto" w:fill="auto"/>
            <w:vAlign w:val="bottom"/>
          </w:tcPr>
          <w:p w:rsidR="00E3425E" w:rsidRPr="00E3425E" w:rsidRDefault="00E3425E" w:rsidP="007F364D">
            <w:pPr>
              <w:autoSpaceDE w:val="0"/>
              <w:autoSpaceDN w:val="0"/>
              <w:adjustRightInd w:val="0"/>
              <w:spacing w:line="240" w:lineRule="auto"/>
              <w:rPr>
                <w:rFonts w:cs="Arial"/>
                <w:b/>
                <w:bCs/>
                <w:szCs w:val="20"/>
              </w:rPr>
            </w:pPr>
            <w:proofErr w:type="spellStart"/>
            <w:r w:rsidRPr="00E3425E">
              <w:rPr>
                <w:rFonts w:cs="Arial"/>
                <w:b/>
                <w:bCs/>
                <w:szCs w:val="20"/>
              </w:rPr>
              <w:t>Predstavitve</w:t>
            </w:r>
            <w:proofErr w:type="spellEnd"/>
            <w:r w:rsidRPr="00E3425E">
              <w:rPr>
                <w:rFonts w:cs="Arial"/>
                <w:b/>
                <w:bCs/>
                <w:szCs w:val="20"/>
              </w:rPr>
              <w:t xml:space="preserve"> </w:t>
            </w:r>
            <w:proofErr w:type="spellStart"/>
            <w:r w:rsidRPr="00E3425E">
              <w:rPr>
                <w:rFonts w:cs="Arial"/>
                <w:b/>
                <w:bCs/>
                <w:szCs w:val="20"/>
              </w:rPr>
              <w:t>ocene</w:t>
            </w:r>
            <w:proofErr w:type="spellEnd"/>
            <w:r w:rsidRPr="00E3425E">
              <w:rPr>
                <w:rFonts w:cs="Arial"/>
                <w:b/>
                <w:bCs/>
                <w:szCs w:val="20"/>
              </w:rPr>
              <w:t xml:space="preserve"> </w:t>
            </w:r>
            <w:proofErr w:type="spellStart"/>
            <w:r w:rsidRPr="00E3425E">
              <w:rPr>
                <w:rFonts w:cs="Arial"/>
                <w:b/>
                <w:bCs/>
                <w:szCs w:val="20"/>
              </w:rPr>
              <w:t>finančnih</w:t>
            </w:r>
            <w:proofErr w:type="spellEnd"/>
            <w:r w:rsidRPr="00E3425E">
              <w:rPr>
                <w:rFonts w:cs="Arial"/>
                <w:b/>
                <w:bCs/>
                <w:szCs w:val="20"/>
              </w:rPr>
              <w:t xml:space="preserve"> </w:t>
            </w:r>
            <w:proofErr w:type="spellStart"/>
            <w:r w:rsidRPr="00E3425E">
              <w:rPr>
                <w:rFonts w:cs="Arial"/>
                <w:b/>
                <w:bCs/>
                <w:szCs w:val="20"/>
              </w:rPr>
              <w:t>posledic</w:t>
            </w:r>
            <w:proofErr w:type="spellEnd"/>
            <w:r w:rsidRPr="00E3425E">
              <w:rPr>
                <w:rFonts w:cs="Arial"/>
                <w:b/>
                <w:bCs/>
                <w:szCs w:val="20"/>
              </w:rPr>
              <w:t xml:space="preserve">, </w:t>
            </w:r>
            <w:proofErr w:type="spellStart"/>
            <w:r w:rsidRPr="00E3425E">
              <w:rPr>
                <w:rFonts w:cs="Arial"/>
                <w:b/>
                <w:bCs/>
                <w:szCs w:val="20"/>
              </w:rPr>
              <w:t>višjih</w:t>
            </w:r>
            <w:proofErr w:type="spellEnd"/>
            <w:r w:rsidRPr="00E3425E">
              <w:rPr>
                <w:rFonts w:cs="Arial"/>
                <w:b/>
                <w:bCs/>
                <w:szCs w:val="20"/>
              </w:rPr>
              <w:t xml:space="preserve"> od 40 000 EUR: </w:t>
            </w:r>
          </w:p>
        </w:tc>
      </w:tr>
      <w:tr w:rsidR="00E3425E" w:rsidRPr="00E3425E" w:rsidTr="00E3425E">
        <w:tblPrEx>
          <w:tblCellMar>
            <w:left w:w="57" w:type="dxa"/>
            <w:right w:w="57" w:type="dxa"/>
          </w:tblCellMar>
        </w:tblPrEx>
        <w:trPr>
          <w:gridBefore w:val="1"/>
          <w:gridAfter w:val="1"/>
          <w:wBefore w:w="34" w:type="dxa"/>
          <w:wAfter w:w="47" w:type="dxa"/>
          <w:trHeight w:val="189"/>
        </w:trPr>
        <w:tc>
          <w:tcPr>
            <w:tcW w:w="8708" w:type="dxa"/>
            <w:gridSpan w:val="6"/>
            <w:tcBorders>
              <w:bottom w:val="single" w:sz="4" w:space="0" w:color="auto"/>
            </w:tcBorders>
            <w:shd w:val="clear" w:color="auto" w:fill="auto"/>
            <w:vAlign w:val="bottom"/>
          </w:tcPr>
          <w:p w:rsidR="00E3425E" w:rsidRPr="00E3425E" w:rsidRDefault="00E3425E" w:rsidP="00E3425E">
            <w:pPr>
              <w:pStyle w:val="Naslov1"/>
              <w:rPr>
                <w:rFonts w:cs="Arial"/>
                <w:sz w:val="20"/>
                <w:szCs w:val="20"/>
              </w:rPr>
            </w:pPr>
          </w:p>
        </w:tc>
      </w:tr>
      <w:tr w:rsidR="00E3425E" w:rsidRPr="00E3425E"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E3425E" w:rsidRDefault="00E3425E" w:rsidP="00E3425E">
            <w:pPr>
              <w:pStyle w:val="Naslov1"/>
              <w:rPr>
                <w:rFonts w:cs="Arial"/>
                <w:kern w:val="0"/>
                <w:sz w:val="20"/>
                <w:szCs w:val="20"/>
              </w:rPr>
            </w:pPr>
            <w:proofErr w:type="spellStart"/>
            <w:r w:rsidRPr="00E3425E">
              <w:rPr>
                <w:rFonts w:cs="Arial"/>
                <w:sz w:val="20"/>
                <w:szCs w:val="20"/>
              </w:rPr>
              <w:t>7.b</w:t>
            </w:r>
            <w:proofErr w:type="spellEnd"/>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E3425E" w:rsidRDefault="00E3425E" w:rsidP="007F364D">
            <w:pPr>
              <w:tabs>
                <w:tab w:val="left" w:pos="567"/>
              </w:tabs>
              <w:autoSpaceDE w:val="0"/>
              <w:autoSpaceDN w:val="0"/>
              <w:adjustRightInd w:val="0"/>
              <w:spacing w:line="240" w:lineRule="auto"/>
              <w:rPr>
                <w:rFonts w:cs="Arial"/>
                <w:b/>
                <w:szCs w:val="20"/>
              </w:rPr>
            </w:pPr>
            <w:proofErr w:type="spellStart"/>
            <w:r w:rsidRPr="00E3425E">
              <w:rPr>
                <w:rFonts w:cs="Arial"/>
                <w:b/>
                <w:szCs w:val="20"/>
              </w:rPr>
              <w:t>Predstavitev</w:t>
            </w:r>
            <w:proofErr w:type="spellEnd"/>
            <w:r w:rsidRPr="00E3425E">
              <w:rPr>
                <w:rFonts w:cs="Arial"/>
                <w:b/>
                <w:szCs w:val="20"/>
              </w:rPr>
              <w:t xml:space="preserve"> </w:t>
            </w:r>
            <w:proofErr w:type="spellStart"/>
            <w:r w:rsidRPr="00E3425E">
              <w:rPr>
                <w:rFonts w:cs="Arial"/>
                <w:b/>
                <w:szCs w:val="20"/>
              </w:rPr>
              <w:t>ocene</w:t>
            </w:r>
            <w:proofErr w:type="spellEnd"/>
            <w:r w:rsidRPr="00E3425E">
              <w:rPr>
                <w:rFonts w:cs="Arial"/>
                <w:b/>
                <w:szCs w:val="20"/>
              </w:rPr>
              <w:t xml:space="preserve"> </w:t>
            </w:r>
            <w:proofErr w:type="spellStart"/>
            <w:r w:rsidRPr="00E3425E">
              <w:rPr>
                <w:rFonts w:cs="Arial"/>
                <w:b/>
                <w:szCs w:val="20"/>
              </w:rPr>
              <w:t>finančnih</w:t>
            </w:r>
            <w:proofErr w:type="spellEnd"/>
            <w:r w:rsidRPr="00E3425E">
              <w:rPr>
                <w:rFonts w:cs="Arial"/>
                <w:b/>
                <w:szCs w:val="20"/>
              </w:rPr>
              <w:t xml:space="preserve"> </w:t>
            </w:r>
            <w:proofErr w:type="spellStart"/>
            <w:r w:rsidRPr="00E3425E">
              <w:rPr>
                <w:rFonts w:cs="Arial"/>
                <w:b/>
                <w:szCs w:val="20"/>
              </w:rPr>
              <w:t>posledic</w:t>
            </w:r>
            <w:proofErr w:type="spellEnd"/>
            <w:r w:rsidRPr="00E3425E">
              <w:rPr>
                <w:rFonts w:cs="Arial"/>
                <w:b/>
                <w:szCs w:val="20"/>
              </w:rPr>
              <w:t xml:space="preserve">, </w:t>
            </w:r>
            <w:proofErr w:type="spellStart"/>
            <w:r w:rsidRPr="00E3425E">
              <w:rPr>
                <w:rFonts w:cs="Arial"/>
                <w:b/>
                <w:szCs w:val="20"/>
              </w:rPr>
              <w:t>nižjih</w:t>
            </w:r>
            <w:proofErr w:type="spellEnd"/>
            <w:r w:rsidRPr="00E3425E">
              <w:rPr>
                <w:rFonts w:cs="Arial"/>
                <w:b/>
                <w:szCs w:val="20"/>
              </w:rPr>
              <w:t xml:space="preserve"> od 40 000 EUR:</w:t>
            </w:r>
          </w:p>
        </w:tc>
      </w:tr>
      <w:tr w:rsidR="00E3425E" w:rsidRPr="00E3425E" w:rsidTr="00E3425E">
        <w:tblPrEx>
          <w:tblCellMar>
            <w:left w:w="57" w:type="dxa"/>
            <w:right w:w="57" w:type="dxa"/>
          </w:tblCellMar>
        </w:tblPrEx>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E3425E" w:rsidRDefault="00E3425E" w:rsidP="00E3425E">
            <w:pPr>
              <w:pStyle w:val="Naslov1"/>
              <w:rPr>
                <w:rFonts w:cs="Arial"/>
                <w:kern w:val="0"/>
                <w:sz w:val="20"/>
                <w:szCs w:val="20"/>
              </w:rPr>
            </w:pPr>
            <w:r w:rsidRPr="00E3425E">
              <w:rPr>
                <w:rFonts w:cs="Arial"/>
                <w:sz w:val="20"/>
                <w:szCs w:val="20"/>
              </w:rPr>
              <w:t>Sprejem Sklepa nima nobenih finančnih posledic.</w:t>
            </w:r>
          </w:p>
        </w:tc>
      </w:tr>
      <w:tr w:rsidR="00E3425E" w:rsidRPr="00E3425E" w:rsidTr="00E3425E">
        <w:tblPrEx>
          <w:tblCellMar>
            <w:left w:w="57" w:type="dxa"/>
            <w:right w:w="57" w:type="dxa"/>
          </w:tblCellMar>
        </w:tblPrEx>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E3425E" w:rsidRDefault="00E3425E" w:rsidP="00E3425E">
            <w:pPr>
              <w:pStyle w:val="Naslov1"/>
              <w:rPr>
                <w:rFonts w:cs="Arial"/>
                <w:sz w:val="20"/>
                <w:szCs w:val="20"/>
              </w:rPr>
            </w:pPr>
          </w:p>
          <w:tbl>
            <w:tblPr>
              <w:tblW w:w="8789" w:type="dxa"/>
              <w:tblBorders>
                <w:top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39"/>
              <w:gridCol w:w="850"/>
            </w:tblGrid>
            <w:tr w:rsidR="00E3425E" w:rsidRPr="00E3425E" w:rsidTr="007F364D">
              <w:trPr>
                <w:trHeight w:val="371"/>
              </w:trPr>
              <w:tc>
                <w:tcPr>
                  <w:tcW w:w="8789" w:type="dxa"/>
                  <w:gridSpan w:val="2"/>
                </w:tcPr>
                <w:p w:rsidR="00E3425E" w:rsidRPr="00E3425E" w:rsidRDefault="00E3425E" w:rsidP="007F364D">
                  <w:pPr>
                    <w:tabs>
                      <w:tab w:val="left" w:pos="567"/>
                    </w:tabs>
                    <w:autoSpaceDE w:val="0"/>
                    <w:autoSpaceDN w:val="0"/>
                    <w:adjustRightInd w:val="0"/>
                    <w:spacing w:line="240" w:lineRule="auto"/>
                    <w:rPr>
                      <w:rFonts w:cs="Arial"/>
                      <w:b/>
                      <w:szCs w:val="20"/>
                    </w:rPr>
                  </w:pPr>
                </w:p>
                <w:p w:rsidR="00E3425E" w:rsidRPr="00E3425E" w:rsidRDefault="00E3425E" w:rsidP="007F364D">
                  <w:pPr>
                    <w:tabs>
                      <w:tab w:val="left" w:pos="567"/>
                    </w:tabs>
                    <w:autoSpaceDE w:val="0"/>
                    <w:autoSpaceDN w:val="0"/>
                    <w:adjustRightInd w:val="0"/>
                    <w:spacing w:line="240" w:lineRule="auto"/>
                    <w:rPr>
                      <w:rFonts w:cs="Arial"/>
                      <w:b/>
                      <w:szCs w:val="20"/>
                    </w:rPr>
                  </w:pPr>
                  <w:r w:rsidRPr="00E3425E">
                    <w:rPr>
                      <w:rFonts w:cs="Arial"/>
                      <w:b/>
                      <w:szCs w:val="20"/>
                    </w:rPr>
                    <w:t xml:space="preserve">8. </w:t>
                  </w:r>
                  <w:proofErr w:type="spellStart"/>
                  <w:r w:rsidRPr="00E3425E">
                    <w:rPr>
                      <w:rFonts w:cs="Arial"/>
                      <w:b/>
                      <w:szCs w:val="20"/>
                    </w:rPr>
                    <w:t>Predstavitev</w:t>
                  </w:r>
                  <w:proofErr w:type="spellEnd"/>
                  <w:r w:rsidRPr="00E3425E">
                    <w:rPr>
                      <w:rFonts w:cs="Arial"/>
                      <w:b/>
                      <w:szCs w:val="20"/>
                    </w:rPr>
                    <w:t xml:space="preserve"> </w:t>
                  </w:r>
                  <w:proofErr w:type="spellStart"/>
                  <w:r w:rsidRPr="00E3425E">
                    <w:rPr>
                      <w:rFonts w:cs="Arial"/>
                      <w:b/>
                      <w:szCs w:val="20"/>
                    </w:rPr>
                    <w:t>sodelovanja</w:t>
                  </w:r>
                  <w:proofErr w:type="spellEnd"/>
                  <w:r w:rsidRPr="00E3425E">
                    <w:rPr>
                      <w:rFonts w:cs="Arial"/>
                      <w:b/>
                      <w:szCs w:val="20"/>
                    </w:rPr>
                    <w:t xml:space="preserve"> z </w:t>
                  </w:r>
                  <w:proofErr w:type="spellStart"/>
                  <w:r w:rsidRPr="00E3425E">
                    <w:rPr>
                      <w:rFonts w:cs="Arial"/>
                      <w:b/>
                      <w:szCs w:val="20"/>
                    </w:rPr>
                    <w:t>združenji</w:t>
                  </w:r>
                  <w:proofErr w:type="spellEnd"/>
                  <w:r w:rsidRPr="00E3425E">
                    <w:rPr>
                      <w:rFonts w:cs="Arial"/>
                      <w:b/>
                      <w:szCs w:val="20"/>
                    </w:rPr>
                    <w:t xml:space="preserve"> </w:t>
                  </w:r>
                  <w:proofErr w:type="spellStart"/>
                  <w:r w:rsidRPr="00E3425E">
                    <w:rPr>
                      <w:rFonts w:cs="Arial"/>
                      <w:b/>
                      <w:szCs w:val="20"/>
                    </w:rPr>
                    <w:t>občin</w:t>
                  </w:r>
                  <w:proofErr w:type="spellEnd"/>
                  <w:r w:rsidRPr="00E3425E">
                    <w:rPr>
                      <w:rFonts w:cs="Arial"/>
                      <w:b/>
                      <w:szCs w:val="20"/>
                    </w:rPr>
                    <w:t>:</w:t>
                  </w:r>
                </w:p>
              </w:tc>
            </w:tr>
            <w:tr w:rsidR="00E3425E" w:rsidRPr="00E3425E" w:rsidTr="007F364D">
              <w:tc>
                <w:tcPr>
                  <w:tcW w:w="7939" w:type="dxa"/>
                  <w:tcBorders>
                    <w:bottom w:val="single" w:sz="4" w:space="0" w:color="auto"/>
                  </w:tcBorders>
                </w:tcPr>
                <w:p w:rsidR="00E3425E" w:rsidRPr="00E3425E" w:rsidRDefault="00E3425E" w:rsidP="007F364D">
                  <w:pPr>
                    <w:pStyle w:val="Neotevilenodstavek"/>
                    <w:widowControl w:val="0"/>
                    <w:spacing w:before="0" w:after="0" w:line="240" w:lineRule="auto"/>
                    <w:rPr>
                      <w:iCs/>
                      <w:sz w:val="20"/>
                      <w:szCs w:val="20"/>
                    </w:rPr>
                  </w:pPr>
                  <w:r w:rsidRPr="00E3425E">
                    <w:rPr>
                      <w:iCs/>
                      <w:sz w:val="20"/>
                      <w:szCs w:val="20"/>
                    </w:rPr>
                    <w:t>Vsebina predloženega gradiva (predpisa) vpliva na:</w:t>
                  </w:r>
                </w:p>
                <w:p w:rsidR="00E3425E" w:rsidRPr="00E3425E" w:rsidRDefault="00E3425E" w:rsidP="00E3425E">
                  <w:pPr>
                    <w:pStyle w:val="Neotevilenodstavek"/>
                    <w:widowControl w:val="0"/>
                    <w:numPr>
                      <w:ilvl w:val="1"/>
                      <w:numId w:val="22"/>
                    </w:numPr>
                    <w:spacing w:before="0" w:after="0" w:line="240" w:lineRule="auto"/>
                    <w:rPr>
                      <w:iCs/>
                      <w:sz w:val="20"/>
                      <w:szCs w:val="20"/>
                    </w:rPr>
                  </w:pPr>
                  <w:r w:rsidRPr="00E3425E">
                    <w:rPr>
                      <w:iCs/>
                      <w:sz w:val="20"/>
                      <w:szCs w:val="20"/>
                    </w:rPr>
                    <w:t>pristojnosti občin,</w:t>
                  </w:r>
                </w:p>
                <w:p w:rsidR="00E3425E" w:rsidRPr="00E3425E" w:rsidRDefault="00E3425E" w:rsidP="00E3425E">
                  <w:pPr>
                    <w:pStyle w:val="Neotevilenodstavek"/>
                    <w:widowControl w:val="0"/>
                    <w:numPr>
                      <w:ilvl w:val="1"/>
                      <w:numId w:val="22"/>
                    </w:numPr>
                    <w:spacing w:before="0" w:after="0" w:line="240" w:lineRule="auto"/>
                    <w:rPr>
                      <w:iCs/>
                      <w:sz w:val="20"/>
                      <w:szCs w:val="20"/>
                    </w:rPr>
                  </w:pPr>
                  <w:r w:rsidRPr="00E3425E">
                    <w:rPr>
                      <w:iCs/>
                      <w:sz w:val="20"/>
                      <w:szCs w:val="20"/>
                    </w:rPr>
                    <w:t>delovanje občin,</w:t>
                  </w:r>
                </w:p>
                <w:p w:rsidR="00E3425E" w:rsidRPr="00E3425E" w:rsidRDefault="00E3425E" w:rsidP="00E3425E">
                  <w:pPr>
                    <w:pStyle w:val="Neotevilenodstavek"/>
                    <w:widowControl w:val="0"/>
                    <w:numPr>
                      <w:ilvl w:val="1"/>
                      <w:numId w:val="22"/>
                    </w:numPr>
                    <w:spacing w:before="0" w:after="0" w:line="240" w:lineRule="auto"/>
                    <w:rPr>
                      <w:iCs/>
                      <w:sz w:val="20"/>
                      <w:szCs w:val="20"/>
                    </w:rPr>
                  </w:pPr>
                  <w:r w:rsidRPr="00E3425E">
                    <w:rPr>
                      <w:iCs/>
                      <w:sz w:val="20"/>
                      <w:szCs w:val="20"/>
                    </w:rPr>
                    <w:t>financiranje občin.</w:t>
                  </w:r>
                </w:p>
              </w:tc>
              <w:tc>
                <w:tcPr>
                  <w:tcW w:w="850" w:type="dxa"/>
                  <w:tcBorders>
                    <w:bottom w:val="single" w:sz="4" w:space="0" w:color="auto"/>
                  </w:tcBorders>
                </w:tcPr>
                <w:p w:rsidR="00E3425E" w:rsidRPr="00E3425E" w:rsidRDefault="00E3425E" w:rsidP="007F364D">
                  <w:pPr>
                    <w:autoSpaceDE w:val="0"/>
                    <w:autoSpaceDN w:val="0"/>
                    <w:adjustRightInd w:val="0"/>
                    <w:spacing w:line="240" w:lineRule="auto"/>
                    <w:ind w:left="-199"/>
                    <w:jc w:val="center"/>
                    <w:rPr>
                      <w:rFonts w:cs="Arial"/>
                      <w:bCs/>
                      <w:szCs w:val="20"/>
                    </w:rPr>
                  </w:pPr>
                  <w:r w:rsidRPr="00E3425E">
                    <w:rPr>
                      <w:rFonts w:cs="Arial"/>
                      <w:bCs/>
                      <w:szCs w:val="20"/>
                    </w:rPr>
                    <w:t>NE</w:t>
                  </w:r>
                </w:p>
              </w:tc>
            </w:tr>
            <w:tr w:rsidR="00E3425E" w:rsidRPr="00E3425E" w:rsidTr="007F364D">
              <w:trPr>
                <w:trHeight w:val="274"/>
              </w:trPr>
              <w:tc>
                <w:tcPr>
                  <w:tcW w:w="8789" w:type="dxa"/>
                  <w:gridSpan w:val="2"/>
                  <w:tcBorders>
                    <w:top w:val="single" w:sz="4" w:space="0" w:color="auto"/>
                    <w:bottom w:val="nil"/>
                    <w:right w:val="nil"/>
                  </w:tcBorders>
                </w:tcPr>
                <w:p w:rsidR="00E3425E" w:rsidRPr="00E3425E" w:rsidRDefault="00E3425E" w:rsidP="007F364D">
                  <w:pPr>
                    <w:pStyle w:val="Neotevilenodstavek"/>
                    <w:widowControl w:val="0"/>
                    <w:spacing w:before="0" w:after="0" w:line="240" w:lineRule="auto"/>
                    <w:rPr>
                      <w:iCs/>
                      <w:sz w:val="20"/>
                      <w:szCs w:val="20"/>
                    </w:rPr>
                  </w:pPr>
                  <w:r w:rsidRPr="00E3425E">
                    <w:rPr>
                      <w:iCs/>
                      <w:sz w:val="20"/>
                      <w:szCs w:val="20"/>
                    </w:rPr>
                    <w:t xml:space="preserve">Gradivo (predpis) je bilo poslano v mnenje: </w:t>
                  </w:r>
                </w:p>
                <w:p w:rsidR="00E3425E" w:rsidRPr="00E3425E" w:rsidRDefault="00E3425E" w:rsidP="00E3425E">
                  <w:pPr>
                    <w:pStyle w:val="Neotevilenodstavek"/>
                    <w:widowControl w:val="0"/>
                    <w:numPr>
                      <w:ilvl w:val="0"/>
                      <w:numId w:val="23"/>
                    </w:numPr>
                    <w:spacing w:before="0" w:after="0" w:line="240" w:lineRule="auto"/>
                    <w:rPr>
                      <w:iCs/>
                      <w:sz w:val="20"/>
                      <w:szCs w:val="20"/>
                    </w:rPr>
                  </w:pPr>
                  <w:r w:rsidRPr="00E3425E">
                    <w:rPr>
                      <w:iCs/>
                      <w:sz w:val="20"/>
                      <w:szCs w:val="20"/>
                    </w:rPr>
                    <w:t>Skupnosti občin Slovenije SOS: NE</w:t>
                  </w:r>
                </w:p>
                <w:p w:rsidR="00E3425E" w:rsidRPr="00E3425E" w:rsidRDefault="00E3425E" w:rsidP="00E3425E">
                  <w:pPr>
                    <w:pStyle w:val="Neotevilenodstavek"/>
                    <w:widowControl w:val="0"/>
                    <w:numPr>
                      <w:ilvl w:val="0"/>
                      <w:numId w:val="23"/>
                    </w:numPr>
                    <w:spacing w:before="0" w:after="0" w:line="240" w:lineRule="auto"/>
                    <w:rPr>
                      <w:iCs/>
                      <w:sz w:val="20"/>
                      <w:szCs w:val="20"/>
                    </w:rPr>
                  </w:pPr>
                  <w:r w:rsidRPr="00E3425E">
                    <w:rPr>
                      <w:iCs/>
                      <w:sz w:val="20"/>
                      <w:szCs w:val="20"/>
                    </w:rPr>
                    <w:t>Združenju občin Slovenije ZOS: NE</w:t>
                  </w:r>
                </w:p>
                <w:p w:rsidR="00E3425E" w:rsidRPr="00E3425E" w:rsidRDefault="00E3425E" w:rsidP="00E3425E">
                  <w:pPr>
                    <w:pStyle w:val="Neotevilenodstavek"/>
                    <w:widowControl w:val="0"/>
                    <w:numPr>
                      <w:ilvl w:val="0"/>
                      <w:numId w:val="23"/>
                    </w:numPr>
                    <w:spacing w:before="0" w:after="0" w:line="240" w:lineRule="auto"/>
                    <w:rPr>
                      <w:iCs/>
                      <w:sz w:val="20"/>
                      <w:szCs w:val="20"/>
                    </w:rPr>
                  </w:pPr>
                  <w:r w:rsidRPr="00E3425E">
                    <w:rPr>
                      <w:iCs/>
                      <w:sz w:val="20"/>
                      <w:szCs w:val="20"/>
                    </w:rPr>
                    <w:t>Združenju mestnih občin Slovenije ZMOS: NE</w:t>
                  </w:r>
                </w:p>
              </w:tc>
            </w:tr>
          </w:tbl>
          <w:p w:rsidR="00E3425E" w:rsidRPr="00E3425E" w:rsidRDefault="00E3425E" w:rsidP="00E3425E">
            <w:pPr>
              <w:pStyle w:val="Naslov1"/>
              <w:rPr>
                <w:rFonts w:cs="Arial"/>
                <w:sz w:val="20"/>
                <w:szCs w:val="20"/>
              </w:rPr>
            </w:pPr>
          </w:p>
        </w:tc>
      </w:tr>
      <w:tr w:rsidR="00E3425E" w:rsidRPr="00E3425E" w:rsidTr="00E3425E">
        <w:tblPrEx>
          <w:tblCellMar>
            <w:left w:w="57" w:type="dxa"/>
            <w:right w:w="57" w:type="dxa"/>
          </w:tblCellMar>
        </w:tblPrEx>
        <w:trPr>
          <w:gridBefore w:val="1"/>
          <w:gridAfter w:val="1"/>
          <w:wBefore w:w="34" w:type="dxa"/>
          <w:wAfter w:w="47" w:type="dxa"/>
          <w:trHeight w:val="567"/>
        </w:trPr>
        <w:tc>
          <w:tcPr>
            <w:tcW w:w="669" w:type="dxa"/>
            <w:tcBorders>
              <w:top w:val="single" w:sz="4" w:space="0" w:color="auto"/>
              <w:left w:val="single" w:sz="4" w:space="0" w:color="auto"/>
              <w:bottom w:val="single" w:sz="4" w:space="0" w:color="auto"/>
              <w:right w:val="nil"/>
            </w:tcBorders>
            <w:shd w:val="clear" w:color="auto" w:fill="auto"/>
            <w:vAlign w:val="bottom"/>
          </w:tcPr>
          <w:p w:rsidR="00E3425E" w:rsidRPr="00E3425E" w:rsidRDefault="00E3425E" w:rsidP="00E3425E">
            <w:pPr>
              <w:pStyle w:val="Naslov1"/>
              <w:rPr>
                <w:rFonts w:cs="Arial"/>
                <w:kern w:val="0"/>
                <w:sz w:val="20"/>
                <w:szCs w:val="20"/>
              </w:rPr>
            </w:pPr>
            <w:r w:rsidRPr="00E3425E">
              <w:rPr>
                <w:rFonts w:cs="Arial"/>
                <w:sz w:val="20"/>
                <w:szCs w:val="20"/>
              </w:rPr>
              <w:t>9.</w:t>
            </w:r>
          </w:p>
        </w:tc>
        <w:tc>
          <w:tcPr>
            <w:tcW w:w="8039" w:type="dxa"/>
            <w:gridSpan w:val="5"/>
            <w:tcBorders>
              <w:top w:val="single" w:sz="4" w:space="0" w:color="auto"/>
              <w:left w:val="nil"/>
              <w:bottom w:val="single" w:sz="4" w:space="0" w:color="auto"/>
              <w:right w:val="single" w:sz="4" w:space="0" w:color="auto"/>
            </w:tcBorders>
            <w:shd w:val="clear" w:color="auto" w:fill="auto"/>
            <w:vAlign w:val="bottom"/>
          </w:tcPr>
          <w:p w:rsidR="00E3425E" w:rsidRPr="00E3425E" w:rsidRDefault="00E3425E" w:rsidP="007F364D">
            <w:pPr>
              <w:autoSpaceDE w:val="0"/>
              <w:autoSpaceDN w:val="0"/>
              <w:adjustRightInd w:val="0"/>
              <w:spacing w:line="240" w:lineRule="auto"/>
              <w:rPr>
                <w:rFonts w:cs="Arial"/>
                <w:b/>
                <w:szCs w:val="20"/>
              </w:rPr>
            </w:pPr>
            <w:proofErr w:type="spellStart"/>
            <w:r w:rsidRPr="00E3425E">
              <w:rPr>
                <w:rFonts w:cs="Arial"/>
                <w:b/>
                <w:szCs w:val="20"/>
              </w:rPr>
              <w:t>Predstavitev</w:t>
            </w:r>
            <w:proofErr w:type="spellEnd"/>
            <w:r w:rsidRPr="00E3425E">
              <w:rPr>
                <w:rFonts w:cs="Arial"/>
                <w:b/>
                <w:szCs w:val="20"/>
              </w:rPr>
              <w:t xml:space="preserve"> </w:t>
            </w:r>
            <w:proofErr w:type="spellStart"/>
            <w:r w:rsidRPr="00E3425E">
              <w:rPr>
                <w:rFonts w:cs="Arial"/>
                <w:b/>
                <w:szCs w:val="20"/>
              </w:rPr>
              <w:t>sodelovanja</w:t>
            </w:r>
            <w:proofErr w:type="spellEnd"/>
            <w:r w:rsidRPr="00E3425E">
              <w:rPr>
                <w:rFonts w:cs="Arial"/>
                <w:b/>
                <w:szCs w:val="20"/>
              </w:rPr>
              <w:t xml:space="preserve"> </w:t>
            </w:r>
            <w:proofErr w:type="spellStart"/>
            <w:r w:rsidRPr="00E3425E">
              <w:rPr>
                <w:rFonts w:cs="Arial"/>
                <w:b/>
                <w:szCs w:val="20"/>
              </w:rPr>
              <w:t>javnosti</w:t>
            </w:r>
            <w:proofErr w:type="spellEnd"/>
            <w:r w:rsidRPr="00E3425E">
              <w:rPr>
                <w:rFonts w:cs="Arial"/>
                <w:b/>
                <w:szCs w:val="20"/>
              </w:rPr>
              <w:t>:</w:t>
            </w:r>
          </w:p>
        </w:tc>
      </w:tr>
      <w:tr w:rsidR="00E3425E" w:rsidRPr="00E3425E" w:rsidTr="00E3425E">
        <w:tblPrEx>
          <w:tblCellMar>
            <w:left w:w="57" w:type="dxa"/>
            <w:right w:w="57" w:type="dxa"/>
          </w:tblCellMar>
        </w:tblPrEx>
        <w:trPr>
          <w:gridBefore w:val="1"/>
          <w:gridAfter w:val="1"/>
          <w:wBefore w:w="34" w:type="dxa"/>
          <w:wAfter w:w="47" w:type="dxa"/>
        </w:trPr>
        <w:tc>
          <w:tcPr>
            <w:tcW w:w="7998" w:type="dxa"/>
            <w:gridSpan w:val="5"/>
            <w:tcBorders>
              <w:top w:val="single" w:sz="4" w:space="0" w:color="auto"/>
              <w:bottom w:val="single" w:sz="4" w:space="0" w:color="auto"/>
            </w:tcBorders>
            <w:shd w:val="clear" w:color="auto" w:fill="auto"/>
          </w:tcPr>
          <w:p w:rsidR="00E3425E" w:rsidRPr="00E3425E" w:rsidRDefault="00E3425E" w:rsidP="007F364D">
            <w:pPr>
              <w:pStyle w:val="Telobesedila"/>
              <w:ind w:left="51"/>
              <w:rPr>
                <w:rFonts w:ascii="Arial" w:hAnsi="Arial" w:cs="Arial"/>
                <w:b/>
                <w:sz w:val="20"/>
                <w:szCs w:val="20"/>
                <w:lang w:eastAsia="sl-SI"/>
              </w:rPr>
            </w:pPr>
            <w:r w:rsidRPr="00E3425E">
              <w:rPr>
                <w:rFonts w:ascii="Arial" w:hAnsi="Arial" w:cs="Arial"/>
                <w:bCs/>
                <w:sz w:val="20"/>
                <w:szCs w:val="20"/>
                <w:lang w:eastAsia="sl-SI"/>
              </w:rPr>
              <w:t>Gradivo je bilo predhodno objavljeno na spletni strani predlagatelja</w:t>
            </w:r>
          </w:p>
        </w:tc>
        <w:tc>
          <w:tcPr>
            <w:tcW w:w="710" w:type="dxa"/>
            <w:tcBorders>
              <w:top w:val="single" w:sz="4" w:space="0" w:color="auto"/>
              <w:bottom w:val="single" w:sz="4" w:space="0" w:color="auto"/>
            </w:tcBorders>
            <w:shd w:val="clear" w:color="auto" w:fill="auto"/>
          </w:tcPr>
          <w:p w:rsidR="00E3425E" w:rsidRPr="00E3425E" w:rsidRDefault="00E3425E" w:rsidP="007F364D">
            <w:pPr>
              <w:pStyle w:val="Telobesedila"/>
              <w:jc w:val="center"/>
              <w:rPr>
                <w:rFonts w:ascii="Arial" w:hAnsi="Arial" w:cs="Arial"/>
                <w:b/>
                <w:sz w:val="20"/>
                <w:szCs w:val="20"/>
                <w:lang w:eastAsia="sl-SI"/>
              </w:rPr>
            </w:pPr>
            <w:r w:rsidRPr="00E3425E">
              <w:rPr>
                <w:rFonts w:ascii="Arial" w:hAnsi="Arial" w:cs="Arial"/>
                <w:bCs/>
                <w:sz w:val="20"/>
                <w:szCs w:val="20"/>
                <w:lang w:eastAsia="sl-SI"/>
              </w:rPr>
              <w:t>NE</w:t>
            </w:r>
          </w:p>
        </w:tc>
      </w:tr>
      <w:tr w:rsidR="00E3425E" w:rsidRPr="00E3425E" w:rsidTr="00E3425E">
        <w:trPr>
          <w:gridBefore w:val="1"/>
          <w:gridAfter w:val="1"/>
          <w:wBefore w:w="34" w:type="dxa"/>
          <w:wAfter w:w="47" w:type="dxa"/>
        </w:trPr>
        <w:tc>
          <w:tcPr>
            <w:tcW w:w="8708" w:type="dxa"/>
            <w:gridSpan w:val="6"/>
            <w:tcBorders>
              <w:top w:val="single" w:sz="4" w:space="0" w:color="auto"/>
              <w:bottom w:val="single" w:sz="4" w:space="0" w:color="auto"/>
            </w:tcBorders>
            <w:shd w:val="clear" w:color="auto" w:fill="auto"/>
          </w:tcPr>
          <w:p w:rsidR="00E3425E" w:rsidRPr="00E3425E" w:rsidRDefault="00E3425E" w:rsidP="007F364D">
            <w:pPr>
              <w:spacing w:line="240" w:lineRule="auto"/>
              <w:ind w:right="-1"/>
              <w:jc w:val="both"/>
              <w:rPr>
                <w:rFonts w:cs="Arial"/>
                <w:bCs/>
                <w:szCs w:val="20"/>
              </w:rPr>
            </w:pPr>
            <w:proofErr w:type="spellStart"/>
            <w:r w:rsidRPr="00E3425E">
              <w:rPr>
                <w:rFonts w:cs="Arial"/>
                <w:bCs/>
                <w:szCs w:val="20"/>
              </w:rPr>
              <w:t>Razlogi</w:t>
            </w:r>
            <w:proofErr w:type="spellEnd"/>
            <w:r w:rsidRPr="00E3425E">
              <w:rPr>
                <w:rFonts w:cs="Arial"/>
                <w:bCs/>
                <w:szCs w:val="20"/>
              </w:rPr>
              <w:t xml:space="preserve"> </w:t>
            </w:r>
            <w:proofErr w:type="spellStart"/>
            <w:r w:rsidRPr="00E3425E">
              <w:rPr>
                <w:rFonts w:cs="Arial"/>
                <w:bCs/>
                <w:szCs w:val="20"/>
              </w:rPr>
              <w:t>za</w:t>
            </w:r>
            <w:proofErr w:type="spellEnd"/>
            <w:r w:rsidRPr="00E3425E">
              <w:rPr>
                <w:rFonts w:cs="Arial"/>
                <w:bCs/>
                <w:szCs w:val="20"/>
              </w:rPr>
              <w:t xml:space="preserve"> </w:t>
            </w:r>
            <w:proofErr w:type="spellStart"/>
            <w:r w:rsidRPr="00E3425E">
              <w:rPr>
                <w:rFonts w:cs="Arial"/>
                <w:bCs/>
                <w:szCs w:val="20"/>
              </w:rPr>
              <w:t>neobjavo</w:t>
            </w:r>
            <w:proofErr w:type="spellEnd"/>
            <w:r w:rsidRPr="00E3425E">
              <w:rPr>
                <w:rFonts w:cs="Arial"/>
                <w:bCs/>
                <w:szCs w:val="20"/>
              </w:rPr>
              <w:t xml:space="preserve">: </w:t>
            </w:r>
          </w:p>
          <w:p w:rsidR="00E3425E" w:rsidRPr="00E3425E" w:rsidRDefault="00E3425E" w:rsidP="00E3425E">
            <w:pPr>
              <w:numPr>
                <w:ilvl w:val="0"/>
                <w:numId w:val="18"/>
              </w:numPr>
              <w:spacing w:line="240" w:lineRule="auto"/>
              <w:ind w:right="-1"/>
              <w:jc w:val="both"/>
              <w:rPr>
                <w:rFonts w:cs="Arial"/>
                <w:bCs/>
                <w:szCs w:val="20"/>
              </w:rPr>
            </w:pPr>
            <w:proofErr w:type="spellStart"/>
            <w:r w:rsidRPr="00E3425E">
              <w:rPr>
                <w:rFonts w:cs="Arial"/>
                <w:bCs/>
                <w:szCs w:val="20"/>
              </w:rPr>
              <w:t>Predlog</w:t>
            </w:r>
            <w:proofErr w:type="spellEnd"/>
            <w:r w:rsidRPr="00E3425E">
              <w:rPr>
                <w:rFonts w:cs="Arial"/>
                <w:bCs/>
                <w:szCs w:val="20"/>
              </w:rPr>
              <w:t xml:space="preserve"> </w:t>
            </w:r>
            <w:proofErr w:type="spellStart"/>
            <w:r w:rsidRPr="00E3425E">
              <w:rPr>
                <w:rFonts w:cs="Arial"/>
                <w:bCs/>
                <w:szCs w:val="20"/>
              </w:rPr>
              <w:t>sklepa</w:t>
            </w:r>
            <w:proofErr w:type="spellEnd"/>
            <w:r w:rsidRPr="00E3425E">
              <w:rPr>
                <w:rFonts w:cs="Arial"/>
                <w:bCs/>
                <w:szCs w:val="20"/>
              </w:rPr>
              <w:t xml:space="preserve"> </w:t>
            </w:r>
            <w:proofErr w:type="spellStart"/>
            <w:r w:rsidRPr="00E3425E">
              <w:rPr>
                <w:rFonts w:cs="Arial"/>
                <w:bCs/>
                <w:szCs w:val="20"/>
              </w:rPr>
              <w:t>predhodno</w:t>
            </w:r>
            <w:proofErr w:type="spellEnd"/>
            <w:r w:rsidRPr="00E3425E">
              <w:rPr>
                <w:rFonts w:cs="Arial"/>
                <w:bCs/>
                <w:szCs w:val="20"/>
              </w:rPr>
              <w:t xml:space="preserve"> </w:t>
            </w:r>
            <w:proofErr w:type="spellStart"/>
            <w:proofErr w:type="gramStart"/>
            <w:r w:rsidRPr="00E3425E">
              <w:rPr>
                <w:rFonts w:cs="Arial"/>
                <w:bCs/>
                <w:szCs w:val="20"/>
              </w:rPr>
              <w:t>ni</w:t>
            </w:r>
            <w:proofErr w:type="spellEnd"/>
            <w:proofErr w:type="gramEnd"/>
            <w:r w:rsidRPr="00E3425E">
              <w:rPr>
                <w:rFonts w:cs="Arial"/>
                <w:bCs/>
                <w:szCs w:val="20"/>
              </w:rPr>
              <w:t xml:space="preserve"> </w:t>
            </w:r>
            <w:proofErr w:type="spellStart"/>
            <w:r w:rsidRPr="00E3425E">
              <w:rPr>
                <w:rFonts w:cs="Arial"/>
                <w:bCs/>
                <w:szCs w:val="20"/>
              </w:rPr>
              <w:t>bil</w:t>
            </w:r>
            <w:proofErr w:type="spellEnd"/>
            <w:r w:rsidRPr="00E3425E">
              <w:rPr>
                <w:rFonts w:cs="Arial"/>
                <w:bCs/>
                <w:szCs w:val="20"/>
              </w:rPr>
              <w:t xml:space="preserve"> </w:t>
            </w:r>
            <w:proofErr w:type="spellStart"/>
            <w:r w:rsidRPr="00E3425E">
              <w:rPr>
                <w:rFonts w:cs="Arial"/>
                <w:bCs/>
                <w:szCs w:val="20"/>
              </w:rPr>
              <w:t>objavljen</w:t>
            </w:r>
            <w:proofErr w:type="spellEnd"/>
            <w:r w:rsidRPr="00E3425E">
              <w:rPr>
                <w:rFonts w:cs="Arial"/>
                <w:bCs/>
                <w:szCs w:val="20"/>
              </w:rPr>
              <w:t xml:space="preserve"> </w:t>
            </w:r>
            <w:proofErr w:type="spellStart"/>
            <w:r w:rsidRPr="00E3425E">
              <w:rPr>
                <w:rFonts w:cs="Arial"/>
                <w:bCs/>
                <w:szCs w:val="20"/>
              </w:rPr>
              <w:t>na</w:t>
            </w:r>
            <w:proofErr w:type="spellEnd"/>
            <w:r w:rsidRPr="00E3425E">
              <w:rPr>
                <w:rFonts w:cs="Arial"/>
                <w:bCs/>
                <w:szCs w:val="20"/>
              </w:rPr>
              <w:t xml:space="preserve"> </w:t>
            </w:r>
            <w:proofErr w:type="spellStart"/>
            <w:r w:rsidRPr="00E3425E">
              <w:rPr>
                <w:rFonts w:cs="Arial"/>
                <w:bCs/>
                <w:szCs w:val="20"/>
              </w:rPr>
              <w:t>spletni</w:t>
            </w:r>
            <w:proofErr w:type="spellEnd"/>
            <w:r w:rsidRPr="00E3425E">
              <w:rPr>
                <w:rFonts w:cs="Arial"/>
                <w:bCs/>
                <w:szCs w:val="20"/>
              </w:rPr>
              <w:t xml:space="preserve"> </w:t>
            </w:r>
            <w:proofErr w:type="spellStart"/>
            <w:r w:rsidRPr="00E3425E">
              <w:rPr>
                <w:rFonts w:cs="Arial"/>
                <w:bCs/>
                <w:szCs w:val="20"/>
              </w:rPr>
              <w:t>strani</w:t>
            </w:r>
            <w:proofErr w:type="spellEnd"/>
            <w:r w:rsidRPr="00E3425E">
              <w:rPr>
                <w:rFonts w:cs="Arial"/>
                <w:bCs/>
                <w:szCs w:val="20"/>
              </w:rPr>
              <w:t xml:space="preserve"> </w:t>
            </w:r>
            <w:proofErr w:type="spellStart"/>
            <w:r w:rsidRPr="00E3425E">
              <w:rPr>
                <w:rFonts w:cs="Arial"/>
                <w:bCs/>
                <w:szCs w:val="20"/>
              </w:rPr>
              <w:t>predlagatelja</w:t>
            </w:r>
            <w:proofErr w:type="spellEnd"/>
            <w:r w:rsidRPr="00E3425E">
              <w:rPr>
                <w:rFonts w:cs="Arial"/>
                <w:bCs/>
                <w:szCs w:val="20"/>
              </w:rPr>
              <w:t xml:space="preserve">, </w:t>
            </w:r>
            <w:proofErr w:type="spellStart"/>
            <w:r w:rsidRPr="00E3425E">
              <w:rPr>
                <w:rFonts w:cs="Arial"/>
                <w:bCs/>
                <w:szCs w:val="20"/>
              </w:rPr>
              <w:t>tako</w:t>
            </w:r>
            <w:proofErr w:type="spellEnd"/>
            <w:r w:rsidRPr="00E3425E">
              <w:rPr>
                <w:rFonts w:cs="Arial"/>
                <w:bCs/>
                <w:szCs w:val="20"/>
              </w:rPr>
              <w:t xml:space="preserve"> </w:t>
            </w:r>
            <w:proofErr w:type="spellStart"/>
            <w:r w:rsidRPr="00E3425E">
              <w:rPr>
                <w:rFonts w:cs="Arial"/>
                <w:bCs/>
                <w:szCs w:val="20"/>
              </w:rPr>
              <w:t>tudi</w:t>
            </w:r>
            <w:proofErr w:type="spellEnd"/>
            <w:r w:rsidRPr="00E3425E">
              <w:rPr>
                <w:rFonts w:cs="Arial"/>
                <w:bCs/>
                <w:szCs w:val="20"/>
              </w:rPr>
              <w:t xml:space="preserve"> </w:t>
            </w:r>
            <w:proofErr w:type="spellStart"/>
            <w:r w:rsidRPr="00E3425E">
              <w:rPr>
                <w:rFonts w:cs="Arial"/>
                <w:bCs/>
                <w:szCs w:val="20"/>
              </w:rPr>
              <w:t>niso</w:t>
            </w:r>
            <w:proofErr w:type="spellEnd"/>
            <w:r w:rsidRPr="00E3425E">
              <w:rPr>
                <w:rFonts w:cs="Arial"/>
                <w:bCs/>
                <w:szCs w:val="20"/>
              </w:rPr>
              <w:t xml:space="preserve"> bile </w:t>
            </w:r>
            <w:proofErr w:type="spellStart"/>
            <w:r w:rsidRPr="00E3425E">
              <w:rPr>
                <w:rFonts w:cs="Arial"/>
                <w:bCs/>
                <w:szCs w:val="20"/>
              </w:rPr>
              <w:t>podane</w:t>
            </w:r>
            <w:proofErr w:type="spellEnd"/>
            <w:r w:rsidRPr="00E3425E">
              <w:rPr>
                <w:rFonts w:cs="Arial"/>
                <w:bCs/>
                <w:szCs w:val="20"/>
              </w:rPr>
              <w:t xml:space="preserve"> oz. </w:t>
            </w:r>
            <w:proofErr w:type="spellStart"/>
            <w:r w:rsidRPr="00E3425E">
              <w:rPr>
                <w:rFonts w:cs="Arial"/>
                <w:bCs/>
                <w:szCs w:val="20"/>
              </w:rPr>
              <w:t>prejete</w:t>
            </w:r>
            <w:proofErr w:type="spellEnd"/>
            <w:r w:rsidRPr="00E3425E">
              <w:rPr>
                <w:rFonts w:cs="Arial"/>
                <w:bCs/>
                <w:szCs w:val="20"/>
              </w:rPr>
              <w:t xml:space="preserve"> </w:t>
            </w:r>
            <w:proofErr w:type="spellStart"/>
            <w:r w:rsidRPr="00E3425E">
              <w:rPr>
                <w:rFonts w:cs="Arial"/>
                <w:bCs/>
                <w:szCs w:val="20"/>
              </w:rPr>
              <w:t>pripombe</w:t>
            </w:r>
            <w:proofErr w:type="spellEnd"/>
            <w:r w:rsidRPr="00E3425E">
              <w:rPr>
                <w:rFonts w:cs="Arial"/>
                <w:bCs/>
                <w:szCs w:val="20"/>
              </w:rPr>
              <w:t xml:space="preserve"> </w:t>
            </w:r>
            <w:proofErr w:type="spellStart"/>
            <w:r w:rsidRPr="00E3425E">
              <w:rPr>
                <w:rFonts w:cs="Arial"/>
                <w:bCs/>
                <w:szCs w:val="20"/>
              </w:rPr>
              <w:t>ali</w:t>
            </w:r>
            <w:proofErr w:type="spellEnd"/>
            <w:r w:rsidRPr="00E3425E">
              <w:rPr>
                <w:rFonts w:cs="Arial"/>
                <w:bCs/>
                <w:szCs w:val="20"/>
              </w:rPr>
              <w:t xml:space="preserve"> </w:t>
            </w:r>
            <w:proofErr w:type="spellStart"/>
            <w:r w:rsidRPr="00E3425E">
              <w:rPr>
                <w:rFonts w:cs="Arial"/>
                <w:bCs/>
                <w:szCs w:val="20"/>
              </w:rPr>
              <w:t>predlogi</w:t>
            </w:r>
            <w:proofErr w:type="spellEnd"/>
            <w:r w:rsidRPr="00E3425E">
              <w:rPr>
                <w:rFonts w:cs="Arial"/>
                <w:bCs/>
                <w:szCs w:val="20"/>
              </w:rPr>
              <w:t xml:space="preserve"> </w:t>
            </w:r>
            <w:proofErr w:type="spellStart"/>
            <w:r w:rsidRPr="00E3425E">
              <w:rPr>
                <w:rFonts w:cs="Arial"/>
                <w:bCs/>
                <w:szCs w:val="20"/>
              </w:rPr>
              <w:t>civilne</w:t>
            </w:r>
            <w:proofErr w:type="spellEnd"/>
            <w:r w:rsidRPr="00E3425E">
              <w:rPr>
                <w:rFonts w:cs="Arial"/>
                <w:bCs/>
                <w:szCs w:val="20"/>
              </w:rPr>
              <w:t xml:space="preserve"> </w:t>
            </w:r>
            <w:proofErr w:type="spellStart"/>
            <w:r w:rsidRPr="00E3425E">
              <w:rPr>
                <w:rFonts w:cs="Arial"/>
                <w:bCs/>
                <w:szCs w:val="20"/>
              </w:rPr>
              <w:t>družbe</w:t>
            </w:r>
            <w:proofErr w:type="spellEnd"/>
            <w:r w:rsidRPr="00E3425E">
              <w:rPr>
                <w:rFonts w:cs="Arial"/>
                <w:bCs/>
                <w:szCs w:val="20"/>
              </w:rPr>
              <w:t xml:space="preserve">. </w:t>
            </w:r>
          </w:p>
          <w:p w:rsidR="00E3425E" w:rsidRPr="00E3425E" w:rsidRDefault="00E3425E" w:rsidP="00E3425E">
            <w:pPr>
              <w:numPr>
                <w:ilvl w:val="0"/>
                <w:numId w:val="18"/>
              </w:numPr>
              <w:spacing w:line="240" w:lineRule="auto"/>
              <w:ind w:right="-1"/>
              <w:jc w:val="both"/>
              <w:rPr>
                <w:rFonts w:cs="Arial"/>
                <w:bCs/>
                <w:szCs w:val="20"/>
              </w:rPr>
            </w:pPr>
            <w:r w:rsidRPr="00E3425E">
              <w:rPr>
                <w:rFonts w:cs="Arial"/>
                <w:bCs/>
                <w:szCs w:val="20"/>
              </w:rPr>
              <w:t xml:space="preserve">S </w:t>
            </w:r>
            <w:proofErr w:type="spellStart"/>
            <w:r w:rsidRPr="00E3425E">
              <w:rPr>
                <w:rFonts w:cs="Arial"/>
                <w:bCs/>
                <w:szCs w:val="20"/>
              </w:rPr>
              <w:t>sprejemom</w:t>
            </w:r>
            <w:proofErr w:type="spellEnd"/>
            <w:r w:rsidRPr="00E3425E">
              <w:rPr>
                <w:rFonts w:cs="Arial"/>
                <w:bCs/>
                <w:szCs w:val="20"/>
              </w:rPr>
              <w:t xml:space="preserve"> </w:t>
            </w:r>
            <w:proofErr w:type="spellStart"/>
            <w:r w:rsidRPr="00E3425E">
              <w:rPr>
                <w:rFonts w:cs="Arial"/>
                <w:bCs/>
                <w:szCs w:val="20"/>
              </w:rPr>
              <w:t>tega</w:t>
            </w:r>
            <w:proofErr w:type="spellEnd"/>
            <w:r w:rsidRPr="00E3425E">
              <w:rPr>
                <w:rFonts w:cs="Arial"/>
                <w:bCs/>
                <w:szCs w:val="20"/>
              </w:rPr>
              <w:t xml:space="preserve"> </w:t>
            </w:r>
            <w:proofErr w:type="spellStart"/>
            <w:r w:rsidRPr="00E3425E">
              <w:rPr>
                <w:rFonts w:cs="Arial"/>
                <w:bCs/>
                <w:szCs w:val="20"/>
              </w:rPr>
              <w:t>sklepa</w:t>
            </w:r>
            <w:proofErr w:type="spellEnd"/>
            <w:r w:rsidRPr="00E3425E">
              <w:rPr>
                <w:rFonts w:cs="Arial"/>
                <w:bCs/>
                <w:szCs w:val="20"/>
              </w:rPr>
              <w:t xml:space="preserve"> </w:t>
            </w:r>
            <w:proofErr w:type="spellStart"/>
            <w:r w:rsidRPr="00E3425E">
              <w:rPr>
                <w:rFonts w:cs="Arial"/>
                <w:bCs/>
                <w:szCs w:val="20"/>
              </w:rPr>
              <w:t>Vlada</w:t>
            </w:r>
            <w:proofErr w:type="spellEnd"/>
            <w:r w:rsidRPr="00E3425E">
              <w:rPr>
                <w:rFonts w:cs="Arial"/>
                <w:bCs/>
                <w:szCs w:val="20"/>
              </w:rPr>
              <w:t xml:space="preserve"> RS </w:t>
            </w:r>
            <w:proofErr w:type="spellStart"/>
            <w:r w:rsidRPr="00E3425E">
              <w:rPr>
                <w:rFonts w:cs="Arial"/>
                <w:bCs/>
                <w:szCs w:val="20"/>
              </w:rPr>
              <w:t>občini</w:t>
            </w:r>
            <w:proofErr w:type="spellEnd"/>
            <w:r w:rsidRPr="00E3425E">
              <w:rPr>
                <w:rFonts w:cs="Arial"/>
                <w:bCs/>
                <w:szCs w:val="20"/>
              </w:rPr>
              <w:t xml:space="preserve"> </w:t>
            </w:r>
            <w:proofErr w:type="spellStart"/>
            <w:r w:rsidRPr="00E3425E">
              <w:rPr>
                <w:rFonts w:cs="Arial"/>
                <w:bCs/>
                <w:szCs w:val="20"/>
              </w:rPr>
              <w:t>dovoljuje</w:t>
            </w:r>
            <w:proofErr w:type="spellEnd"/>
            <w:r w:rsidRPr="00E3425E">
              <w:rPr>
                <w:rFonts w:cs="Arial"/>
                <w:bCs/>
                <w:szCs w:val="20"/>
              </w:rPr>
              <w:t xml:space="preserve"> </w:t>
            </w:r>
            <w:proofErr w:type="spellStart"/>
            <w:r w:rsidRPr="00E3425E">
              <w:rPr>
                <w:rFonts w:cs="Arial"/>
                <w:bCs/>
                <w:szCs w:val="20"/>
              </w:rPr>
              <w:t>načrtovanje</w:t>
            </w:r>
            <w:proofErr w:type="spellEnd"/>
            <w:r w:rsidRPr="00E3425E">
              <w:rPr>
                <w:rFonts w:cs="Arial"/>
                <w:bCs/>
                <w:szCs w:val="20"/>
              </w:rPr>
              <w:t xml:space="preserve"> </w:t>
            </w:r>
            <w:proofErr w:type="spellStart"/>
            <w:r w:rsidRPr="00E3425E">
              <w:rPr>
                <w:rFonts w:cs="Arial"/>
                <w:bCs/>
                <w:szCs w:val="20"/>
              </w:rPr>
              <w:t>prostorskih</w:t>
            </w:r>
            <w:proofErr w:type="spellEnd"/>
            <w:r w:rsidRPr="00E3425E">
              <w:rPr>
                <w:rFonts w:cs="Arial"/>
                <w:bCs/>
                <w:szCs w:val="20"/>
              </w:rPr>
              <w:t xml:space="preserve"> </w:t>
            </w:r>
            <w:proofErr w:type="spellStart"/>
            <w:r w:rsidRPr="00E3425E">
              <w:rPr>
                <w:rFonts w:cs="Arial"/>
                <w:bCs/>
                <w:szCs w:val="20"/>
              </w:rPr>
              <w:t>ureditev</w:t>
            </w:r>
            <w:proofErr w:type="spellEnd"/>
            <w:r w:rsidRPr="00E3425E">
              <w:rPr>
                <w:rFonts w:cs="Arial"/>
                <w:bCs/>
                <w:szCs w:val="20"/>
              </w:rPr>
              <w:t xml:space="preserve"> </w:t>
            </w:r>
            <w:proofErr w:type="spellStart"/>
            <w:r w:rsidRPr="00E3425E">
              <w:rPr>
                <w:rFonts w:cs="Arial"/>
                <w:bCs/>
                <w:szCs w:val="20"/>
              </w:rPr>
              <w:t>lokalnega</w:t>
            </w:r>
            <w:proofErr w:type="spellEnd"/>
            <w:r w:rsidRPr="00E3425E">
              <w:rPr>
                <w:rFonts w:cs="Arial"/>
                <w:bCs/>
                <w:szCs w:val="20"/>
              </w:rPr>
              <w:t xml:space="preserve"> </w:t>
            </w:r>
            <w:proofErr w:type="spellStart"/>
            <w:r w:rsidRPr="00E3425E">
              <w:rPr>
                <w:rFonts w:cs="Arial"/>
                <w:bCs/>
                <w:szCs w:val="20"/>
              </w:rPr>
              <w:t>pomena</w:t>
            </w:r>
            <w:proofErr w:type="spellEnd"/>
            <w:r w:rsidRPr="00E3425E">
              <w:rPr>
                <w:rFonts w:cs="Arial"/>
                <w:bCs/>
                <w:szCs w:val="20"/>
              </w:rPr>
              <w:t xml:space="preserve"> v </w:t>
            </w:r>
            <w:proofErr w:type="spellStart"/>
            <w:r w:rsidRPr="00E3425E">
              <w:rPr>
                <w:rFonts w:cs="Arial"/>
                <w:bCs/>
                <w:szCs w:val="20"/>
              </w:rPr>
              <w:t>območju</w:t>
            </w:r>
            <w:proofErr w:type="spellEnd"/>
            <w:r w:rsidRPr="00E3425E">
              <w:rPr>
                <w:rFonts w:cs="Arial"/>
                <w:bCs/>
                <w:szCs w:val="20"/>
              </w:rPr>
              <w:t xml:space="preserve">, </w:t>
            </w:r>
            <w:proofErr w:type="spellStart"/>
            <w:r w:rsidRPr="00E3425E">
              <w:rPr>
                <w:rFonts w:cs="Arial"/>
                <w:bCs/>
                <w:szCs w:val="20"/>
              </w:rPr>
              <w:t>ki</w:t>
            </w:r>
            <w:proofErr w:type="spellEnd"/>
            <w:r w:rsidRPr="00E3425E">
              <w:rPr>
                <w:rFonts w:cs="Arial"/>
                <w:bCs/>
                <w:szCs w:val="20"/>
              </w:rPr>
              <w:t xml:space="preserve"> se </w:t>
            </w:r>
            <w:proofErr w:type="spellStart"/>
            <w:r w:rsidRPr="00E3425E">
              <w:rPr>
                <w:rFonts w:cs="Arial"/>
                <w:bCs/>
                <w:szCs w:val="20"/>
              </w:rPr>
              <w:t>ureja</w:t>
            </w:r>
            <w:proofErr w:type="spellEnd"/>
            <w:r w:rsidRPr="00E3425E">
              <w:rPr>
                <w:rFonts w:cs="Arial"/>
                <w:bCs/>
                <w:szCs w:val="20"/>
              </w:rPr>
              <w:t xml:space="preserve"> z </w:t>
            </w:r>
            <w:proofErr w:type="spellStart"/>
            <w:r w:rsidRPr="00E3425E">
              <w:rPr>
                <w:rFonts w:cs="Arial"/>
                <w:bCs/>
                <w:szCs w:val="20"/>
              </w:rPr>
              <w:t>državnim</w:t>
            </w:r>
            <w:proofErr w:type="spellEnd"/>
            <w:r w:rsidRPr="00E3425E">
              <w:rPr>
                <w:rFonts w:cs="Arial"/>
                <w:bCs/>
                <w:szCs w:val="20"/>
              </w:rPr>
              <w:t xml:space="preserve"> </w:t>
            </w:r>
            <w:proofErr w:type="spellStart"/>
            <w:r w:rsidRPr="00E3425E">
              <w:rPr>
                <w:rFonts w:cs="Arial"/>
                <w:bCs/>
                <w:szCs w:val="20"/>
              </w:rPr>
              <w:t>prostorskim</w:t>
            </w:r>
            <w:proofErr w:type="spellEnd"/>
            <w:r w:rsidRPr="00E3425E">
              <w:rPr>
                <w:rFonts w:cs="Arial"/>
                <w:bCs/>
                <w:szCs w:val="20"/>
              </w:rPr>
              <w:t xml:space="preserve"> </w:t>
            </w:r>
            <w:proofErr w:type="spellStart"/>
            <w:r w:rsidRPr="00E3425E">
              <w:rPr>
                <w:rFonts w:cs="Arial"/>
                <w:bCs/>
                <w:szCs w:val="20"/>
              </w:rPr>
              <w:t>aktom</w:t>
            </w:r>
            <w:proofErr w:type="spellEnd"/>
            <w:r w:rsidRPr="00E3425E">
              <w:rPr>
                <w:rFonts w:cs="Arial"/>
                <w:bCs/>
                <w:szCs w:val="20"/>
              </w:rPr>
              <w:t xml:space="preserve">. </w:t>
            </w:r>
          </w:p>
        </w:tc>
      </w:tr>
      <w:tr w:rsidR="00E3425E" w:rsidRPr="00E3425E" w:rsidTr="00E3425E">
        <w:tblPrEx>
          <w:tblCellMar>
            <w:left w:w="57" w:type="dxa"/>
            <w:right w:w="57" w:type="dxa"/>
          </w:tblCellMar>
        </w:tblPrEx>
        <w:trPr>
          <w:gridBefore w:val="1"/>
          <w:gridAfter w:val="1"/>
          <w:wBefore w:w="34" w:type="dxa"/>
          <w:wAfter w:w="47" w:type="dxa"/>
          <w:trHeight w:val="794"/>
        </w:trPr>
        <w:tc>
          <w:tcPr>
            <w:tcW w:w="669" w:type="dxa"/>
            <w:tcBorders>
              <w:bottom w:val="single" w:sz="4" w:space="0" w:color="auto"/>
              <w:right w:val="nil"/>
            </w:tcBorders>
            <w:shd w:val="clear" w:color="auto" w:fill="auto"/>
            <w:vAlign w:val="center"/>
          </w:tcPr>
          <w:p w:rsidR="00E3425E" w:rsidRPr="00E3425E" w:rsidRDefault="00E3425E" w:rsidP="00E3425E">
            <w:pPr>
              <w:pStyle w:val="Naslov1"/>
              <w:rPr>
                <w:rFonts w:cs="Arial"/>
                <w:sz w:val="20"/>
                <w:szCs w:val="20"/>
              </w:rPr>
            </w:pPr>
            <w:r w:rsidRPr="00E3425E">
              <w:rPr>
                <w:rFonts w:cs="Arial"/>
                <w:sz w:val="20"/>
                <w:szCs w:val="20"/>
              </w:rPr>
              <w:t>10.</w:t>
            </w:r>
          </w:p>
        </w:tc>
        <w:tc>
          <w:tcPr>
            <w:tcW w:w="7233" w:type="dxa"/>
            <w:gridSpan w:val="3"/>
            <w:tcBorders>
              <w:left w:val="nil"/>
              <w:bottom w:val="single" w:sz="4" w:space="0" w:color="auto"/>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 xml:space="preserve">Pri pripravi gradiva so bile upoštevane zahteve iz Resolucije o normativni dejavnosti: </w:t>
            </w:r>
          </w:p>
        </w:tc>
        <w:tc>
          <w:tcPr>
            <w:tcW w:w="806" w:type="dxa"/>
            <w:gridSpan w:val="2"/>
            <w:tcBorders>
              <w:bottom w:val="single" w:sz="4" w:space="0" w:color="auto"/>
            </w:tcBorders>
            <w:shd w:val="clear" w:color="auto" w:fill="auto"/>
            <w:vAlign w:val="bottom"/>
          </w:tcPr>
          <w:p w:rsidR="00E3425E" w:rsidRPr="00E3425E" w:rsidRDefault="00E3425E" w:rsidP="007F364D">
            <w:pPr>
              <w:autoSpaceDE w:val="0"/>
              <w:autoSpaceDN w:val="0"/>
              <w:adjustRightInd w:val="0"/>
              <w:spacing w:line="240" w:lineRule="auto"/>
              <w:ind w:left="540" w:hanging="540"/>
              <w:jc w:val="center"/>
              <w:rPr>
                <w:rFonts w:cs="Arial"/>
                <w:bCs/>
                <w:szCs w:val="20"/>
              </w:rPr>
            </w:pPr>
            <w:r w:rsidRPr="00E3425E">
              <w:rPr>
                <w:rFonts w:cs="Arial"/>
                <w:bCs/>
                <w:szCs w:val="20"/>
              </w:rPr>
              <w:t>DA</w:t>
            </w:r>
          </w:p>
        </w:tc>
      </w:tr>
      <w:tr w:rsidR="00E3425E" w:rsidRPr="00E3425E" w:rsidTr="00E3425E">
        <w:tblPrEx>
          <w:tblCellMar>
            <w:left w:w="57" w:type="dxa"/>
            <w:right w:w="57" w:type="dxa"/>
          </w:tblCellMar>
        </w:tblPrEx>
        <w:trPr>
          <w:gridBefore w:val="1"/>
          <w:gridAfter w:val="1"/>
          <w:wBefore w:w="34" w:type="dxa"/>
          <w:wAfter w:w="47" w:type="dxa"/>
          <w:trHeight w:val="567"/>
        </w:trPr>
        <w:tc>
          <w:tcPr>
            <w:tcW w:w="669" w:type="dxa"/>
            <w:tcBorders>
              <w:bottom w:val="single" w:sz="4" w:space="0" w:color="000000"/>
              <w:right w:val="nil"/>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11.</w:t>
            </w:r>
          </w:p>
        </w:tc>
        <w:tc>
          <w:tcPr>
            <w:tcW w:w="7233" w:type="dxa"/>
            <w:gridSpan w:val="3"/>
            <w:tcBorders>
              <w:left w:val="nil"/>
              <w:bottom w:val="single" w:sz="4" w:space="0" w:color="000000"/>
            </w:tcBorders>
            <w:shd w:val="clear" w:color="auto" w:fill="auto"/>
            <w:vAlign w:val="bottom"/>
          </w:tcPr>
          <w:p w:rsidR="00E3425E" w:rsidRPr="00E3425E" w:rsidRDefault="00E3425E" w:rsidP="00E3425E">
            <w:pPr>
              <w:pStyle w:val="Naslov1"/>
              <w:rPr>
                <w:rFonts w:cs="Arial"/>
                <w:sz w:val="20"/>
                <w:szCs w:val="20"/>
              </w:rPr>
            </w:pPr>
            <w:r w:rsidRPr="00E3425E">
              <w:rPr>
                <w:rFonts w:cs="Arial"/>
                <w:sz w:val="20"/>
                <w:szCs w:val="20"/>
              </w:rPr>
              <w:t>Gradivo je uvrščeno v delovni program vlade:</w:t>
            </w:r>
          </w:p>
        </w:tc>
        <w:tc>
          <w:tcPr>
            <w:tcW w:w="806" w:type="dxa"/>
            <w:gridSpan w:val="2"/>
            <w:tcBorders>
              <w:bottom w:val="single" w:sz="4" w:space="0" w:color="000000"/>
            </w:tcBorders>
            <w:shd w:val="clear" w:color="auto" w:fill="auto"/>
            <w:vAlign w:val="bottom"/>
          </w:tcPr>
          <w:p w:rsidR="00E3425E" w:rsidRPr="00E3425E" w:rsidRDefault="00E3425E" w:rsidP="007F364D">
            <w:pPr>
              <w:autoSpaceDE w:val="0"/>
              <w:autoSpaceDN w:val="0"/>
              <w:adjustRightInd w:val="0"/>
              <w:spacing w:line="240" w:lineRule="auto"/>
              <w:ind w:left="540" w:hanging="540"/>
              <w:jc w:val="center"/>
              <w:rPr>
                <w:rFonts w:cs="Arial"/>
                <w:bCs/>
                <w:szCs w:val="20"/>
              </w:rPr>
            </w:pPr>
            <w:r w:rsidRPr="00E3425E">
              <w:rPr>
                <w:rFonts w:cs="Arial"/>
                <w:bCs/>
                <w:szCs w:val="20"/>
              </w:rPr>
              <w:t>NE</w:t>
            </w:r>
          </w:p>
        </w:tc>
      </w:tr>
      <w:tr w:rsidR="00E3425E" w:rsidRPr="00E3425E" w:rsidTr="00E3425E">
        <w:tblPrEx>
          <w:tblCellMar>
            <w:left w:w="57" w:type="dxa"/>
            <w:right w:w="57" w:type="dxa"/>
          </w:tblCellMar>
        </w:tblPrEx>
        <w:trPr>
          <w:gridBefore w:val="1"/>
          <w:gridAfter w:val="1"/>
          <w:wBefore w:w="34" w:type="dxa"/>
          <w:wAfter w:w="47" w:type="dxa"/>
          <w:trHeight w:val="20"/>
        </w:trPr>
        <w:tc>
          <w:tcPr>
            <w:tcW w:w="8708" w:type="dxa"/>
            <w:gridSpan w:val="6"/>
            <w:tcBorders>
              <w:bottom w:val="nil"/>
            </w:tcBorders>
            <w:shd w:val="clear" w:color="auto" w:fill="auto"/>
          </w:tcPr>
          <w:p w:rsidR="00E3425E" w:rsidRPr="00E3425E" w:rsidRDefault="00E3425E" w:rsidP="007F364D">
            <w:pPr>
              <w:autoSpaceDE w:val="0"/>
              <w:autoSpaceDN w:val="0"/>
              <w:adjustRightInd w:val="0"/>
              <w:spacing w:line="240" w:lineRule="auto"/>
              <w:ind w:left="540" w:hanging="540"/>
              <w:rPr>
                <w:rFonts w:cs="Arial"/>
                <w:szCs w:val="20"/>
              </w:rPr>
            </w:pPr>
          </w:p>
        </w:tc>
      </w:tr>
      <w:tr w:rsidR="00E3425E" w:rsidRPr="00E3425E" w:rsidTr="00E3425E">
        <w:tblPrEx>
          <w:tblCellMar>
            <w:left w:w="57" w:type="dxa"/>
            <w:right w:w="57" w:type="dxa"/>
          </w:tblCellMar>
        </w:tblPrEx>
        <w:tc>
          <w:tcPr>
            <w:tcW w:w="8789" w:type="dxa"/>
            <w:gridSpan w:val="8"/>
            <w:tcBorders>
              <w:top w:val="single" w:sz="4" w:space="0" w:color="auto"/>
              <w:left w:val="nil"/>
              <w:bottom w:val="nil"/>
              <w:right w:val="nil"/>
            </w:tcBorders>
            <w:shd w:val="clear" w:color="auto" w:fill="auto"/>
          </w:tcPr>
          <w:p w:rsidR="00E3425E" w:rsidRPr="00E3425E" w:rsidRDefault="00E3425E" w:rsidP="007F364D">
            <w:pPr>
              <w:spacing w:line="240" w:lineRule="auto"/>
              <w:ind w:right="-1"/>
              <w:rPr>
                <w:rFonts w:cs="Arial"/>
                <w:szCs w:val="20"/>
              </w:rPr>
            </w:pPr>
          </w:p>
          <w:p w:rsidR="00E3425E" w:rsidRPr="00E3425E" w:rsidRDefault="00E3425E" w:rsidP="007F364D">
            <w:pPr>
              <w:spacing w:line="240" w:lineRule="auto"/>
              <w:ind w:right="-1"/>
              <w:rPr>
                <w:rFonts w:cs="Arial"/>
                <w:szCs w:val="20"/>
              </w:rPr>
            </w:pPr>
          </w:p>
          <w:p w:rsidR="00E3425E" w:rsidRPr="00E3425E" w:rsidRDefault="00E3425E" w:rsidP="007F364D">
            <w:pPr>
              <w:spacing w:line="240" w:lineRule="auto"/>
              <w:ind w:right="-1"/>
              <w:rPr>
                <w:rFonts w:cs="Arial"/>
                <w:szCs w:val="20"/>
              </w:rPr>
            </w:pPr>
          </w:p>
          <w:p w:rsidR="00E3425E" w:rsidRPr="00E3425E" w:rsidRDefault="00E3425E" w:rsidP="007F364D">
            <w:pPr>
              <w:tabs>
                <w:tab w:val="left" w:pos="5105"/>
              </w:tabs>
              <w:spacing w:line="240" w:lineRule="auto"/>
              <w:ind w:right="-1"/>
              <w:rPr>
                <w:rFonts w:cs="Arial"/>
                <w:b/>
                <w:szCs w:val="20"/>
              </w:rPr>
            </w:pPr>
            <w:r w:rsidRPr="00E3425E">
              <w:rPr>
                <w:rFonts w:cs="Arial"/>
                <w:b/>
                <w:szCs w:val="20"/>
              </w:rPr>
              <w:t xml:space="preserve"> </w:t>
            </w:r>
            <w:r w:rsidRPr="00E3425E">
              <w:rPr>
                <w:rFonts w:cs="Arial"/>
                <w:b/>
                <w:szCs w:val="20"/>
              </w:rPr>
              <w:tab/>
              <w:t xml:space="preserve">          mag. Andrej VIZJAK </w:t>
            </w:r>
          </w:p>
          <w:p w:rsidR="00E3425E" w:rsidRPr="00E3425E" w:rsidRDefault="00E3425E" w:rsidP="007F364D">
            <w:pPr>
              <w:tabs>
                <w:tab w:val="left" w:pos="5091"/>
              </w:tabs>
              <w:spacing w:line="240" w:lineRule="auto"/>
              <w:ind w:right="-1"/>
              <w:rPr>
                <w:rFonts w:cs="Arial"/>
                <w:b/>
                <w:szCs w:val="20"/>
              </w:rPr>
            </w:pPr>
            <w:r w:rsidRPr="00E3425E">
              <w:rPr>
                <w:rFonts w:cs="Arial"/>
                <w:b/>
                <w:snapToGrid w:val="0"/>
                <w:color w:val="000000"/>
                <w:szCs w:val="20"/>
              </w:rPr>
              <w:tab/>
              <w:t xml:space="preserve">               M I N I S T E R</w:t>
            </w:r>
          </w:p>
        </w:tc>
      </w:tr>
    </w:tbl>
    <w:p w:rsidR="00E3425E" w:rsidRDefault="00E3425E" w:rsidP="00E3425E">
      <w:pPr>
        <w:rPr>
          <w:rFonts w:cs="Arial"/>
          <w:szCs w:val="20"/>
          <w:lang w:val="sl-SI"/>
        </w:rPr>
      </w:pPr>
    </w:p>
    <w:p w:rsidR="00E16015" w:rsidRDefault="00E16015" w:rsidP="00E3425E">
      <w:pPr>
        <w:rPr>
          <w:rFonts w:cs="Arial"/>
          <w:szCs w:val="20"/>
          <w:lang w:val="sl-SI"/>
        </w:rPr>
      </w:pPr>
    </w:p>
    <w:p w:rsidR="00E16015" w:rsidRDefault="00E16015" w:rsidP="00E3425E">
      <w:pPr>
        <w:rPr>
          <w:rFonts w:cs="Arial"/>
          <w:szCs w:val="20"/>
          <w:lang w:val="sl-SI"/>
        </w:rPr>
      </w:pPr>
    </w:p>
    <w:p w:rsidR="00E16015" w:rsidRDefault="00E16015" w:rsidP="00E3425E">
      <w:pPr>
        <w:rPr>
          <w:rFonts w:cs="Arial"/>
          <w:szCs w:val="20"/>
          <w:lang w:val="sl-SI"/>
        </w:rPr>
      </w:pPr>
    </w:p>
    <w:p w:rsidR="00E16015" w:rsidRPr="00E3425E" w:rsidRDefault="00E16015" w:rsidP="00E3425E">
      <w:pPr>
        <w:rPr>
          <w:rFonts w:cs="Arial"/>
          <w:szCs w:val="20"/>
          <w:lang w:val="sl-SI"/>
        </w:rPr>
      </w:pPr>
    </w:p>
    <w:p w:rsidR="00E3425E" w:rsidRPr="00E16015" w:rsidRDefault="00E3425E" w:rsidP="00E3425E">
      <w:pPr>
        <w:rPr>
          <w:rFonts w:cs="Arial"/>
          <w:b/>
          <w:szCs w:val="20"/>
          <w:lang w:val="sl-SI"/>
        </w:rPr>
      </w:pPr>
      <w:r w:rsidRPr="00E16015">
        <w:rPr>
          <w:rFonts w:cs="Arial"/>
          <w:b/>
          <w:szCs w:val="20"/>
          <w:lang w:val="sl-SI"/>
        </w:rPr>
        <w:t>Priloge:</w:t>
      </w:r>
    </w:p>
    <w:p w:rsidR="00E3425E" w:rsidRPr="00E3425E" w:rsidRDefault="00E3425E" w:rsidP="00E3425E">
      <w:pPr>
        <w:rPr>
          <w:rFonts w:cs="Arial"/>
          <w:szCs w:val="20"/>
          <w:lang w:val="sl-SI"/>
        </w:rPr>
      </w:pPr>
      <w:r w:rsidRPr="00E3425E">
        <w:rPr>
          <w:rFonts w:cs="Arial"/>
          <w:szCs w:val="20"/>
          <w:lang w:val="sl-SI"/>
        </w:rPr>
        <w:t>‒</w:t>
      </w:r>
      <w:r w:rsidRPr="00E3425E">
        <w:rPr>
          <w:rFonts w:cs="Arial"/>
          <w:szCs w:val="20"/>
          <w:lang w:val="sl-SI"/>
        </w:rPr>
        <w:tab/>
        <w:t>JEDRO GRADIVA 1: Obrazložitev.</w:t>
      </w:r>
    </w:p>
    <w:p w:rsidR="00E3425E" w:rsidRPr="00E3425E" w:rsidRDefault="00E3425E" w:rsidP="00E3425E">
      <w:pPr>
        <w:rPr>
          <w:rFonts w:cs="Arial"/>
          <w:szCs w:val="20"/>
          <w:lang w:val="sl-SI"/>
        </w:rPr>
      </w:pPr>
      <w:r w:rsidRPr="00E3425E">
        <w:rPr>
          <w:rFonts w:cs="Arial"/>
          <w:szCs w:val="20"/>
          <w:lang w:val="sl-SI"/>
        </w:rPr>
        <w:t xml:space="preserve"> </w:t>
      </w:r>
    </w:p>
    <w:p w:rsidR="00E16015" w:rsidRDefault="00E16015">
      <w:pPr>
        <w:spacing w:line="240" w:lineRule="auto"/>
        <w:rPr>
          <w:rFonts w:cs="Arial"/>
          <w:szCs w:val="20"/>
          <w:lang w:val="sl-SI"/>
        </w:rPr>
      </w:pPr>
      <w:r>
        <w:rPr>
          <w:rFonts w:cs="Arial"/>
          <w:szCs w:val="20"/>
          <w:lang w:val="sl-SI"/>
        </w:rPr>
        <w:br w:type="page"/>
      </w:r>
    </w:p>
    <w:p w:rsidR="00E3425E" w:rsidRPr="00E3425E" w:rsidRDefault="00E3425E" w:rsidP="00E3425E">
      <w:pPr>
        <w:rPr>
          <w:rFonts w:cs="Arial"/>
          <w:szCs w:val="20"/>
          <w:lang w:val="sl-SI"/>
        </w:rPr>
      </w:pPr>
      <w:r w:rsidRPr="00E3425E">
        <w:rPr>
          <w:rFonts w:cs="Arial"/>
          <w:szCs w:val="20"/>
          <w:lang w:val="sl-SI"/>
        </w:rPr>
        <w:lastRenderedPageBreak/>
        <w:t>JEDRO GRADIVA 1:</w:t>
      </w:r>
    </w:p>
    <w:p w:rsidR="00E3425E" w:rsidRPr="00E3425E" w:rsidRDefault="00E3425E" w:rsidP="00E3425E">
      <w:pPr>
        <w:rPr>
          <w:rFonts w:cs="Arial"/>
          <w:szCs w:val="20"/>
          <w:lang w:val="sl-SI"/>
        </w:rPr>
      </w:pPr>
    </w:p>
    <w:p w:rsidR="00E3425E" w:rsidRPr="00E3425E" w:rsidRDefault="00E3425E" w:rsidP="00E3425E">
      <w:pPr>
        <w:rPr>
          <w:rFonts w:cs="Arial"/>
          <w:szCs w:val="20"/>
          <w:lang w:val="sl-SI"/>
        </w:rPr>
      </w:pPr>
    </w:p>
    <w:p w:rsidR="00E3425E" w:rsidRPr="00E16015" w:rsidRDefault="00E3425E" w:rsidP="00E16015">
      <w:pPr>
        <w:jc w:val="center"/>
        <w:rPr>
          <w:rFonts w:cs="Arial"/>
          <w:b/>
          <w:szCs w:val="20"/>
          <w:lang w:val="sl-SI"/>
        </w:rPr>
      </w:pPr>
      <w:r w:rsidRPr="00E16015">
        <w:rPr>
          <w:rFonts w:cs="Arial"/>
          <w:b/>
          <w:szCs w:val="20"/>
          <w:lang w:val="sl-SI"/>
        </w:rPr>
        <w:t>O B R A Z L O Ž I T E V</w:t>
      </w:r>
    </w:p>
    <w:p w:rsidR="00E3425E" w:rsidRPr="00E16015" w:rsidRDefault="00E3425E" w:rsidP="00E16015">
      <w:pPr>
        <w:jc w:val="center"/>
        <w:rPr>
          <w:rFonts w:cs="Arial"/>
          <w:b/>
          <w:szCs w:val="20"/>
          <w:lang w:val="sl-SI"/>
        </w:rPr>
      </w:pPr>
    </w:p>
    <w:p w:rsidR="00E3425E" w:rsidRPr="00E16015" w:rsidRDefault="00E3425E" w:rsidP="00E16015">
      <w:pPr>
        <w:jc w:val="center"/>
        <w:rPr>
          <w:rFonts w:cs="Arial"/>
          <w:b/>
          <w:szCs w:val="20"/>
          <w:lang w:val="sl-SI"/>
        </w:rPr>
      </w:pPr>
      <w:r w:rsidRPr="00E16015">
        <w:rPr>
          <w:rFonts w:cs="Arial"/>
          <w:b/>
          <w:szCs w:val="20"/>
          <w:lang w:val="sl-SI"/>
        </w:rPr>
        <w:t>SKLEPA VLADE REPUBLIKE SLOVENIJE</w:t>
      </w:r>
    </w:p>
    <w:p w:rsidR="00E3425E" w:rsidRPr="00E3425E" w:rsidRDefault="00E3425E" w:rsidP="00E3425E">
      <w:pPr>
        <w:rPr>
          <w:rFonts w:cs="Arial"/>
          <w:szCs w:val="20"/>
          <w:lang w:val="sl-SI"/>
        </w:rPr>
      </w:pPr>
    </w:p>
    <w:p w:rsidR="00E3425E" w:rsidRPr="00E3425E" w:rsidRDefault="00E3425E" w:rsidP="00E3425E">
      <w:pPr>
        <w:rPr>
          <w:rFonts w:cs="Arial"/>
          <w:szCs w:val="20"/>
          <w:lang w:val="sl-SI"/>
        </w:rPr>
      </w:pPr>
    </w:p>
    <w:p w:rsidR="00E3425E" w:rsidRPr="00E3425E" w:rsidRDefault="00E3425E" w:rsidP="00E3425E">
      <w:pPr>
        <w:rPr>
          <w:rFonts w:cs="Arial"/>
          <w:szCs w:val="20"/>
          <w:lang w:val="sl-SI"/>
        </w:rPr>
      </w:pPr>
    </w:p>
    <w:p w:rsidR="00E3425E" w:rsidRPr="00E16015" w:rsidRDefault="00E3425E" w:rsidP="00E3425E">
      <w:pPr>
        <w:rPr>
          <w:rFonts w:cs="Arial"/>
          <w:b/>
          <w:szCs w:val="20"/>
          <w:lang w:val="sl-SI"/>
        </w:rPr>
      </w:pPr>
      <w:r w:rsidRPr="00E16015">
        <w:rPr>
          <w:rFonts w:cs="Arial"/>
          <w:b/>
          <w:szCs w:val="20"/>
          <w:lang w:val="sl-SI"/>
        </w:rPr>
        <w:t>I.</w:t>
      </w:r>
      <w:r w:rsidRPr="00E16015">
        <w:rPr>
          <w:rFonts w:cs="Arial"/>
          <w:b/>
          <w:szCs w:val="20"/>
          <w:lang w:val="sl-SI"/>
        </w:rPr>
        <w:tab/>
        <w:t>UVOD</w:t>
      </w:r>
    </w:p>
    <w:p w:rsidR="00E3425E" w:rsidRPr="00E16015" w:rsidRDefault="00E3425E" w:rsidP="00E3425E">
      <w:pPr>
        <w:rPr>
          <w:rFonts w:cs="Arial"/>
          <w:b/>
          <w:szCs w:val="20"/>
          <w:lang w:val="sl-SI"/>
        </w:rPr>
      </w:pPr>
    </w:p>
    <w:p w:rsidR="00E3425E" w:rsidRPr="00E16015" w:rsidRDefault="00E3425E" w:rsidP="00E3425E">
      <w:pPr>
        <w:rPr>
          <w:rFonts w:cs="Arial"/>
          <w:b/>
          <w:szCs w:val="20"/>
          <w:lang w:val="sl-SI"/>
        </w:rPr>
      </w:pPr>
    </w:p>
    <w:p w:rsidR="00E3425E" w:rsidRPr="00E16015" w:rsidRDefault="00E3425E" w:rsidP="00E16015">
      <w:pPr>
        <w:jc w:val="both"/>
        <w:rPr>
          <w:rFonts w:cs="Arial"/>
          <w:b/>
          <w:szCs w:val="20"/>
          <w:lang w:val="sl-SI"/>
        </w:rPr>
      </w:pPr>
      <w:r w:rsidRPr="00E16015">
        <w:rPr>
          <w:rFonts w:cs="Arial"/>
          <w:b/>
          <w:szCs w:val="20"/>
          <w:lang w:val="sl-SI"/>
        </w:rPr>
        <w:t>Pravna podlaga za sprejem soglasja k pobudi Občine Lenart za načrtovanje prostorskih ureditev lokalnega pomena v območju državnih prostorskih načrtov</w:t>
      </w:r>
    </w:p>
    <w:p w:rsidR="00E3425E" w:rsidRPr="00E3425E"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Zakon o urejanju prostora (Uradni list RS, št. 61/17; v nadaljnjem besedilu: ZUreP-2) v prvem odstavku 82. člena določa, da lahko občina načrtuje prostorske ureditve lokalnega pomena na območjih državnega prostorskega načrta (DPN), uredbe o najustreznejši varianti in uredbe o varovanem območju, če s tem soglaša vlada in če nista onemogočeni izvedba in uporaba  prostorskih ureditev, načrtovanih v DPN ali uredbi o najustreznejši varianti, ali dovoljeni s celovitim dovoljenjem.</w:t>
      </w:r>
    </w:p>
    <w:p w:rsidR="00E3425E" w:rsidRPr="00E3425E"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 xml:space="preserve">ZUreP-2 v tretjem in četrtem odstavku 266. člena določa, da ostanejo po uveljavitvi ZUreP-2 v veljavi med drugim tudi prostorski izvedbeni načrti, ki jih je na podlagi ZUN sprejela država, in državni lokacijski načrti, sprejeti na podlagi </w:t>
      </w:r>
      <w:proofErr w:type="spellStart"/>
      <w:r w:rsidRPr="00E3425E">
        <w:rPr>
          <w:rFonts w:cs="Arial"/>
          <w:szCs w:val="20"/>
          <w:lang w:val="sl-SI"/>
        </w:rPr>
        <w:t>ZureP</w:t>
      </w:r>
      <w:proofErr w:type="spellEnd"/>
      <w:r w:rsidRPr="00E3425E">
        <w:rPr>
          <w:rFonts w:cs="Arial"/>
          <w:szCs w:val="20"/>
          <w:lang w:val="sl-SI"/>
        </w:rPr>
        <w:t>-1. Po začetku uporabe ZUreP-2 se tovrstni prostorski akti štejejo za državne prostorske načrte (DPN) po ZUreP-2.</w:t>
      </w:r>
    </w:p>
    <w:p w:rsidR="00E3425E" w:rsidRPr="00E3425E"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 xml:space="preserve">Tretji odstavek 82. člena ZUreP-2 določa, da Vlada preveri skladnost izvedbe predlagane prostorske ureditve lokalnega pomena s prostorskimi ureditvami, ki so predmet DPN, uredbe o najustreznejši varianti ali uredbe o varovanem območju, in v 90 dneh s sklepom izda soglasje ali pobudo zavrne. </w:t>
      </w:r>
    </w:p>
    <w:p w:rsidR="00E3425E" w:rsidRPr="00E3425E" w:rsidRDefault="00E3425E" w:rsidP="00E3425E">
      <w:pPr>
        <w:rPr>
          <w:rFonts w:cs="Arial"/>
          <w:szCs w:val="20"/>
          <w:lang w:val="sl-SI"/>
        </w:rPr>
      </w:pPr>
    </w:p>
    <w:p w:rsidR="00E3425E" w:rsidRPr="00E3425E" w:rsidRDefault="00E3425E" w:rsidP="00E3425E">
      <w:pPr>
        <w:rPr>
          <w:rFonts w:cs="Arial"/>
          <w:szCs w:val="20"/>
          <w:lang w:val="sl-SI"/>
        </w:rPr>
      </w:pPr>
    </w:p>
    <w:p w:rsidR="00E3425E" w:rsidRPr="00E16015" w:rsidRDefault="00E3425E" w:rsidP="00E16015">
      <w:pPr>
        <w:jc w:val="both"/>
        <w:rPr>
          <w:rFonts w:cs="Arial"/>
          <w:b/>
          <w:szCs w:val="20"/>
          <w:lang w:val="sl-SI"/>
        </w:rPr>
      </w:pPr>
      <w:r w:rsidRPr="00E16015">
        <w:rPr>
          <w:rFonts w:cs="Arial"/>
          <w:b/>
          <w:szCs w:val="20"/>
          <w:lang w:val="sl-SI"/>
        </w:rPr>
        <w:t>II.</w:t>
      </w:r>
      <w:r w:rsidRPr="00E16015">
        <w:rPr>
          <w:rFonts w:cs="Arial"/>
          <w:b/>
          <w:szCs w:val="20"/>
          <w:lang w:val="sl-SI"/>
        </w:rPr>
        <w:tab/>
        <w:t>VSEBINSKA OBRAZLOŽITEV POGLAVITNIH REŠITEV POBUDE OBČINE ZA NAČRTOVANJE PROSTORSKIH UREDITEV LOKALNEGA POMENA V OBMOČJU DRŽAVNIH PROSTORSKIH NAČRTOV</w:t>
      </w:r>
    </w:p>
    <w:p w:rsidR="00E3425E" w:rsidRPr="00E16015" w:rsidRDefault="00E3425E" w:rsidP="00E16015">
      <w:pPr>
        <w:jc w:val="both"/>
        <w:rPr>
          <w:rFonts w:cs="Arial"/>
          <w:b/>
          <w:szCs w:val="20"/>
          <w:lang w:val="sl-SI"/>
        </w:rPr>
      </w:pPr>
    </w:p>
    <w:p w:rsidR="00E3425E" w:rsidRPr="00E16015" w:rsidRDefault="00E3425E" w:rsidP="00E16015">
      <w:pPr>
        <w:jc w:val="both"/>
        <w:rPr>
          <w:rFonts w:cs="Arial"/>
          <w:b/>
          <w:szCs w:val="20"/>
          <w:lang w:val="sl-SI"/>
        </w:rPr>
      </w:pPr>
    </w:p>
    <w:p w:rsidR="00E3425E" w:rsidRPr="00E16015" w:rsidRDefault="00E3425E" w:rsidP="00E16015">
      <w:pPr>
        <w:jc w:val="both"/>
        <w:rPr>
          <w:rFonts w:cs="Arial"/>
          <w:b/>
          <w:szCs w:val="20"/>
          <w:lang w:val="sl-SI"/>
        </w:rPr>
      </w:pPr>
      <w:r w:rsidRPr="00E16015">
        <w:rPr>
          <w:rFonts w:cs="Arial"/>
          <w:b/>
          <w:szCs w:val="20"/>
          <w:lang w:val="sl-SI"/>
        </w:rPr>
        <w:t>1.</w:t>
      </w:r>
      <w:r w:rsidRPr="00E16015">
        <w:rPr>
          <w:rFonts w:cs="Arial"/>
          <w:b/>
          <w:szCs w:val="20"/>
          <w:lang w:val="sl-SI"/>
        </w:rPr>
        <w:tab/>
        <w:t>Postopek</w:t>
      </w:r>
    </w:p>
    <w:p w:rsidR="00E3425E" w:rsidRPr="00E3425E" w:rsidRDefault="00E3425E" w:rsidP="00E3425E">
      <w:pPr>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Občina Lenart je z dopisom št. 3505-1/2017 z dne 21. 02. 2020 na Vlado RS posredovala pobudo za podajo soglasja vlade za načrtovanje prostorskih ureditev lokalnega pomena v območju dveh državnih prostorskih načrtov.</w:t>
      </w:r>
    </w:p>
    <w:p w:rsidR="00E3425E" w:rsidRPr="00E3425E" w:rsidRDefault="00E3425E" w:rsidP="00E16015">
      <w:pPr>
        <w:jc w:val="both"/>
        <w:rPr>
          <w:rFonts w:cs="Arial"/>
          <w:szCs w:val="20"/>
          <w:lang w:val="sl-SI"/>
        </w:rPr>
      </w:pPr>
      <w:r w:rsidRPr="00E3425E">
        <w:rPr>
          <w:rFonts w:cs="Arial"/>
          <w:szCs w:val="20"/>
          <w:lang w:val="sl-SI"/>
        </w:rPr>
        <w:t xml:space="preserve"> </w:t>
      </w:r>
    </w:p>
    <w:p w:rsidR="00E3425E" w:rsidRPr="00E3425E" w:rsidRDefault="00E3425E" w:rsidP="00E16015">
      <w:pPr>
        <w:jc w:val="both"/>
        <w:rPr>
          <w:rFonts w:cs="Arial"/>
          <w:szCs w:val="20"/>
          <w:lang w:val="sl-SI"/>
        </w:rPr>
      </w:pPr>
      <w:r w:rsidRPr="00E3425E">
        <w:rPr>
          <w:rFonts w:cs="Arial"/>
          <w:szCs w:val="20"/>
          <w:lang w:val="sl-SI"/>
        </w:rPr>
        <w:t>Ministrstvo za okolje in prostor (v nadaljnjem besedilu: ministrstvo) je s strani Generalnega sekretariata Vlade RS dne 26. 02. 2020 (št. dokumenta 35000-1/2020/2) prejelo pobudo v nadaljnje reševanje.</w:t>
      </w:r>
    </w:p>
    <w:p w:rsidR="00E3425E" w:rsidRPr="00E3425E" w:rsidRDefault="00E3425E" w:rsidP="00E3425E">
      <w:pPr>
        <w:rPr>
          <w:rFonts w:cs="Arial"/>
          <w:szCs w:val="20"/>
          <w:lang w:val="sl-SI"/>
        </w:rPr>
      </w:pPr>
    </w:p>
    <w:p w:rsidR="00E3425E" w:rsidRPr="00E16015" w:rsidRDefault="00E3425E" w:rsidP="00E3425E">
      <w:pPr>
        <w:rPr>
          <w:rFonts w:cs="Arial"/>
          <w:b/>
          <w:szCs w:val="20"/>
          <w:lang w:val="sl-SI"/>
        </w:rPr>
      </w:pPr>
      <w:r w:rsidRPr="00E16015">
        <w:rPr>
          <w:rFonts w:cs="Arial"/>
          <w:b/>
          <w:szCs w:val="20"/>
          <w:lang w:val="sl-SI"/>
        </w:rPr>
        <w:t>2.</w:t>
      </w:r>
      <w:r w:rsidRPr="00E16015">
        <w:rPr>
          <w:rFonts w:cs="Arial"/>
          <w:b/>
          <w:szCs w:val="20"/>
          <w:lang w:val="sl-SI"/>
        </w:rPr>
        <w:tab/>
        <w:t>Ugotovitve</w:t>
      </w:r>
    </w:p>
    <w:p w:rsidR="00E3425E" w:rsidRPr="00E3425E" w:rsidRDefault="00E3425E" w:rsidP="00E3425E">
      <w:pPr>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 xml:space="preserve">Predlog Občine Lenart (v nadaljnjem besedilu: občina) se nanaša na pripravo občinskega prostorskega načrta (v nadaljnjem besedilu: OPN), s katerimi bi občina rada na pretežno robnih </w:t>
      </w:r>
      <w:r w:rsidRPr="00E3425E">
        <w:rPr>
          <w:rFonts w:cs="Arial"/>
          <w:szCs w:val="20"/>
          <w:lang w:val="sl-SI"/>
        </w:rPr>
        <w:lastRenderedPageBreak/>
        <w:t>delih obeh DPN na območju občine načrtovala tako, da bi ta območja vključila v OPN in z njim določila elemente izvedbene regulacije prostora.</w:t>
      </w:r>
    </w:p>
    <w:p w:rsidR="00E3425E" w:rsidRPr="00E3425E"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Z ureditvami lokalnega pomena posega občina v območji dveh DPN, ki se urejata na podlagi:</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Uredbe o lokacijskem načrtu za odsek avtoceste Maribor - Lenart (Uradni list RS, št. 68/02) in</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Uredbe o državnem lokacijskem načrtu za avtocesto na odseku Lenart - Spodnja Senarska (Uradni list RS, št. 109/04).</w:t>
      </w:r>
    </w:p>
    <w:p w:rsidR="00E3425E" w:rsidRPr="00E3425E" w:rsidRDefault="00E3425E" w:rsidP="00E16015">
      <w:pPr>
        <w:jc w:val="both"/>
        <w:rPr>
          <w:rFonts w:cs="Arial"/>
          <w:szCs w:val="20"/>
          <w:lang w:val="sl-SI"/>
        </w:rPr>
      </w:pPr>
      <w:r w:rsidRPr="00E3425E">
        <w:rPr>
          <w:rFonts w:cs="Arial"/>
          <w:szCs w:val="20"/>
          <w:lang w:val="sl-SI"/>
        </w:rPr>
        <w:t>Utemeljitev potrebe po poseganju v območja državnih prostorskih načrtov in opis načrtovanih prostorskih ureditev iz pristojnosti občine</w:t>
      </w:r>
    </w:p>
    <w:p w:rsidR="00E3425E" w:rsidRPr="00E3425E"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 xml:space="preserve">Občina v pobudi opisuje in utemeljuje svoj predlog s tem, da so po izgradnji obeh odsekov avtoceste in spremljajočih ureditev nekatera območja, zajeta v DPN, za delovanje in obratovanje izvedenih ureditev na podlagi DPN nepotrebna ali na njih načrtovane ureditve niso bile izvedene oziroma niso več potrebne. Med tako območje spada tudi del DPN, kjer je sicer načrtovana severna obvozna oziroma priključna cesta Lenarta, pa takšen potek za občino ni več aktualen, saj načrtuje traso obvozne ceste na drugih površinah, z drugim prostorskim aktom. </w:t>
      </w:r>
    </w:p>
    <w:p w:rsidR="00E3425E" w:rsidRPr="00E3425E" w:rsidRDefault="00E3425E" w:rsidP="00E3425E">
      <w:pPr>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Pobuda občine se tako nanaša na:</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 xml:space="preserve">območje z DPN za odsek avtoceste Maribor – Lenart načrtovane severne obvozne oziroma priključne ceste za Lenart, ker z DPN načrtovan potek za občino ni več aktualen, </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 xml:space="preserve">območja preloženih lokalnih cest in javnih poti, </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 xml:space="preserve">območja prestavitve vodotokov, </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 xml:space="preserve">območja za odlaganje materiala, </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 xml:space="preserve">pogozdena območja in </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 xml:space="preserve">na zemljiške parcele oziroma dele parcel ob zunanjem robu avtocestnega sveta in izven ograje avtoceste, ki za potrebe gradnje avtoceste in spremljajočih ureditev niso bile odkupljene, ker se je pri podrobnejšem načrtovanju in projektiranju izkazalo, da za to ni potrebe. </w:t>
      </w:r>
    </w:p>
    <w:p w:rsidR="00E3425E" w:rsidRPr="00E3425E"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Po presoji občine zgoraj omenjena zemljišča niso več potrebna za uporabo s predmetnima dvema DPN določenih prostorskih ureditev oziroma so te ureditve že izvedene in povečini v upravljanju občine. Zgrajena avtocestna odseka sta v redni rabi že vrsto let.</w:t>
      </w:r>
    </w:p>
    <w:p w:rsidR="00E3425E" w:rsidRPr="00E3425E"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 xml:space="preserve">Pobuda občine obsega 756 zemljiških parcel ali delov le-teh, ki ležijo v sedmih katastrskih občinah in obsegajo preko 84 ha površin. Od tega obsega površina z DPN načrtovane obvozne oziroma priključne ceste Lenart 23,21 ha. </w:t>
      </w:r>
    </w:p>
    <w:p w:rsidR="00E3425E" w:rsidRPr="00E3425E" w:rsidRDefault="00E3425E" w:rsidP="00E16015">
      <w:pPr>
        <w:jc w:val="both"/>
        <w:rPr>
          <w:rFonts w:cs="Arial"/>
          <w:szCs w:val="20"/>
          <w:lang w:val="sl-SI"/>
        </w:rPr>
      </w:pPr>
    </w:p>
    <w:p w:rsidR="00E3425E" w:rsidRPr="00E16015" w:rsidRDefault="00E3425E" w:rsidP="00E16015">
      <w:pPr>
        <w:jc w:val="both"/>
        <w:rPr>
          <w:rFonts w:cs="Arial"/>
          <w:b/>
          <w:szCs w:val="20"/>
          <w:lang w:val="sl-SI"/>
        </w:rPr>
      </w:pPr>
      <w:r w:rsidRPr="00E16015">
        <w:rPr>
          <w:rFonts w:cs="Arial"/>
          <w:b/>
          <w:szCs w:val="20"/>
          <w:lang w:val="sl-SI"/>
        </w:rPr>
        <w:t>Predhodna usklajenost načrtovanja prostorskih ureditev lokalnega pomena z investitorji oziroma upravljavci prostorskih ureditev državnega pomena</w:t>
      </w:r>
    </w:p>
    <w:p w:rsidR="00E3425E" w:rsidRPr="00E3425E" w:rsidRDefault="00E3425E" w:rsidP="00E3425E">
      <w:pPr>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Družba za avtoceste v Republiki Sloveniji d. d. (št. dopisa 7.0.2./D-43/19-PTPP/VD-2099 z dne 28. 11. 2019) kot investitor DPN in upravljavec avtoceste s pobudo občine v območja veljavnih DPN za avtocesto soglaša. DARS d. d. v svojem dopisu navaja tudi pogoje, ki jih mora občina upoštevati ob pripravi OPN oziroma v nadaljnjih fazah načrtovanja. Ti pogoji so:</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V postopek priprave OPN mora biti vključen DARS kot nosilec urejanja prostora.</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V OPN se na območjih pobud določi namenska raba prostora z upoštevanjem obstoječe in bodoče obremenitve s hrupom zaradi prometa na AC. Na območju pobud zato ni dovoljena namenska raba prostora, ki bi omogočala gradnjo objektov z varovanimi prostori oziroma dejavnosti, za katere je potrebno zagotavljati povečano stopnjo varstva pred hrupom, onesnaženostjo zraka zaradi prometa in pred vibracijami.</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 xml:space="preserve">Na območju pobud, ki so bile z državnimi prostorskimi akti za AC določene kot območja odlaganja viškov materiala (deponij), se v OPN kot namenska raba prostora določi območje </w:t>
      </w:r>
      <w:r w:rsidRPr="00E3425E">
        <w:rPr>
          <w:rFonts w:cs="Arial"/>
          <w:szCs w:val="20"/>
          <w:lang w:val="sl-SI"/>
        </w:rPr>
        <w:lastRenderedPageBreak/>
        <w:t>kmetijskih zemljišč. Območje ureditve priključne ceste mesta Lenart se lahko načrtuje šele, ko bo nova obvoznica mesta Lenart v prostor umeščena z občinskim prostorskim aktom. Upoštevati je treba obstoječo AC (izvedeno stanje), vse spremljajoče prometnice in objekte ter vgrajeno komunalno, telekomunikacijsko in energetsko infrastrukturo.</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V varovalnih pasovih državnih cest je raba prostora omejena in meri za AC 40 m od roba cestnega sveta na vsako stran.</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Posegi v varovalni pas AC ne smejo biti v nasprotju z njenimi koristmi, ne smejo prizadeti interesov varovanja ceste in prometa na njej, njene širitve zaradi prihodnjega razvoja prometa ter varovanja njenega videza.</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Vse posege v varovalni pas AC bo možno izvajati le po pridobljenem soglasju / mnenju DARS d.d. Pri načrtovanju je treba upoštevati bodočo širitev AC, kar pomeni, da je treba za vse bodoče posege zagotoviti odmik vsaj 10 m od roba cestnega sveta obojestransko.</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V varovalnem pasu AC je treba načrtovati takšne dejavnosti, ki ne bodo negativno vplivale na cesto. V varovalnem pasu AC naj se ne načrtujejo objekti in dejavnosti, za katere bi bil vpliv ceste lahko moteč (zlasti obremenitve s hrupom zaradi prometa).</w:t>
      </w:r>
    </w:p>
    <w:p w:rsidR="00E3425E" w:rsidRPr="00E3425E" w:rsidRDefault="00E3425E" w:rsidP="00E16015">
      <w:pPr>
        <w:jc w:val="both"/>
        <w:rPr>
          <w:rFonts w:cs="Arial"/>
          <w:szCs w:val="20"/>
          <w:lang w:val="sl-SI"/>
        </w:rPr>
      </w:pPr>
      <w:r w:rsidRPr="00E3425E">
        <w:rPr>
          <w:rFonts w:cs="Arial"/>
          <w:szCs w:val="20"/>
          <w:lang w:val="sl-SI"/>
        </w:rPr>
        <w:t>‒</w:t>
      </w:r>
      <w:r w:rsidRPr="00E3425E">
        <w:rPr>
          <w:rFonts w:cs="Arial"/>
          <w:szCs w:val="20"/>
          <w:lang w:val="sl-SI"/>
        </w:rPr>
        <w:tab/>
        <w:t>Zaradi načrtovanih ureditev ne sme biti onemogočena ali ovirana izvedba rednega vzdrževanja, investicijskih vzdrževalnih del in vzdrževalnih del v javno korist na AC in na njenih spremljajočih objektih, prometnicah in vgrajeni infrastrukturi.</w:t>
      </w:r>
    </w:p>
    <w:p w:rsidR="00E3425E" w:rsidRPr="00E3425E" w:rsidRDefault="00E3425E" w:rsidP="00E16015">
      <w:pPr>
        <w:jc w:val="both"/>
        <w:rPr>
          <w:rFonts w:cs="Arial"/>
          <w:szCs w:val="20"/>
          <w:lang w:val="sl-SI"/>
        </w:rPr>
      </w:pPr>
      <w:r w:rsidRPr="00E3425E">
        <w:rPr>
          <w:rFonts w:cs="Arial"/>
          <w:szCs w:val="20"/>
          <w:lang w:val="sl-SI"/>
        </w:rPr>
        <w:t xml:space="preserve"> ‒</w:t>
      </w:r>
      <w:r w:rsidRPr="00E3425E">
        <w:rPr>
          <w:rFonts w:cs="Arial"/>
          <w:szCs w:val="20"/>
          <w:lang w:val="sl-SI"/>
        </w:rPr>
        <w:tab/>
        <w:t>DARS ne bo zagotavljal dodatnih ukrepov varstva pred hrupom za območja pobud oziroma za objekte in njihove funkcionalne površine, kot tudi ne zaščite pred morebitnimi drugimi vplivi (prah, vibracije, ipd.), ki so ali bodo posledica obratovanja AC. Izvedba vseh ukrepov za zaščito objektov in območij je obveznost lokalne skupnosti oziroma investitorjev novih ureditev in objektov.</w:t>
      </w:r>
    </w:p>
    <w:p w:rsidR="00E3425E" w:rsidRPr="00E3425E" w:rsidRDefault="00E3425E" w:rsidP="00E3425E">
      <w:pPr>
        <w:rPr>
          <w:rFonts w:cs="Arial"/>
          <w:szCs w:val="20"/>
          <w:lang w:val="sl-SI"/>
        </w:rPr>
      </w:pPr>
    </w:p>
    <w:p w:rsidR="00E3425E" w:rsidRPr="00E3425E" w:rsidRDefault="00E3425E" w:rsidP="00E3425E">
      <w:pPr>
        <w:rPr>
          <w:rFonts w:cs="Arial"/>
          <w:szCs w:val="20"/>
          <w:lang w:val="sl-SI"/>
        </w:rPr>
      </w:pPr>
    </w:p>
    <w:p w:rsidR="00E3425E" w:rsidRPr="00E16015" w:rsidRDefault="00E3425E" w:rsidP="00E3425E">
      <w:pPr>
        <w:rPr>
          <w:rFonts w:cs="Arial"/>
          <w:b/>
          <w:szCs w:val="20"/>
          <w:lang w:val="sl-SI"/>
        </w:rPr>
      </w:pPr>
      <w:r w:rsidRPr="00E16015">
        <w:rPr>
          <w:rFonts w:cs="Arial"/>
          <w:b/>
          <w:szCs w:val="20"/>
          <w:lang w:val="sl-SI"/>
        </w:rPr>
        <w:t>3.</w:t>
      </w:r>
      <w:r w:rsidRPr="00E16015">
        <w:rPr>
          <w:rFonts w:cs="Arial"/>
          <w:b/>
          <w:szCs w:val="20"/>
          <w:lang w:val="sl-SI"/>
        </w:rPr>
        <w:tab/>
        <w:t>Obrazložitev sklepa</w:t>
      </w:r>
    </w:p>
    <w:p w:rsidR="00E3425E" w:rsidRPr="00E3425E" w:rsidRDefault="00E3425E" w:rsidP="00E3425E">
      <w:pPr>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Ministrstvo za okolje in prostor je preverilo možnost izvedbe in uporabe prostorskih ureditev, ki so določene z DPN, upoštevajoč predlog Občine Lenart. Preverilo je zemljišča, ki jih je občina navedla v pobudi, z vidika potreb po poseganju nanje.</w:t>
      </w:r>
    </w:p>
    <w:p w:rsidR="00E3425E" w:rsidRPr="00E3425E" w:rsidRDefault="00E3425E" w:rsidP="00E16015">
      <w:pPr>
        <w:jc w:val="both"/>
        <w:rPr>
          <w:rFonts w:cs="Arial"/>
          <w:szCs w:val="20"/>
          <w:lang w:val="sl-SI"/>
        </w:rPr>
      </w:pPr>
    </w:p>
    <w:p w:rsidR="00E3425E" w:rsidRPr="00E3425E" w:rsidRDefault="00E3425E" w:rsidP="00E16015">
      <w:pPr>
        <w:jc w:val="both"/>
        <w:rPr>
          <w:rFonts w:cs="Arial"/>
          <w:szCs w:val="20"/>
          <w:lang w:val="sl-SI"/>
        </w:rPr>
      </w:pPr>
      <w:r w:rsidRPr="00E3425E">
        <w:rPr>
          <w:rFonts w:cs="Arial"/>
          <w:szCs w:val="20"/>
          <w:lang w:val="sl-SI"/>
        </w:rPr>
        <w:t>Vlada RS v skladu s tretjim odstavkom 82. člena ZUreP-2 ugotavlja, da so predlagane prostorske ureditve lokalnega pomena v skladu s prostorskimi ureditvami iz veljavnih uredb o državnih prostorskih načrtih in s tem izpolnjeni pogoji za izdajo soglasja k pobudi Občine Lenart.</w:t>
      </w:r>
    </w:p>
    <w:p w:rsidR="00E3425E" w:rsidRPr="00E3425E" w:rsidRDefault="00E3425E" w:rsidP="00E16015">
      <w:pPr>
        <w:jc w:val="both"/>
        <w:rPr>
          <w:rFonts w:cs="Arial"/>
          <w:szCs w:val="20"/>
          <w:lang w:val="sl-SI"/>
        </w:rPr>
      </w:pPr>
    </w:p>
    <w:sectPr w:rsidR="00E3425E" w:rsidRPr="00E3425E" w:rsidSect="008C1278">
      <w:headerReference w:type="default" r:id="rId15"/>
      <w:headerReference w:type="first" r:id="rId1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D81" w:rsidRDefault="00671D81">
      <w:r>
        <w:separator/>
      </w:r>
    </w:p>
  </w:endnote>
  <w:endnote w:type="continuationSeparator" w:id="0">
    <w:p w:rsidR="00671D81" w:rsidRDefault="0067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swiss"/>
    <w:pitch w:val="variable"/>
    <w:sig w:usb0="20007A87" w:usb1="80000000" w:usb2="00000008"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D81" w:rsidRDefault="00671D81">
      <w:r>
        <w:separator/>
      </w:r>
    </w:p>
  </w:footnote>
  <w:footnote w:type="continuationSeparator" w:id="0">
    <w:p w:rsidR="00671D81" w:rsidRDefault="00671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84" w:rsidRPr="00110CBD" w:rsidRDefault="00097E8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97E84" w:rsidRPr="008F3500">
      <w:trPr>
        <w:cantSplit/>
        <w:trHeight w:hRule="exact" w:val="847"/>
      </w:trPr>
      <w:tc>
        <w:tcPr>
          <w:tcW w:w="567" w:type="dxa"/>
        </w:tcPr>
        <w:p w:rsidR="00097E84" w:rsidRPr="008F3500" w:rsidRDefault="009B5AC6" w:rsidP="00D248DE">
          <w:pPr>
            <w:autoSpaceDE w:val="0"/>
            <w:autoSpaceDN w:val="0"/>
            <w:adjustRightInd w:val="0"/>
            <w:spacing w:line="240" w:lineRule="auto"/>
            <w:rPr>
              <w:rFonts w:ascii="Republika" w:hAnsi="Republika"/>
              <w:color w:val="529DBA"/>
              <w:sz w:val="60"/>
              <w:szCs w:val="60"/>
              <w:lang w:val="sl-SI"/>
            </w:rPr>
          </w:pPr>
          <w:r>
            <w:rPr>
              <w:rFonts w:cs="Arial"/>
              <w:noProof/>
              <w:sz w:val="16"/>
              <w:lang w:val="sl-SI" w:eastAsia="sl-SI"/>
            </w:rPr>
            <w:drawing>
              <wp:anchor distT="0" distB="0" distL="114300" distR="114300" simplePos="0" relativeHeight="251658240" behindDoc="0" locked="0" layoutInCell="1" allowOverlap="1" wp14:anchorId="4ADE7838" wp14:editId="53B6DF66">
                <wp:simplePos x="0" y="0"/>
                <wp:positionH relativeFrom="column">
                  <wp:posOffset>-61595</wp:posOffset>
                </wp:positionH>
                <wp:positionV relativeFrom="paragraph">
                  <wp:posOffset>13970</wp:posOffset>
                </wp:positionV>
                <wp:extent cx="2912745" cy="390525"/>
                <wp:effectExtent l="0" t="0" r="1905" b="9525"/>
                <wp:wrapNone/>
                <wp:docPr id="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7216" behindDoc="0" locked="0" layoutInCell="0" allowOverlap="1" wp14:anchorId="29A52AD7" wp14:editId="40694B5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0D61C5" w:rsidRDefault="000D61C5" w:rsidP="00D57CEC">
    <w:pPr>
      <w:pStyle w:val="Glava"/>
      <w:tabs>
        <w:tab w:val="clear" w:pos="4320"/>
        <w:tab w:val="clear" w:pos="8640"/>
        <w:tab w:val="left" w:pos="5112"/>
      </w:tabs>
      <w:spacing w:line="240" w:lineRule="exact"/>
      <w:rPr>
        <w:rFonts w:cs="Arial"/>
        <w:sz w:val="16"/>
        <w:lang w:val="de-AT"/>
      </w:rPr>
    </w:pPr>
  </w:p>
  <w:p w:rsidR="00D57CEC" w:rsidRPr="000D61C5" w:rsidRDefault="0022032C" w:rsidP="00D57CEC">
    <w:pPr>
      <w:pStyle w:val="Glava"/>
      <w:tabs>
        <w:tab w:val="clear" w:pos="4320"/>
        <w:tab w:val="clear" w:pos="8640"/>
        <w:tab w:val="left" w:pos="5112"/>
      </w:tabs>
      <w:spacing w:line="240" w:lineRule="exact"/>
      <w:rPr>
        <w:rFonts w:cs="Arial"/>
        <w:sz w:val="16"/>
        <w:lang w:val="sl-SI"/>
      </w:rPr>
    </w:pPr>
    <w:r>
      <w:rPr>
        <w:rFonts w:cs="Arial"/>
        <w:sz w:val="16"/>
        <w:lang w:val="sl-SI"/>
      </w:rPr>
      <w:t>Dunajska cesta 48</w:t>
    </w:r>
    <w:r w:rsidR="00D57CEC" w:rsidRPr="000D61C5">
      <w:rPr>
        <w:rFonts w:cs="Arial"/>
        <w:sz w:val="16"/>
        <w:lang w:val="sl-SI"/>
      </w:rPr>
      <w:t>, 1</w:t>
    </w:r>
    <w:r w:rsidR="000D61C5" w:rsidRPr="000D61C5">
      <w:rPr>
        <w:rFonts w:cs="Arial"/>
        <w:sz w:val="16"/>
        <w:lang w:val="sl-SI"/>
      </w:rPr>
      <w:t>000</w:t>
    </w:r>
    <w:r w:rsidR="00D57CEC" w:rsidRPr="000D61C5">
      <w:rPr>
        <w:rFonts w:cs="Arial"/>
        <w:sz w:val="16"/>
        <w:lang w:val="sl-SI"/>
      </w:rPr>
      <w:t xml:space="preserve"> Ljubljana</w:t>
    </w:r>
    <w:r w:rsidR="00D57CEC" w:rsidRPr="000D61C5">
      <w:rPr>
        <w:rFonts w:cs="Arial"/>
        <w:sz w:val="16"/>
        <w:lang w:val="sl-SI"/>
      </w:rPr>
      <w:tab/>
      <w:t xml:space="preserve">T: 01 478 </w:t>
    </w:r>
    <w:r>
      <w:rPr>
        <w:rFonts w:cs="Arial"/>
        <w:sz w:val="16"/>
        <w:lang w:val="sl-SI"/>
      </w:rPr>
      <w:t>70</w:t>
    </w:r>
    <w:r w:rsidR="00D57CEC" w:rsidRPr="000D61C5">
      <w:rPr>
        <w:rFonts w:cs="Arial"/>
        <w:sz w:val="16"/>
        <w:lang w:val="sl-SI"/>
      </w:rPr>
      <w:t xml:space="preserve"> 00</w:t>
    </w:r>
  </w:p>
  <w:p w:rsidR="00D57CEC" w:rsidRPr="000D61C5" w:rsidRDefault="00D57CEC" w:rsidP="00D57CEC">
    <w:pPr>
      <w:pStyle w:val="Glava"/>
      <w:tabs>
        <w:tab w:val="clear" w:pos="4320"/>
        <w:tab w:val="clear" w:pos="8640"/>
        <w:tab w:val="left" w:pos="5112"/>
      </w:tabs>
      <w:spacing w:line="240" w:lineRule="exact"/>
      <w:rPr>
        <w:rFonts w:cs="Arial"/>
        <w:sz w:val="16"/>
        <w:lang w:val="sl-SI"/>
      </w:rPr>
    </w:pPr>
    <w:r w:rsidRPr="000D61C5">
      <w:rPr>
        <w:rFonts w:cs="Arial"/>
        <w:sz w:val="16"/>
        <w:lang w:val="sl-SI"/>
      </w:rPr>
      <w:tab/>
      <w:t xml:space="preserve">F: 01 478 </w:t>
    </w:r>
    <w:r w:rsidR="000D61C5" w:rsidRPr="000D61C5">
      <w:rPr>
        <w:rFonts w:cs="Arial"/>
        <w:sz w:val="16"/>
        <w:lang w:val="sl-SI"/>
      </w:rPr>
      <w:t>74</w:t>
    </w:r>
    <w:r w:rsidRPr="000D61C5">
      <w:rPr>
        <w:rFonts w:cs="Arial"/>
        <w:sz w:val="16"/>
        <w:lang w:val="sl-SI"/>
      </w:rPr>
      <w:t xml:space="preserve"> </w:t>
    </w:r>
    <w:r w:rsidR="0022032C">
      <w:rPr>
        <w:rFonts w:cs="Arial"/>
        <w:sz w:val="16"/>
        <w:lang w:val="sl-SI"/>
      </w:rPr>
      <w:t>25</w:t>
    </w:r>
    <w:r w:rsidRPr="000D61C5">
      <w:rPr>
        <w:rFonts w:cs="Arial"/>
        <w:sz w:val="16"/>
        <w:lang w:val="sl-SI"/>
      </w:rPr>
      <w:t xml:space="preserve"> </w:t>
    </w:r>
  </w:p>
  <w:p w:rsidR="00D57CEC" w:rsidRPr="000D61C5" w:rsidRDefault="00D57CEC" w:rsidP="00D57CEC">
    <w:pPr>
      <w:pStyle w:val="Glava"/>
      <w:tabs>
        <w:tab w:val="clear" w:pos="4320"/>
        <w:tab w:val="clear" w:pos="8640"/>
        <w:tab w:val="left" w:pos="5112"/>
      </w:tabs>
      <w:spacing w:line="240" w:lineRule="exact"/>
      <w:rPr>
        <w:rFonts w:cs="Arial"/>
        <w:sz w:val="16"/>
        <w:lang w:val="sl-SI"/>
      </w:rPr>
    </w:pPr>
    <w:r w:rsidRPr="000D61C5">
      <w:rPr>
        <w:rFonts w:cs="Arial"/>
        <w:sz w:val="16"/>
        <w:lang w:val="sl-SI"/>
      </w:rPr>
      <w:tab/>
      <w:t xml:space="preserve">E: </w:t>
    </w:r>
    <w:hyperlink r:id="rId2" w:history="1">
      <w:r w:rsidR="000D61C5" w:rsidRPr="000D61C5">
        <w:rPr>
          <w:rStyle w:val="Hiperpovezava"/>
          <w:rFonts w:cs="Arial"/>
          <w:sz w:val="16"/>
          <w:lang w:val="sl-SI"/>
        </w:rPr>
        <w:t>gp.mop@gov.si</w:t>
      </w:r>
    </w:hyperlink>
  </w:p>
  <w:p w:rsidR="00D57CEC" w:rsidRPr="000D61C5" w:rsidRDefault="00D57CEC" w:rsidP="00D57CEC">
    <w:pPr>
      <w:pStyle w:val="Glava"/>
      <w:tabs>
        <w:tab w:val="clear" w:pos="4320"/>
        <w:tab w:val="clear" w:pos="8640"/>
        <w:tab w:val="left" w:pos="5112"/>
      </w:tabs>
      <w:spacing w:line="240" w:lineRule="exact"/>
      <w:rPr>
        <w:rFonts w:cs="Arial"/>
        <w:sz w:val="16"/>
        <w:lang w:val="sl-SI"/>
      </w:rPr>
    </w:pPr>
    <w:r w:rsidRPr="000D61C5">
      <w:rPr>
        <w:rFonts w:cs="Arial"/>
        <w:sz w:val="16"/>
        <w:lang w:val="sl-SI"/>
      </w:rPr>
      <w:tab/>
    </w:r>
    <w:hyperlink r:id="rId3" w:history="1">
      <w:r w:rsidR="000D61C5" w:rsidRPr="000D61C5">
        <w:rPr>
          <w:rStyle w:val="Hiperpovezava"/>
          <w:rFonts w:cs="Arial"/>
          <w:sz w:val="16"/>
          <w:lang w:val="sl-SI"/>
        </w:rPr>
        <w:t>www.mop.gov.si</w:t>
      </w:r>
    </w:hyperlink>
  </w:p>
  <w:p w:rsidR="00097E84" w:rsidRPr="000D61C5" w:rsidRDefault="00097E84"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654D9"/>
    <w:multiLevelType w:val="hybridMultilevel"/>
    <w:tmpl w:val="CD04B42A"/>
    <w:lvl w:ilvl="0" w:tplc="D2E6706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4856D3A"/>
    <w:multiLevelType w:val="hybridMultilevel"/>
    <w:tmpl w:val="0756A6F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2CCB21F5"/>
    <w:multiLevelType w:val="hybridMultilevel"/>
    <w:tmpl w:val="B700F728"/>
    <w:lvl w:ilvl="0" w:tplc="AA8AED50">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2D15332D"/>
    <w:multiLevelType w:val="hybridMultilevel"/>
    <w:tmpl w:val="2BC8FE72"/>
    <w:lvl w:ilvl="0" w:tplc="0C8A4AC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26725BC"/>
    <w:multiLevelType w:val="hybridMultilevel"/>
    <w:tmpl w:val="AAC48F56"/>
    <w:lvl w:ilvl="0" w:tplc="9F3E979C">
      <w:start w:val="1"/>
      <w:numFmt w:val="decimal"/>
      <w:lvlText w:val="%1."/>
      <w:lvlJc w:val="left"/>
      <w:pPr>
        <w:tabs>
          <w:tab w:val="num" w:pos="567"/>
        </w:tabs>
        <w:ind w:left="567" w:hanging="567"/>
      </w:pPr>
      <w:rPr>
        <w:rFonts w:hint="default"/>
      </w:rPr>
    </w:lvl>
    <w:lvl w:ilvl="1" w:tplc="03809E6E">
      <w:start w:val="1"/>
      <w:numFmt w:val="lowerLetter"/>
      <w:lvlText w:val="%2."/>
      <w:lvlJc w:val="left"/>
      <w:pPr>
        <w:tabs>
          <w:tab w:val="num" w:pos="1505"/>
        </w:tabs>
        <w:ind w:left="1505" w:hanging="425"/>
      </w:pPr>
      <w:rPr>
        <w:rFonts w:hint="default"/>
        <w:b/>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426E4809"/>
    <w:multiLevelType w:val="hybridMultilevel"/>
    <w:tmpl w:val="626C41B2"/>
    <w:lvl w:ilvl="0" w:tplc="0424000F">
      <w:start w:val="1"/>
      <w:numFmt w:val="decimal"/>
      <w:lvlText w:val="%1."/>
      <w:lvlJc w:val="left"/>
      <w:pPr>
        <w:tabs>
          <w:tab w:val="num" w:pos="567"/>
        </w:tabs>
        <w:ind w:left="567" w:hanging="425"/>
      </w:pPr>
      <w:rPr>
        <w:rFonts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31B1D06"/>
    <w:multiLevelType w:val="hybridMultilevel"/>
    <w:tmpl w:val="60087A20"/>
    <w:lvl w:ilvl="0" w:tplc="9968C782">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7C47E7B"/>
    <w:multiLevelType w:val="hybridMultilevel"/>
    <w:tmpl w:val="F902590A"/>
    <w:lvl w:ilvl="0" w:tplc="9358261C">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50DC577B"/>
    <w:multiLevelType w:val="hybridMultilevel"/>
    <w:tmpl w:val="BB600C08"/>
    <w:lvl w:ilvl="0" w:tplc="66403160">
      <w:start w:val="550"/>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7406FAC"/>
    <w:multiLevelType w:val="singleLevel"/>
    <w:tmpl w:val="66403160"/>
    <w:lvl w:ilvl="0">
      <w:start w:val="550"/>
      <w:numFmt w:val="bullet"/>
      <w:lvlText w:val="-"/>
      <w:lvlJc w:val="left"/>
      <w:pPr>
        <w:tabs>
          <w:tab w:val="num" w:pos="360"/>
        </w:tabs>
        <w:ind w:left="360" w:hanging="360"/>
      </w:pPr>
      <w:rPr>
        <w:rFonts w:ascii="Times New Roman" w:hAnsi="Times New Roman" w:hint="default"/>
      </w:rPr>
    </w:lvl>
  </w:abstractNum>
  <w:abstractNum w:abstractNumId="17">
    <w:nsid w:val="5A7F1270"/>
    <w:multiLevelType w:val="hybridMultilevel"/>
    <w:tmpl w:val="F0B261B2"/>
    <w:lvl w:ilvl="0" w:tplc="6F7A0786">
      <w:start w:val="1"/>
      <w:numFmt w:val="bullet"/>
      <w:lvlText w:val="–"/>
      <w:lvlJc w:val="left"/>
      <w:pPr>
        <w:tabs>
          <w:tab w:val="num" w:pos="567"/>
        </w:tabs>
        <w:ind w:left="567"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5B4A5D58"/>
    <w:multiLevelType w:val="hybridMultilevel"/>
    <w:tmpl w:val="AA40D13C"/>
    <w:lvl w:ilvl="0" w:tplc="9F3E979C">
      <w:start w:val="1"/>
      <w:numFmt w:val="decimal"/>
      <w:lvlText w:val="%1."/>
      <w:lvlJc w:val="left"/>
      <w:pPr>
        <w:tabs>
          <w:tab w:val="num" w:pos="567"/>
        </w:tabs>
        <w:ind w:left="567" w:hanging="567"/>
      </w:pPr>
      <w:rPr>
        <w:rFonts w:hint="default"/>
      </w:rPr>
    </w:lvl>
    <w:lvl w:ilvl="1" w:tplc="6C30EE62">
      <w:start w:val="1"/>
      <w:numFmt w:val="lowerLetter"/>
      <w:lvlText w:val="%2."/>
      <w:lvlJc w:val="left"/>
      <w:pPr>
        <w:tabs>
          <w:tab w:val="num" w:pos="1505"/>
        </w:tabs>
        <w:ind w:left="1505" w:hanging="425"/>
      </w:pPr>
      <w:rPr>
        <w:rFonts w:hint="default"/>
        <w:b/>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61F53EAC"/>
    <w:multiLevelType w:val="hybridMultilevel"/>
    <w:tmpl w:val="50FE97A4"/>
    <w:lvl w:ilvl="0" w:tplc="9F3E979C">
      <w:start w:val="1"/>
      <w:numFmt w:val="decimal"/>
      <w:lvlText w:val="%1."/>
      <w:lvlJc w:val="left"/>
      <w:pPr>
        <w:tabs>
          <w:tab w:val="num" w:pos="567"/>
        </w:tabs>
        <w:ind w:left="567" w:hanging="567"/>
      </w:pPr>
      <w:rPr>
        <w:rFonts w:hint="default"/>
      </w:rPr>
    </w:lvl>
    <w:lvl w:ilvl="1" w:tplc="2530EBC8">
      <w:start w:val="1"/>
      <w:numFmt w:val="bullet"/>
      <w:lvlText w:val="–"/>
      <w:lvlJc w:val="left"/>
      <w:pPr>
        <w:tabs>
          <w:tab w:val="num" w:pos="1505"/>
        </w:tabs>
        <w:ind w:left="1505" w:hanging="425"/>
      </w:pPr>
      <w:rPr>
        <w:rFonts w:ascii="Arial" w:hAnsi="Arial" w:hint="default"/>
        <w:b w:val="0"/>
        <w:i w:val="0"/>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63656DA1"/>
    <w:multiLevelType w:val="hybridMultilevel"/>
    <w:tmpl w:val="B10807AC"/>
    <w:lvl w:ilvl="0" w:tplc="0424000F">
      <w:start w:val="1"/>
      <w:numFmt w:val="decimal"/>
      <w:lvlText w:val="%1."/>
      <w:lvlJc w:val="left"/>
      <w:pPr>
        <w:tabs>
          <w:tab w:val="num" w:pos="567"/>
        </w:tabs>
        <w:ind w:left="567" w:hanging="425"/>
      </w:pPr>
      <w:rPr>
        <w:rFonts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B604A5A">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D85474E"/>
    <w:multiLevelType w:val="hybridMultilevel"/>
    <w:tmpl w:val="77C429A2"/>
    <w:lvl w:ilvl="0" w:tplc="A1888538">
      <w:start w:val="1"/>
      <w:numFmt w:val="bullet"/>
      <w:lvlText w:val="–"/>
      <w:lvlJc w:val="left"/>
      <w:pPr>
        <w:tabs>
          <w:tab w:val="num" w:pos="425"/>
        </w:tabs>
        <w:ind w:left="425" w:hanging="425"/>
      </w:pPr>
      <w:rPr>
        <w:rFonts w:ascii="Arial" w:hAnsi="Arial" w:hint="default"/>
        <w:b w:val="0"/>
        <w:i w:val="0"/>
        <w:sz w:val="2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6FFE219E"/>
    <w:multiLevelType w:val="hybridMultilevel"/>
    <w:tmpl w:val="ECA07426"/>
    <w:lvl w:ilvl="0" w:tplc="8D06C338">
      <w:start w:val="1"/>
      <w:numFmt w:val="decimal"/>
      <w:lvlText w:val="%1."/>
      <w:lvlJc w:val="left"/>
      <w:pPr>
        <w:tabs>
          <w:tab w:val="num" w:pos="567"/>
        </w:tabs>
        <w:ind w:left="567" w:hanging="425"/>
      </w:pPr>
      <w:rPr>
        <w:rFonts w:hint="default"/>
        <w:b w:val="0"/>
        <w:i w:val="0"/>
        <w:color w:val="auto"/>
        <w:sz w:val="2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2160"/>
        </w:tabs>
        <w:ind w:left="2160" w:hanging="360"/>
      </w:pPr>
      <w:rPr>
        <w:rFonts w:ascii="Symbol" w:hAnsi="Symbol" w:hint="default"/>
      </w:rPr>
    </w:lvl>
    <w:lvl w:ilvl="3" w:tplc="FB604A5A">
      <w:numFmt w:val="bullet"/>
      <w:lvlText w:val="-"/>
      <w:lvlJc w:val="left"/>
      <w:pPr>
        <w:ind w:left="2880" w:hanging="360"/>
      </w:pPr>
      <w:rPr>
        <w:rFonts w:ascii="Arial" w:eastAsia="Times New Roman" w:hAnsi="Arial" w:cs="Aria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nsid w:val="73E01726"/>
    <w:multiLevelType w:val="hybridMultilevel"/>
    <w:tmpl w:val="6C3A5C02"/>
    <w:lvl w:ilvl="0" w:tplc="0424000F">
      <w:start w:val="1"/>
      <w:numFmt w:val="decimal"/>
      <w:lvlText w:val="%1."/>
      <w:lvlJc w:val="left"/>
      <w:pPr>
        <w:tabs>
          <w:tab w:val="num" w:pos="502"/>
        </w:tabs>
        <w:ind w:left="502" w:hanging="360"/>
      </w:pPr>
    </w:lvl>
    <w:lvl w:ilvl="1" w:tplc="04240019" w:tentative="1">
      <w:start w:val="1"/>
      <w:numFmt w:val="lowerLetter"/>
      <w:lvlText w:val="%2."/>
      <w:lvlJc w:val="left"/>
      <w:pPr>
        <w:tabs>
          <w:tab w:val="num" w:pos="1222"/>
        </w:tabs>
        <w:ind w:left="1222" w:hanging="360"/>
      </w:pPr>
    </w:lvl>
    <w:lvl w:ilvl="2" w:tplc="0424001B" w:tentative="1">
      <w:start w:val="1"/>
      <w:numFmt w:val="lowerRoman"/>
      <w:lvlText w:val="%3."/>
      <w:lvlJc w:val="right"/>
      <w:pPr>
        <w:tabs>
          <w:tab w:val="num" w:pos="1942"/>
        </w:tabs>
        <w:ind w:left="1942" w:hanging="180"/>
      </w:pPr>
    </w:lvl>
    <w:lvl w:ilvl="3" w:tplc="0424000F" w:tentative="1">
      <w:start w:val="1"/>
      <w:numFmt w:val="decimal"/>
      <w:lvlText w:val="%4."/>
      <w:lvlJc w:val="left"/>
      <w:pPr>
        <w:tabs>
          <w:tab w:val="num" w:pos="2662"/>
        </w:tabs>
        <w:ind w:left="2662" w:hanging="360"/>
      </w:pPr>
    </w:lvl>
    <w:lvl w:ilvl="4" w:tplc="04240019" w:tentative="1">
      <w:start w:val="1"/>
      <w:numFmt w:val="lowerLetter"/>
      <w:lvlText w:val="%5."/>
      <w:lvlJc w:val="left"/>
      <w:pPr>
        <w:tabs>
          <w:tab w:val="num" w:pos="3382"/>
        </w:tabs>
        <w:ind w:left="3382" w:hanging="360"/>
      </w:pPr>
    </w:lvl>
    <w:lvl w:ilvl="5" w:tplc="0424001B" w:tentative="1">
      <w:start w:val="1"/>
      <w:numFmt w:val="lowerRoman"/>
      <w:lvlText w:val="%6."/>
      <w:lvlJc w:val="right"/>
      <w:pPr>
        <w:tabs>
          <w:tab w:val="num" w:pos="4102"/>
        </w:tabs>
        <w:ind w:left="4102" w:hanging="180"/>
      </w:pPr>
    </w:lvl>
    <w:lvl w:ilvl="6" w:tplc="0424000F" w:tentative="1">
      <w:start w:val="1"/>
      <w:numFmt w:val="decimal"/>
      <w:lvlText w:val="%7."/>
      <w:lvlJc w:val="left"/>
      <w:pPr>
        <w:tabs>
          <w:tab w:val="num" w:pos="4822"/>
        </w:tabs>
        <w:ind w:left="4822" w:hanging="360"/>
      </w:pPr>
    </w:lvl>
    <w:lvl w:ilvl="7" w:tplc="04240019" w:tentative="1">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num w:numId="1">
    <w:abstractNumId w:val="21"/>
  </w:num>
  <w:num w:numId="2">
    <w:abstractNumId w:val="5"/>
  </w:num>
  <w:num w:numId="3">
    <w:abstractNumId w:val="11"/>
  </w:num>
  <w:num w:numId="4">
    <w:abstractNumId w:val="1"/>
  </w:num>
  <w:num w:numId="5">
    <w:abstractNumId w:val="3"/>
  </w:num>
  <w:num w:numId="6">
    <w:abstractNumId w:val="16"/>
  </w:num>
  <w:num w:numId="7">
    <w:abstractNumId w:val="0"/>
  </w:num>
  <w:num w:numId="8">
    <w:abstractNumId w:val="25"/>
  </w:num>
  <w:num w:numId="9">
    <w:abstractNumId w:val="4"/>
  </w:num>
  <w:num w:numId="10">
    <w:abstractNumId w:val="7"/>
  </w:num>
  <w:num w:numId="11">
    <w:abstractNumId w:val="12"/>
  </w:num>
  <w:num w:numId="12">
    <w:abstractNumId w:val="15"/>
  </w:num>
  <w:num w:numId="13">
    <w:abstractNumId w:val="13"/>
  </w:num>
  <w:num w:numId="14">
    <w:abstractNumId w:val="14"/>
  </w:num>
  <w:num w:numId="15">
    <w:abstractNumId w:val="6"/>
  </w:num>
  <w:num w:numId="16">
    <w:abstractNumId w:val="23"/>
  </w:num>
  <w:num w:numId="17">
    <w:abstractNumId w:val="19"/>
  </w:num>
  <w:num w:numId="18">
    <w:abstractNumId w:val="17"/>
  </w:num>
  <w:num w:numId="19">
    <w:abstractNumId w:val="10"/>
  </w:num>
  <w:num w:numId="20">
    <w:abstractNumId w:val="18"/>
  </w:num>
  <w:num w:numId="21">
    <w:abstractNumId w:val="9"/>
  </w:num>
  <w:num w:numId="22">
    <w:abstractNumId w:val="22"/>
  </w:num>
  <w:num w:numId="23">
    <w:abstractNumId w:val="8"/>
  </w:num>
  <w:num w:numId="24">
    <w:abstractNumId w:val="20"/>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2BE"/>
    <w:rsid w:val="0000169A"/>
    <w:rsid w:val="00023A88"/>
    <w:rsid w:val="0004747E"/>
    <w:rsid w:val="00086291"/>
    <w:rsid w:val="00094867"/>
    <w:rsid w:val="00097E84"/>
    <w:rsid w:val="000A7238"/>
    <w:rsid w:val="000D61C5"/>
    <w:rsid w:val="00116512"/>
    <w:rsid w:val="001357B2"/>
    <w:rsid w:val="00150A2C"/>
    <w:rsid w:val="001564A3"/>
    <w:rsid w:val="0017478F"/>
    <w:rsid w:val="001B686F"/>
    <w:rsid w:val="00202A77"/>
    <w:rsid w:val="0022032C"/>
    <w:rsid w:val="00251B1E"/>
    <w:rsid w:val="00271CE5"/>
    <w:rsid w:val="00282020"/>
    <w:rsid w:val="002A2B69"/>
    <w:rsid w:val="003000FA"/>
    <w:rsid w:val="00307F6A"/>
    <w:rsid w:val="00336604"/>
    <w:rsid w:val="0035775F"/>
    <w:rsid w:val="003636BF"/>
    <w:rsid w:val="00371442"/>
    <w:rsid w:val="003845B4"/>
    <w:rsid w:val="00387B1A"/>
    <w:rsid w:val="0039397D"/>
    <w:rsid w:val="003A58E7"/>
    <w:rsid w:val="003C5EE5"/>
    <w:rsid w:val="003D093A"/>
    <w:rsid w:val="003E1C74"/>
    <w:rsid w:val="003E653D"/>
    <w:rsid w:val="004145B2"/>
    <w:rsid w:val="004657EE"/>
    <w:rsid w:val="004A1F17"/>
    <w:rsid w:val="004C52ED"/>
    <w:rsid w:val="004C7130"/>
    <w:rsid w:val="005170EB"/>
    <w:rsid w:val="00526246"/>
    <w:rsid w:val="00556F02"/>
    <w:rsid w:val="00567106"/>
    <w:rsid w:val="005C7BAD"/>
    <w:rsid w:val="005E1D3C"/>
    <w:rsid w:val="005E7CBD"/>
    <w:rsid w:val="00625AE6"/>
    <w:rsid w:val="00632253"/>
    <w:rsid w:val="006348BD"/>
    <w:rsid w:val="00642714"/>
    <w:rsid w:val="006455CE"/>
    <w:rsid w:val="00653D52"/>
    <w:rsid w:val="00655841"/>
    <w:rsid w:val="00671D81"/>
    <w:rsid w:val="00707D0A"/>
    <w:rsid w:val="00710D84"/>
    <w:rsid w:val="00733017"/>
    <w:rsid w:val="00737567"/>
    <w:rsid w:val="00783310"/>
    <w:rsid w:val="007A4A6D"/>
    <w:rsid w:val="007C663F"/>
    <w:rsid w:val="007D1BCF"/>
    <w:rsid w:val="007D75CF"/>
    <w:rsid w:val="007E0440"/>
    <w:rsid w:val="007E6DC5"/>
    <w:rsid w:val="007F4FDF"/>
    <w:rsid w:val="00811564"/>
    <w:rsid w:val="00853DF6"/>
    <w:rsid w:val="0088043C"/>
    <w:rsid w:val="00884889"/>
    <w:rsid w:val="008906C9"/>
    <w:rsid w:val="008A6E27"/>
    <w:rsid w:val="008C1278"/>
    <w:rsid w:val="008C5738"/>
    <w:rsid w:val="008D04F0"/>
    <w:rsid w:val="008E3C84"/>
    <w:rsid w:val="008F24E6"/>
    <w:rsid w:val="008F3500"/>
    <w:rsid w:val="00924E3C"/>
    <w:rsid w:val="009569B8"/>
    <w:rsid w:val="009612BB"/>
    <w:rsid w:val="00963A15"/>
    <w:rsid w:val="009A717F"/>
    <w:rsid w:val="009B5AC6"/>
    <w:rsid w:val="009C740A"/>
    <w:rsid w:val="00A125C5"/>
    <w:rsid w:val="00A2451C"/>
    <w:rsid w:val="00A372A8"/>
    <w:rsid w:val="00A65EE7"/>
    <w:rsid w:val="00A70133"/>
    <w:rsid w:val="00A770A6"/>
    <w:rsid w:val="00A813B1"/>
    <w:rsid w:val="00A95A39"/>
    <w:rsid w:val="00AB36C4"/>
    <w:rsid w:val="00AC32B2"/>
    <w:rsid w:val="00B17141"/>
    <w:rsid w:val="00B31575"/>
    <w:rsid w:val="00B73B9B"/>
    <w:rsid w:val="00B8547D"/>
    <w:rsid w:val="00BF3C7C"/>
    <w:rsid w:val="00C250D5"/>
    <w:rsid w:val="00C35666"/>
    <w:rsid w:val="00C64E7B"/>
    <w:rsid w:val="00C90889"/>
    <w:rsid w:val="00C92898"/>
    <w:rsid w:val="00CA4340"/>
    <w:rsid w:val="00CB1DCD"/>
    <w:rsid w:val="00CE5238"/>
    <w:rsid w:val="00CE7514"/>
    <w:rsid w:val="00D13E8F"/>
    <w:rsid w:val="00D15B58"/>
    <w:rsid w:val="00D248DE"/>
    <w:rsid w:val="00D57CEC"/>
    <w:rsid w:val="00D8542D"/>
    <w:rsid w:val="00DA6F01"/>
    <w:rsid w:val="00DC6A71"/>
    <w:rsid w:val="00E0357D"/>
    <w:rsid w:val="00E16015"/>
    <w:rsid w:val="00E3425E"/>
    <w:rsid w:val="00E3529F"/>
    <w:rsid w:val="00E36823"/>
    <w:rsid w:val="00E96C73"/>
    <w:rsid w:val="00EB032B"/>
    <w:rsid w:val="00EB70F7"/>
    <w:rsid w:val="00EC22BE"/>
    <w:rsid w:val="00ED1C3E"/>
    <w:rsid w:val="00F12D15"/>
    <w:rsid w:val="00F240BB"/>
    <w:rsid w:val="00F57FED"/>
    <w:rsid w:val="00F70144"/>
    <w:rsid w:val="00F9442F"/>
    <w:rsid w:val="00FB1FE1"/>
    <w:rsid w:val="00FE47DB"/>
    <w:rsid w:val="00FF68BC"/>
    <w:rsid w:val="00FF6B95"/>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Poglavje1,Heading 1si"/>
    <w:basedOn w:val="Navaden"/>
    <w:next w:val="Navaden"/>
    <w:link w:val="Naslov1Znak"/>
    <w:autoRedefine/>
    <w:qFormat/>
    <w:rsid w:val="00E3425E"/>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EC22BE"/>
    <w:pPr>
      <w:suppressAutoHyphens/>
      <w:spacing w:after="120" w:line="240" w:lineRule="auto"/>
    </w:pPr>
    <w:rPr>
      <w:rFonts w:ascii="Times New Roman" w:hAnsi="Times New Roman"/>
      <w:sz w:val="22"/>
      <w:lang w:val="sl-SI" w:eastAsia="ar-SA"/>
    </w:rPr>
  </w:style>
  <w:style w:type="paragraph" w:styleId="Telobesedila-zamik">
    <w:name w:val="Body Text Indent"/>
    <w:basedOn w:val="Navaden"/>
    <w:rsid w:val="008E3C84"/>
    <w:pPr>
      <w:spacing w:after="120"/>
      <w:ind w:left="283"/>
    </w:pPr>
  </w:style>
  <w:style w:type="paragraph" w:customStyle="1" w:styleId="Vrstapredpisa">
    <w:name w:val="Vrsta predpisa"/>
    <w:basedOn w:val="Navaden"/>
    <w:link w:val="VrstapredpisaZnak"/>
    <w:qFormat/>
    <w:rsid w:val="008E3C84"/>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
    <w:name w:val="Vrsta predpisa Znak"/>
    <w:link w:val="Vrstapredpisa"/>
    <w:rsid w:val="008E3C84"/>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8E3C84"/>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
    <w:name w:val="Naslov_predpisa Znak"/>
    <w:link w:val="Naslovpredpisa"/>
    <w:rsid w:val="008E3C84"/>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8E3C84"/>
    <w:pPr>
      <w:overflowPunct w:val="0"/>
      <w:autoSpaceDE w:val="0"/>
      <w:autoSpaceDN w:val="0"/>
      <w:adjustRightInd w:val="0"/>
      <w:spacing w:before="60" w:after="60" w:line="200" w:lineRule="exact"/>
      <w:jc w:val="both"/>
      <w:textAlignment w:val="baseline"/>
    </w:pPr>
    <w:rPr>
      <w:rFonts w:cs="Arial"/>
      <w:sz w:val="24"/>
      <w:lang w:val="sl-SI" w:eastAsia="sl-SI"/>
    </w:rPr>
  </w:style>
  <w:style w:type="character" w:customStyle="1" w:styleId="NeotevilenodstavekZnak">
    <w:name w:val="Neoštevilčen odstavek Znak"/>
    <w:link w:val="Neotevilenodstavek"/>
    <w:rsid w:val="008E3C84"/>
    <w:rPr>
      <w:rFonts w:ascii="Arial" w:hAnsi="Arial" w:cs="Arial"/>
      <w:sz w:val="24"/>
      <w:szCs w:val="24"/>
      <w:lang w:val="sl-SI" w:eastAsia="sl-SI" w:bidi="ar-SA"/>
    </w:rPr>
  </w:style>
  <w:style w:type="paragraph" w:customStyle="1" w:styleId="Oddelek">
    <w:name w:val="Oddelek"/>
    <w:basedOn w:val="Navaden"/>
    <w:link w:val="OddelekZnak1"/>
    <w:qFormat/>
    <w:rsid w:val="008E3C84"/>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val="sl-SI" w:eastAsia="sl-SI"/>
    </w:rPr>
  </w:style>
  <w:style w:type="character" w:customStyle="1" w:styleId="OddelekZnak1">
    <w:name w:val="Oddelek Znak1"/>
    <w:link w:val="Oddelek"/>
    <w:rsid w:val="008E3C84"/>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8E3C84"/>
    <w:pPr>
      <w:tabs>
        <w:tab w:val="num" w:pos="36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character" w:customStyle="1" w:styleId="AlineazaodstavkomZnak">
    <w:name w:val="Alinea za odstavkom Znak"/>
    <w:link w:val="Alineazaodstavkom"/>
    <w:rsid w:val="008E3C84"/>
    <w:rPr>
      <w:rFonts w:ascii="Arial" w:hAnsi="Arial" w:cs="Arial"/>
      <w:sz w:val="24"/>
      <w:szCs w:val="24"/>
    </w:rPr>
  </w:style>
  <w:style w:type="paragraph" w:styleId="Seznam">
    <w:name w:val="List"/>
    <w:basedOn w:val="Telobesedila"/>
    <w:rsid w:val="00116512"/>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Cs w:val="20"/>
      <w:lang w:val="x-none" w:eastAsia="x-none"/>
    </w:rPr>
  </w:style>
  <w:style w:type="character" w:styleId="Krepko">
    <w:name w:val="Strong"/>
    <w:uiPriority w:val="22"/>
    <w:qFormat/>
    <w:rsid w:val="00116512"/>
    <w:rPr>
      <w:b/>
      <w:bCs/>
    </w:rPr>
  </w:style>
  <w:style w:type="character" w:customStyle="1" w:styleId="Naslov1Znak">
    <w:name w:val="Naslov 1 Znak"/>
    <w:aliases w:val="NASLOV Znak,Poglavje1 Znak,Heading 1si Znak"/>
    <w:link w:val="Naslov1"/>
    <w:rsid w:val="00E3425E"/>
    <w:rPr>
      <w:rFonts w:ascii="Arial" w:hAnsi="Arial"/>
      <w:b/>
      <w:kern w:val="32"/>
      <w:sz w:val="28"/>
      <w:szCs w:val="32"/>
    </w:rPr>
  </w:style>
  <w:style w:type="paragraph" w:styleId="Odstavekseznama">
    <w:name w:val="List Paragraph"/>
    <w:basedOn w:val="Navaden"/>
    <w:link w:val="OdstavekseznamaZnak"/>
    <w:uiPriority w:val="34"/>
    <w:qFormat/>
    <w:rsid w:val="00E3425E"/>
    <w:pPr>
      <w:ind w:left="708"/>
    </w:pPr>
    <w:rPr>
      <w:lang w:val="sl-SI"/>
    </w:rPr>
  </w:style>
  <w:style w:type="character" w:customStyle="1" w:styleId="OdstavekseznamaZnak">
    <w:name w:val="Odstavek seznama Znak"/>
    <w:link w:val="Odstavekseznama"/>
    <w:uiPriority w:val="34"/>
    <w:rsid w:val="00E3425E"/>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Poglavje1,Heading 1si"/>
    <w:basedOn w:val="Navaden"/>
    <w:next w:val="Navaden"/>
    <w:link w:val="Naslov1Znak"/>
    <w:autoRedefine/>
    <w:qFormat/>
    <w:rsid w:val="00E3425E"/>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rsid w:val="00EC22BE"/>
    <w:pPr>
      <w:suppressAutoHyphens/>
      <w:spacing w:after="120" w:line="240" w:lineRule="auto"/>
    </w:pPr>
    <w:rPr>
      <w:rFonts w:ascii="Times New Roman" w:hAnsi="Times New Roman"/>
      <w:sz w:val="22"/>
      <w:lang w:val="sl-SI" w:eastAsia="ar-SA"/>
    </w:rPr>
  </w:style>
  <w:style w:type="paragraph" w:styleId="Telobesedila-zamik">
    <w:name w:val="Body Text Indent"/>
    <w:basedOn w:val="Navaden"/>
    <w:rsid w:val="008E3C84"/>
    <w:pPr>
      <w:spacing w:after="120"/>
      <w:ind w:left="283"/>
    </w:pPr>
  </w:style>
  <w:style w:type="paragraph" w:customStyle="1" w:styleId="Vrstapredpisa">
    <w:name w:val="Vrsta predpisa"/>
    <w:basedOn w:val="Navaden"/>
    <w:link w:val="VrstapredpisaZnak"/>
    <w:qFormat/>
    <w:rsid w:val="008E3C84"/>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val="sl-SI" w:eastAsia="sl-SI"/>
    </w:rPr>
  </w:style>
  <w:style w:type="character" w:customStyle="1" w:styleId="VrstapredpisaZnak">
    <w:name w:val="Vrsta predpisa Znak"/>
    <w:link w:val="Vrstapredpisa"/>
    <w:rsid w:val="008E3C84"/>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qFormat/>
    <w:rsid w:val="008E3C84"/>
    <w:pPr>
      <w:suppressAutoHyphens/>
      <w:overflowPunct w:val="0"/>
      <w:autoSpaceDE w:val="0"/>
      <w:autoSpaceDN w:val="0"/>
      <w:adjustRightInd w:val="0"/>
      <w:spacing w:before="120" w:after="160" w:line="200" w:lineRule="exact"/>
      <w:jc w:val="center"/>
      <w:textAlignment w:val="baseline"/>
    </w:pPr>
    <w:rPr>
      <w:rFonts w:cs="Arial"/>
      <w:b/>
      <w:sz w:val="24"/>
      <w:lang w:val="sl-SI" w:eastAsia="sl-SI"/>
    </w:rPr>
  </w:style>
  <w:style w:type="character" w:customStyle="1" w:styleId="NaslovpredpisaZnak">
    <w:name w:val="Naslov_predpisa Znak"/>
    <w:link w:val="Naslovpredpisa"/>
    <w:rsid w:val="008E3C84"/>
    <w:rPr>
      <w:rFonts w:ascii="Arial" w:hAnsi="Arial" w:cs="Arial"/>
      <w:b/>
      <w:sz w:val="24"/>
      <w:szCs w:val="24"/>
      <w:lang w:val="sl-SI" w:eastAsia="sl-SI" w:bidi="ar-SA"/>
    </w:rPr>
  </w:style>
  <w:style w:type="paragraph" w:customStyle="1" w:styleId="Neotevilenodstavek">
    <w:name w:val="Neoštevilčen odstavek"/>
    <w:basedOn w:val="Navaden"/>
    <w:link w:val="NeotevilenodstavekZnak"/>
    <w:qFormat/>
    <w:rsid w:val="008E3C84"/>
    <w:pPr>
      <w:overflowPunct w:val="0"/>
      <w:autoSpaceDE w:val="0"/>
      <w:autoSpaceDN w:val="0"/>
      <w:adjustRightInd w:val="0"/>
      <w:spacing w:before="60" w:after="60" w:line="200" w:lineRule="exact"/>
      <w:jc w:val="both"/>
      <w:textAlignment w:val="baseline"/>
    </w:pPr>
    <w:rPr>
      <w:rFonts w:cs="Arial"/>
      <w:sz w:val="24"/>
      <w:lang w:val="sl-SI" w:eastAsia="sl-SI"/>
    </w:rPr>
  </w:style>
  <w:style w:type="character" w:customStyle="1" w:styleId="NeotevilenodstavekZnak">
    <w:name w:val="Neoštevilčen odstavek Znak"/>
    <w:link w:val="Neotevilenodstavek"/>
    <w:rsid w:val="008E3C84"/>
    <w:rPr>
      <w:rFonts w:ascii="Arial" w:hAnsi="Arial" w:cs="Arial"/>
      <w:sz w:val="24"/>
      <w:szCs w:val="24"/>
      <w:lang w:val="sl-SI" w:eastAsia="sl-SI" w:bidi="ar-SA"/>
    </w:rPr>
  </w:style>
  <w:style w:type="paragraph" w:customStyle="1" w:styleId="Oddelek">
    <w:name w:val="Oddelek"/>
    <w:basedOn w:val="Navaden"/>
    <w:link w:val="OddelekZnak1"/>
    <w:qFormat/>
    <w:rsid w:val="008E3C84"/>
    <w:pPr>
      <w:numPr>
        <w:numId w:val="10"/>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4"/>
      <w:lang w:val="sl-SI" w:eastAsia="sl-SI"/>
    </w:rPr>
  </w:style>
  <w:style w:type="character" w:customStyle="1" w:styleId="OddelekZnak1">
    <w:name w:val="Oddelek Znak1"/>
    <w:link w:val="Oddelek"/>
    <w:rsid w:val="008E3C84"/>
    <w:rPr>
      <w:rFonts w:ascii="Arial" w:hAnsi="Arial" w:cs="Arial"/>
      <w:b/>
      <w:sz w:val="24"/>
      <w:szCs w:val="24"/>
      <w:lang w:val="sl-SI" w:eastAsia="sl-SI" w:bidi="ar-SA"/>
    </w:rPr>
  </w:style>
  <w:style w:type="paragraph" w:customStyle="1" w:styleId="Alineazaodstavkom">
    <w:name w:val="Alinea za odstavkom"/>
    <w:basedOn w:val="Navaden"/>
    <w:link w:val="AlineazaodstavkomZnak"/>
    <w:qFormat/>
    <w:rsid w:val="008E3C84"/>
    <w:pPr>
      <w:tabs>
        <w:tab w:val="num" w:pos="360"/>
      </w:tabs>
      <w:overflowPunct w:val="0"/>
      <w:autoSpaceDE w:val="0"/>
      <w:autoSpaceDN w:val="0"/>
      <w:adjustRightInd w:val="0"/>
      <w:spacing w:line="200" w:lineRule="exact"/>
      <w:ind w:left="709" w:hanging="284"/>
      <w:jc w:val="both"/>
      <w:textAlignment w:val="baseline"/>
    </w:pPr>
    <w:rPr>
      <w:rFonts w:cs="Arial"/>
      <w:sz w:val="24"/>
      <w:lang w:val="sl-SI" w:eastAsia="sl-SI"/>
    </w:rPr>
  </w:style>
  <w:style w:type="character" w:customStyle="1" w:styleId="AlineazaodstavkomZnak">
    <w:name w:val="Alinea za odstavkom Znak"/>
    <w:link w:val="Alineazaodstavkom"/>
    <w:rsid w:val="008E3C84"/>
    <w:rPr>
      <w:rFonts w:ascii="Arial" w:hAnsi="Arial" w:cs="Arial"/>
      <w:sz w:val="24"/>
      <w:szCs w:val="24"/>
    </w:rPr>
  </w:style>
  <w:style w:type="paragraph" w:styleId="Seznam">
    <w:name w:val="List"/>
    <w:basedOn w:val="Telobesedila"/>
    <w:rsid w:val="00116512"/>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Cs w:val="20"/>
      <w:lang w:val="x-none" w:eastAsia="x-none"/>
    </w:rPr>
  </w:style>
  <w:style w:type="character" w:styleId="Krepko">
    <w:name w:val="Strong"/>
    <w:uiPriority w:val="22"/>
    <w:qFormat/>
    <w:rsid w:val="00116512"/>
    <w:rPr>
      <w:b/>
      <w:bCs/>
    </w:rPr>
  </w:style>
  <w:style w:type="character" w:customStyle="1" w:styleId="Naslov1Znak">
    <w:name w:val="Naslov 1 Znak"/>
    <w:aliases w:val="NASLOV Znak,Poglavje1 Znak,Heading 1si Znak"/>
    <w:link w:val="Naslov1"/>
    <w:rsid w:val="00E3425E"/>
    <w:rPr>
      <w:rFonts w:ascii="Arial" w:hAnsi="Arial"/>
      <w:b/>
      <w:kern w:val="32"/>
      <w:sz w:val="28"/>
      <w:szCs w:val="32"/>
    </w:rPr>
  </w:style>
  <w:style w:type="paragraph" w:styleId="Odstavekseznama">
    <w:name w:val="List Paragraph"/>
    <w:basedOn w:val="Navaden"/>
    <w:link w:val="OdstavekseznamaZnak"/>
    <w:uiPriority w:val="34"/>
    <w:qFormat/>
    <w:rsid w:val="00E3425E"/>
    <w:pPr>
      <w:ind w:left="708"/>
    </w:pPr>
    <w:rPr>
      <w:lang w:val="sl-SI"/>
    </w:rPr>
  </w:style>
  <w:style w:type="character" w:customStyle="1" w:styleId="OdstavekseznamaZnak">
    <w:name w:val="Odstavek seznama Znak"/>
    <w:link w:val="Odstavekseznama"/>
    <w:uiPriority w:val="34"/>
    <w:rsid w:val="00E3425E"/>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svz@gov.s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p.mf@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mop@gov.s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gp.mzi@gov.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ukom@gov.si"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mop.gov.si" TargetMode="External"/><Relationship Id="rId2" Type="http://schemas.openxmlformats.org/officeDocument/2006/relationships/hyperlink" Target="mailto:gp.mop@gov.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jaGor\Application%20Data\Microsoft\Predloge\0_MO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51B5-6076-424A-894F-56BA0835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0_MOP</Template>
  <TotalTime>2</TotalTime>
  <Pages>8</Pages>
  <Words>3107</Words>
  <Characters>17712</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Številka:</vt:lpstr>
    </vt:vector>
  </TitlesOfParts>
  <Company>MZIP</Company>
  <LinksUpToDate>false</LinksUpToDate>
  <CharactersWithSpaces>20778</CharactersWithSpaces>
  <SharedDoc>false</SharedDoc>
  <HLinks>
    <vt:vector size="72" baseType="variant">
      <vt:variant>
        <vt:i4>65565</vt:i4>
      </vt:variant>
      <vt:variant>
        <vt:i4>24</vt:i4>
      </vt:variant>
      <vt:variant>
        <vt:i4>0</vt:i4>
      </vt:variant>
      <vt:variant>
        <vt:i4>5</vt:i4>
      </vt:variant>
      <vt:variant>
        <vt:lpwstr>http://www.dpa.mzip.gov.si/doc/stalisca_do_pripomb.pdf</vt:lpwstr>
      </vt:variant>
      <vt:variant>
        <vt:lpwstr/>
      </vt:variant>
      <vt:variant>
        <vt:i4>5177377</vt:i4>
      </vt:variant>
      <vt:variant>
        <vt:i4>21</vt:i4>
      </vt:variant>
      <vt:variant>
        <vt:i4>0</vt:i4>
      </vt:variant>
      <vt:variant>
        <vt:i4>5</vt:i4>
      </vt:variant>
      <vt:variant>
        <vt:lpwstr>mailto:gp.ukom@gov.si</vt:lpwstr>
      </vt:variant>
      <vt:variant>
        <vt:lpwstr/>
      </vt:variant>
      <vt:variant>
        <vt:i4>3473489</vt:i4>
      </vt:variant>
      <vt:variant>
        <vt:i4>18</vt:i4>
      </vt:variant>
      <vt:variant>
        <vt:i4>0</vt:i4>
      </vt:variant>
      <vt:variant>
        <vt:i4>5</vt:i4>
      </vt:variant>
      <vt:variant>
        <vt:lpwstr>mailto:gp.svz@gov.si</vt:lpwstr>
      </vt:variant>
      <vt:variant>
        <vt:lpwstr/>
      </vt:variant>
      <vt:variant>
        <vt:i4>3080278</vt:i4>
      </vt:variant>
      <vt:variant>
        <vt:i4>15</vt:i4>
      </vt:variant>
      <vt:variant>
        <vt:i4>0</vt:i4>
      </vt:variant>
      <vt:variant>
        <vt:i4>5</vt:i4>
      </vt:variant>
      <vt:variant>
        <vt:lpwstr>mailto:gp.mf@gov.si</vt:lpwstr>
      </vt:variant>
      <vt:variant>
        <vt:lpwstr/>
      </vt:variant>
      <vt:variant>
        <vt:i4>7143440</vt:i4>
      </vt:variant>
      <vt:variant>
        <vt:i4>12</vt:i4>
      </vt:variant>
      <vt:variant>
        <vt:i4>0</vt:i4>
      </vt:variant>
      <vt:variant>
        <vt:i4>5</vt:i4>
      </vt:variant>
      <vt:variant>
        <vt:lpwstr>mailto:glavna.pisarna@mors.si</vt:lpwstr>
      </vt:variant>
      <vt:variant>
        <vt:lpwstr/>
      </vt:variant>
      <vt:variant>
        <vt:i4>4390975</vt:i4>
      </vt:variant>
      <vt:variant>
        <vt:i4>9</vt:i4>
      </vt:variant>
      <vt:variant>
        <vt:i4>0</vt:i4>
      </vt:variant>
      <vt:variant>
        <vt:i4>5</vt:i4>
      </vt:variant>
      <vt:variant>
        <vt:lpwstr>mailto:gp.mzip@gov.si</vt:lpwstr>
      </vt:variant>
      <vt:variant>
        <vt:lpwstr/>
      </vt:variant>
      <vt:variant>
        <vt:i4>3801180</vt:i4>
      </vt:variant>
      <vt:variant>
        <vt:i4>6</vt:i4>
      </vt:variant>
      <vt:variant>
        <vt:i4>0</vt:i4>
      </vt:variant>
      <vt:variant>
        <vt:i4>5</vt:i4>
      </vt:variant>
      <vt:variant>
        <vt:lpwstr>mailto:gp.gs@gov.si</vt:lpwstr>
      </vt:variant>
      <vt:variant>
        <vt:lpwstr/>
      </vt:variant>
      <vt:variant>
        <vt:i4>8060985</vt:i4>
      </vt:variant>
      <vt:variant>
        <vt:i4>3</vt:i4>
      </vt:variant>
      <vt:variant>
        <vt:i4>0</vt:i4>
      </vt:variant>
      <vt:variant>
        <vt:i4>5</vt:i4>
      </vt:variant>
      <vt:variant>
        <vt:lpwstr>http://www.mop.gov.si/</vt:lpwstr>
      </vt:variant>
      <vt:variant>
        <vt:lpwstr/>
      </vt:variant>
      <vt:variant>
        <vt:i4>2883653</vt:i4>
      </vt:variant>
      <vt:variant>
        <vt:i4>0</vt:i4>
      </vt:variant>
      <vt:variant>
        <vt:i4>0</vt:i4>
      </vt:variant>
      <vt:variant>
        <vt:i4>5</vt:i4>
      </vt:variant>
      <vt:variant>
        <vt:lpwstr>mailto:gp.mop@gov.si</vt:lpwstr>
      </vt:variant>
      <vt:variant>
        <vt:lpwstr/>
      </vt:variant>
      <vt:variant>
        <vt:i4>8060985</vt:i4>
      </vt:variant>
      <vt:variant>
        <vt:i4>3</vt:i4>
      </vt:variant>
      <vt:variant>
        <vt:i4>0</vt:i4>
      </vt:variant>
      <vt:variant>
        <vt:i4>5</vt:i4>
      </vt:variant>
      <vt:variant>
        <vt:lpwstr>http://www.mop.gov.si/</vt:lpwstr>
      </vt:variant>
      <vt:variant>
        <vt:lpwstr/>
      </vt:variant>
      <vt:variant>
        <vt:i4>2883653</vt:i4>
      </vt:variant>
      <vt:variant>
        <vt:i4>0</vt:i4>
      </vt:variant>
      <vt:variant>
        <vt:i4>0</vt:i4>
      </vt:variant>
      <vt:variant>
        <vt:i4>5</vt:i4>
      </vt:variant>
      <vt:variant>
        <vt:lpwstr>mailto:gp.mop@gov.si</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Renata.Gorjup</cp:lastModifiedBy>
  <cp:revision>5</cp:revision>
  <cp:lastPrinted>2011-08-29T13:19:00Z</cp:lastPrinted>
  <dcterms:created xsi:type="dcterms:W3CDTF">2020-06-09T12:13:00Z</dcterms:created>
  <dcterms:modified xsi:type="dcterms:W3CDTF">2020-06-09T12:25:00Z</dcterms:modified>
</cp:coreProperties>
</file>