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07" w:rsidRPr="00B576E4" w:rsidRDefault="00903107" w:rsidP="00FF2ADA">
      <w:pPr>
        <w:tabs>
          <w:tab w:val="left" w:pos="1290"/>
        </w:tabs>
        <w:spacing w:before="20" w:after="20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 xml:space="preserve">Številka:  </w:t>
      </w:r>
      <w:r w:rsidRPr="00B576E4">
        <w:rPr>
          <w:rFonts w:cs="Arial"/>
          <w:b/>
          <w:i/>
          <w:szCs w:val="20"/>
          <w:lang w:val="sl-SI"/>
        </w:rPr>
        <w:t>545641-41/2021 / 1</w:t>
      </w:r>
    </w:p>
    <w:p w:rsidR="00903107" w:rsidRPr="00B576E4" w:rsidRDefault="00903107" w:rsidP="00FF2ADA">
      <w:pPr>
        <w:spacing w:before="20" w:after="20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 xml:space="preserve">Ljubljana, dne </w:t>
      </w:r>
      <w:r w:rsidRPr="00B576E4">
        <w:rPr>
          <w:rFonts w:cs="Arial"/>
          <w:b/>
          <w:i/>
          <w:color w:val="000000"/>
          <w:szCs w:val="20"/>
          <w:lang w:val="sl-SI"/>
        </w:rPr>
        <w:t>02.06.2021</w:t>
      </w:r>
    </w:p>
    <w:p w:rsidR="00903107" w:rsidRPr="00B576E4" w:rsidRDefault="00903107" w:rsidP="00FF2ADA">
      <w:pPr>
        <w:spacing w:before="20" w:after="20"/>
        <w:rPr>
          <w:rFonts w:cs="Arial"/>
          <w:b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rPr>
          <w:rFonts w:cs="Arial"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GENERALNI SEKRETARIAT VLADE REPUBLIKE SLOVENIJE</w:t>
      </w:r>
    </w:p>
    <w:p w:rsidR="00903107" w:rsidRPr="00B576E4" w:rsidRDefault="00903107" w:rsidP="00FF2ADA">
      <w:pPr>
        <w:spacing w:before="20" w:after="20"/>
        <w:rPr>
          <w:rFonts w:cs="Arial"/>
          <w:i/>
          <w:szCs w:val="20"/>
          <w:lang w:val="sl-SI"/>
        </w:rPr>
      </w:pPr>
      <w:r w:rsidRPr="00B576E4">
        <w:rPr>
          <w:rFonts w:cs="Arial"/>
          <w:szCs w:val="20"/>
          <w:lang w:val="sl-SI"/>
        </w:rPr>
        <w:t>gp.gs@gov.si</w:t>
      </w:r>
    </w:p>
    <w:p w:rsidR="00903107" w:rsidRPr="00B576E4" w:rsidRDefault="00903107" w:rsidP="00FF2ADA">
      <w:pPr>
        <w:spacing w:before="20" w:after="20"/>
        <w:rPr>
          <w:rFonts w:cs="Arial"/>
          <w:b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V vednost:</w:t>
      </w:r>
    </w:p>
    <w:p w:rsidR="00903107" w:rsidRPr="00B576E4" w:rsidRDefault="00903107" w:rsidP="00FF2ADA">
      <w:pPr>
        <w:spacing w:before="20" w:after="20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MINISTRSTVO ZA ZUNANJE ZADEVE</w:t>
      </w:r>
    </w:p>
    <w:p w:rsidR="00903107" w:rsidRPr="00B576E4" w:rsidRDefault="00903107" w:rsidP="00FF2ADA">
      <w:pPr>
        <w:spacing w:before="20" w:after="20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EU-portal@gov.si</w:t>
      </w:r>
    </w:p>
    <w:p w:rsidR="00903107" w:rsidRPr="00B576E4" w:rsidRDefault="00903107" w:rsidP="00FF2ADA">
      <w:pPr>
        <w:spacing w:before="20" w:after="20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rPr>
          <w:rFonts w:cs="Arial"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ODLOČITVE REPUBLIKE SLOVENIJE</w:t>
      </w:r>
    </w:p>
    <w:p w:rsidR="00903107" w:rsidRPr="00B576E4" w:rsidRDefault="00903107" w:rsidP="00FF2ADA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V ZVEZI Z ZADEVAMI EVROPSKE UNIJE</w:t>
      </w:r>
    </w:p>
    <w:p w:rsidR="00903107" w:rsidRPr="00B576E4" w:rsidRDefault="00903107" w:rsidP="00FF2ADA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PREDLOG ZA OBRAVNAVO</w:t>
      </w:r>
    </w:p>
    <w:p w:rsidR="00903107" w:rsidRPr="00B576E4" w:rsidRDefault="00903107" w:rsidP="00FF2ADA">
      <w:pPr>
        <w:spacing w:before="20" w:after="20"/>
        <w:jc w:val="center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>I.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1. Zadeva EU</w:t>
      </w:r>
      <w:r w:rsidRPr="00B576E4">
        <w:rPr>
          <w:rFonts w:cs="Arial"/>
          <w:bCs/>
          <w:szCs w:val="20"/>
          <w:lang w:val="sl-SI"/>
        </w:rPr>
        <w:t xml:space="preserve">: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color w:val="0070C0"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 xml:space="preserve">Naslov dokumenta v slovenskem jeziku: </w:t>
      </w:r>
      <w:r w:rsidRPr="00B576E4">
        <w:rPr>
          <w:rFonts w:cs="Arial"/>
          <w:bCs/>
          <w:i/>
          <w:szCs w:val="20"/>
          <w:lang w:val="sl-SI"/>
        </w:rPr>
        <w:t>Predlog uredbe Sveta o dodelitvi ribolovnih možnosti v skladu s Protokolom o izvajanju (2021–2026) Sporazuma o partnerstvu v ribiškem sektorju med Gabonsko republiko in Evropsko skupnostjo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 xml:space="preserve">Naslov dokumenta v delovnem jeziku EU: </w:t>
      </w:r>
      <w:proofErr w:type="spellStart"/>
      <w:r w:rsidRPr="00B576E4">
        <w:rPr>
          <w:rFonts w:cs="Arial"/>
          <w:bCs/>
          <w:i/>
          <w:szCs w:val="20"/>
          <w:lang w:val="sl-SI"/>
        </w:rPr>
        <w:t>Proposition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de </w:t>
      </w:r>
      <w:proofErr w:type="spellStart"/>
      <w:r w:rsidRPr="00B576E4">
        <w:rPr>
          <w:rFonts w:cs="Arial"/>
          <w:bCs/>
          <w:i/>
          <w:szCs w:val="20"/>
          <w:lang w:val="sl-SI"/>
        </w:rPr>
        <w:t>Règlement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du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Conseil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relatif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à la </w:t>
      </w:r>
      <w:proofErr w:type="spellStart"/>
      <w:r w:rsidRPr="00B576E4">
        <w:rPr>
          <w:rFonts w:cs="Arial"/>
          <w:bCs/>
          <w:i/>
          <w:szCs w:val="20"/>
          <w:lang w:val="sl-SI"/>
        </w:rPr>
        <w:t>répartition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des </w:t>
      </w:r>
      <w:proofErr w:type="spellStart"/>
      <w:r w:rsidRPr="00B576E4">
        <w:rPr>
          <w:rFonts w:cs="Arial"/>
          <w:bCs/>
          <w:i/>
          <w:szCs w:val="20"/>
          <w:lang w:val="sl-SI"/>
        </w:rPr>
        <w:t>possibilités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de </w:t>
      </w:r>
      <w:proofErr w:type="spellStart"/>
      <w:r w:rsidRPr="00B576E4">
        <w:rPr>
          <w:rFonts w:cs="Arial"/>
          <w:bCs/>
          <w:i/>
          <w:szCs w:val="20"/>
          <w:lang w:val="sl-SI"/>
        </w:rPr>
        <w:t>pêche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prévues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par le </w:t>
      </w:r>
      <w:proofErr w:type="spellStart"/>
      <w:r w:rsidRPr="00B576E4">
        <w:rPr>
          <w:rFonts w:cs="Arial"/>
          <w:bCs/>
          <w:i/>
          <w:szCs w:val="20"/>
          <w:lang w:val="sl-SI"/>
        </w:rPr>
        <w:t>protocole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de mise en </w:t>
      </w:r>
      <w:proofErr w:type="spellStart"/>
      <w:r w:rsidRPr="00B576E4">
        <w:rPr>
          <w:rFonts w:cs="Arial"/>
          <w:bCs/>
          <w:i/>
          <w:szCs w:val="20"/>
          <w:lang w:val="sl-SI"/>
        </w:rPr>
        <w:t>œuvre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(2021-2026) de </w:t>
      </w:r>
      <w:proofErr w:type="spellStart"/>
      <w:r w:rsidRPr="00B576E4">
        <w:rPr>
          <w:rFonts w:cs="Arial"/>
          <w:bCs/>
          <w:i/>
          <w:szCs w:val="20"/>
          <w:lang w:val="sl-SI"/>
        </w:rPr>
        <w:t>l’accord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de </w:t>
      </w:r>
      <w:proofErr w:type="spellStart"/>
      <w:r w:rsidRPr="00B576E4">
        <w:rPr>
          <w:rFonts w:cs="Arial"/>
          <w:bCs/>
          <w:i/>
          <w:szCs w:val="20"/>
          <w:lang w:val="sl-SI"/>
        </w:rPr>
        <w:t>partenariat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dans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le </w:t>
      </w:r>
      <w:proofErr w:type="spellStart"/>
      <w:r w:rsidRPr="00B576E4">
        <w:rPr>
          <w:rFonts w:cs="Arial"/>
          <w:bCs/>
          <w:i/>
          <w:szCs w:val="20"/>
          <w:lang w:val="sl-SI"/>
        </w:rPr>
        <w:t>secteur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de la </w:t>
      </w:r>
      <w:proofErr w:type="spellStart"/>
      <w:r w:rsidRPr="00B576E4">
        <w:rPr>
          <w:rFonts w:cs="Arial"/>
          <w:bCs/>
          <w:i/>
          <w:szCs w:val="20"/>
          <w:lang w:val="sl-SI"/>
        </w:rPr>
        <w:t>pêche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entre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la </w:t>
      </w:r>
      <w:proofErr w:type="spellStart"/>
      <w:r w:rsidRPr="00B576E4">
        <w:rPr>
          <w:rFonts w:cs="Arial"/>
          <w:bCs/>
          <w:i/>
          <w:szCs w:val="20"/>
          <w:lang w:val="sl-SI"/>
        </w:rPr>
        <w:t>République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gabonaise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et la </w:t>
      </w:r>
      <w:proofErr w:type="spellStart"/>
      <w:r w:rsidRPr="00B576E4">
        <w:rPr>
          <w:rFonts w:cs="Arial"/>
          <w:bCs/>
          <w:i/>
          <w:szCs w:val="20"/>
          <w:lang w:val="sl-SI"/>
        </w:rPr>
        <w:t>Communauté</w:t>
      </w:r>
      <w:proofErr w:type="spellEnd"/>
      <w:r w:rsidRPr="00B576E4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B576E4">
        <w:rPr>
          <w:rFonts w:cs="Arial"/>
          <w:bCs/>
          <w:i/>
          <w:szCs w:val="20"/>
          <w:lang w:val="sl-SI"/>
        </w:rPr>
        <w:t>européenne</w:t>
      </w:r>
      <w:proofErr w:type="spellEnd"/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Datum dokumenta: </w:t>
      </w:r>
      <w:r w:rsidRPr="00B576E4">
        <w:rPr>
          <w:rFonts w:cs="Arial"/>
          <w:i/>
          <w:szCs w:val="20"/>
          <w:lang w:val="sl-SI"/>
        </w:rPr>
        <w:t>19.05.2021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Številka dokumenta: </w:t>
      </w:r>
      <w:r w:rsidRPr="00B576E4">
        <w:rPr>
          <w:rFonts w:cs="Arial"/>
          <w:i/>
          <w:szCs w:val="20"/>
          <w:lang w:val="sl-SI"/>
        </w:rPr>
        <w:t xml:space="preserve">8738/21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Medinstitucionalna oznaka: </w:t>
      </w:r>
      <w:r w:rsidRPr="00B576E4">
        <w:rPr>
          <w:rFonts w:cs="Arial"/>
          <w:i/>
          <w:szCs w:val="20"/>
          <w:lang w:val="sl-SI"/>
        </w:rPr>
        <w:t>2021/0128(NLE)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 xml:space="preserve">Pri izdelavi predloga stališča so upoštevane še različice in priloge dokumenta EU: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2. Vrsta odločitve RS</w:t>
      </w:r>
      <w:r w:rsidRPr="00B576E4">
        <w:rPr>
          <w:rFonts w:cs="Arial"/>
          <w:szCs w:val="20"/>
          <w:lang w:val="sl-SI"/>
        </w:rPr>
        <w:t>:</w:t>
      </w:r>
      <w:r w:rsidRPr="00B576E4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  <w:r w:rsidRPr="00B576E4">
        <w:rPr>
          <w:rFonts w:cs="Arial"/>
          <w:i/>
          <w:szCs w:val="20"/>
          <w:lang w:val="sl-SI"/>
        </w:rPr>
        <w:t>Stališče Republike Slovenije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3. Postopek sprejemanja zadeve EU v institucijah EU</w:t>
      </w:r>
      <w:r w:rsidRPr="00B576E4">
        <w:rPr>
          <w:rFonts w:cs="Arial"/>
          <w:bCs/>
          <w:szCs w:val="20"/>
          <w:lang w:val="sl-SI"/>
        </w:rPr>
        <w:t>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>Postopek</w:t>
      </w:r>
      <w:r w:rsidRPr="00B576E4">
        <w:rPr>
          <w:rFonts w:cs="Arial"/>
          <w:szCs w:val="20"/>
          <w:lang w:val="sl-SI"/>
        </w:rPr>
        <w:t xml:space="preserve">: </w:t>
      </w:r>
      <w:proofErr w:type="spellStart"/>
      <w:r w:rsidRPr="00B576E4">
        <w:rPr>
          <w:rFonts w:cs="Arial"/>
          <w:i/>
          <w:szCs w:val="20"/>
          <w:lang w:val="sl-SI"/>
        </w:rPr>
        <w:t>Nezakonodajni</w:t>
      </w:r>
      <w:proofErr w:type="spellEnd"/>
      <w:r w:rsidRPr="00B576E4">
        <w:rPr>
          <w:rFonts w:cs="Arial"/>
          <w:i/>
          <w:szCs w:val="20"/>
          <w:lang w:val="sl-SI"/>
        </w:rPr>
        <w:t xml:space="preserve"> postopek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 xml:space="preserve">Faza sprejemanja: </w:t>
      </w:r>
      <w:r w:rsidRPr="00B576E4">
        <w:rPr>
          <w:rFonts w:cs="Arial"/>
          <w:bCs/>
          <w:i/>
          <w:szCs w:val="20"/>
          <w:lang w:val="sl-SI"/>
        </w:rPr>
        <w:t xml:space="preserve">začetna obravnava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4. Pristojni organ EU</w:t>
      </w:r>
      <w:r w:rsidRPr="00B576E4">
        <w:rPr>
          <w:rFonts w:cs="Arial"/>
          <w:bCs/>
          <w:szCs w:val="20"/>
          <w:lang w:val="sl-SI"/>
        </w:rPr>
        <w:t>:</w:t>
      </w:r>
      <w:r w:rsidRPr="00B576E4">
        <w:rPr>
          <w:rFonts w:cs="Arial"/>
          <w:b/>
          <w:bCs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 xml:space="preserve">Svet  EU v sestavi: </w:t>
      </w:r>
      <w:r w:rsidRPr="00B576E4">
        <w:rPr>
          <w:rFonts w:cs="Arial"/>
          <w:bCs/>
          <w:i/>
          <w:szCs w:val="20"/>
          <w:lang w:val="sl-SI"/>
        </w:rPr>
        <w:t>AGRI - Svet EU za kmetijstvo in ribištvo</w:t>
      </w:r>
      <w:r w:rsidRPr="00B576E4">
        <w:rPr>
          <w:rFonts w:cs="Arial"/>
          <w:bCs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t xml:space="preserve">Delovno telo Sveta EU: </w:t>
      </w:r>
      <w:r w:rsidRPr="00B576E4">
        <w:rPr>
          <w:rFonts w:cs="Arial"/>
          <w:bCs/>
          <w:i/>
          <w:szCs w:val="20"/>
          <w:lang w:val="sl-SI"/>
        </w:rPr>
        <w:t>F.24 - Delovna skupina za zunanjo ribiško politiko, F.25 - Delovna skupina za notranjo ribiško politiko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5. Organ, pristojen za dokončen sprejem stališča RS</w:t>
      </w:r>
      <w:r w:rsidRPr="00B576E4">
        <w:rPr>
          <w:rFonts w:cs="Arial"/>
          <w:szCs w:val="20"/>
          <w:lang w:val="sl-SI"/>
        </w:rPr>
        <w:t>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Vlada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t>6. Pravna podlaga za obravnavo v Državnem zboru</w:t>
      </w:r>
      <w:r w:rsidRPr="00B576E4">
        <w:rPr>
          <w:rFonts w:cs="Arial"/>
          <w:iCs/>
          <w:szCs w:val="20"/>
          <w:lang w:val="sl-SI"/>
        </w:rPr>
        <w:t xml:space="preserve">: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Vlada Republike Slovenije s stališčem Republike Slovenije seznani Državni zbor Republike Slovenije v skladu z 8. členom Zakona o sodelovanju med državnim zborom in vlado v zadevah Evropske unije.</w:t>
      </w:r>
      <w:r w:rsidRPr="00B576E4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B576E4">
        <w:rPr>
          <w:rFonts w:cs="Arial"/>
          <w:iCs/>
          <w:szCs w:val="20"/>
          <w:lang w:val="sl-SI"/>
        </w:rPr>
        <w:t xml:space="preserve">Pri delu v Državnem zboru bodo sodelovali:  </w:t>
      </w:r>
      <w:r w:rsidRPr="00B576E4">
        <w:rPr>
          <w:rFonts w:cs="Arial"/>
          <w:i/>
          <w:iCs/>
          <w:szCs w:val="20"/>
          <w:lang w:val="sl-SI"/>
        </w:rPr>
        <w:t xml:space="preserve">dr. Jože Podgoršek, minister, mag. Aleš Irgolič, državni sekretar, Anton </w:t>
      </w:r>
      <w:proofErr w:type="spellStart"/>
      <w:r w:rsidRPr="00B576E4">
        <w:rPr>
          <w:rFonts w:cs="Arial"/>
          <w:i/>
          <w:iCs/>
          <w:szCs w:val="20"/>
          <w:lang w:val="sl-SI"/>
        </w:rPr>
        <w:t>Harej</w:t>
      </w:r>
      <w:proofErr w:type="spellEnd"/>
      <w:r w:rsidRPr="00B576E4">
        <w:rPr>
          <w:rFonts w:cs="Arial"/>
          <w:i/>
          <w:iCs/>
          <w:szCs w:val="20"/>
          <w:lang w:val="sl-SI"/>
        </w:rPr>
        <w:t>, državni sekretar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ab/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7. Roki</w:t>
      </w:r>
      <w:r w:rsidRPr="00B576E4">
        <w:rPr>
          <w:rFonts w:cs="Arial"/>
          <w:szCs w:val="20"/>
          <w:lang w:val="sl-SI"/>
        </w:rPr>
        <w:t>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Predviden čas pričetka obravnave zadeve EU v institucijah EU: </w:t>
      </w:r>
      <w:r w:rsidRPr="00B576E4">
        <w:rPr>
          <w:rFonts w:cs="Arial"/>
          <w:i/>
          <w:szCs w:val="20"/>
          <w:lang w:val="sl-SI"/>
        </w:rPr>
        <w:t>junij 2021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Predviden čas sprejema zadeve EU v institucijah EU: </w:t>
      </w:r>
      <w:r w:rsidRPr="00B576E4">
        <w:rPr>
          <w:rFonts w:cs="Arial"/>
          <w:i/>
          <w:szCs w:val="20"/>
          <w:lang w:val="sl-SI"/>
        </w:rPr>
        <w:t>2021 oziroma 2022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Rok za odziv organa: </w:t>
      </w:r>
      <w:r w:rsidRPr="00B576E4">
        <w:rPr>
          <w:rFonts w:cs="Arial"/>
          <w:i/>
          <w:szCs w:val="20"/>
          <w:lang w:val="sl-SI"/>
        </w:rPr>
        <w:t>23.6.2021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Rok za obravnavo na seji Vlade in njenih odborih: </w:t>
      </w:r>
      <w:r w:rsidRPr="00B576E4">
        <w:rPr>
          <w:rFonts w:cs="Arial"/>
          <w:i/>
          <w:szCs w:val="20"/>
          <w:lang w:val="sl-SI"/>
        </w:rPr>
        <w:t>24.6.2021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Rok za obravnavo predloga stališča RS v DZ: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Predlog z obrazložitvijo za skrajšanje oziroma podaljšanje rokov: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8. Organ, odgovoren za pripravo predloga stališča RS</w:t>
      </w:r>
      <w:r w:rsidRPr="00B576E4">
        <w:rPr>
          <w:rFonts w:cs="Arial"/>
          <w:szCs w:val="20"/>
          <w:lang w:val="sl-SI"/>
        </w:rPr>
        <w:t>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Organ: </w:t>
      </w:r>
      <w:r w:rsidRPr="00B576E4">
        <w:rPr>
          <w:rFonts w:cs="Arial"/>
          <w:i/>
          <w:szCs w:val="20"/>
          <w:lang w:val="sl-SI"/>
        </w:rPr>
        <w:t>Ministrstvo za kmetijstvo, gozdarstvo in prehrano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Kontaktne osebe organa: </w:t>
      </w:r>
      <w:r w:rsidRPr="00B576E4">
        <w:rPr>
          <w:rFonts w:cs="Arial"/>
          <w:i/>
          <w:szCs w:val="20"/>
          <w:lang w:val="sl-SI"/>
        </w:rPr>
        <w:t xml:space="preserve">dr. Polona </w:t>
      </w:r>
      <w:proofErr w:type="spellStart"/>
      <w:r w:rsidRPr="00B576E4">
        <w:rPr>
          <w:rFonts w:cs="Arial"/>
          <w:i/>
          <w:szCs w:val="20"/>
          <w:lang w:val="sl-SI"/>
        </w:rPr>
        <w:t>Bunič</w:t>
      </w:r>
      <w:proofErr w:type="spellEnd"/>
      <w:r w:rsidRPr="00B576E4">
        <w:rPr>
          <w:rFonts w:cs="Arial"/>
          <w:i/>
          <w:szCs w:val="20"/>
          <w:lang w:val="sl-SI"/>
        </w:rPr>
        <w:t>, Sektor za ribištvo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9. Delovna skupina Vlade, organizirana za posamezno področje zadev EU</w:t>
      </w:r>
      <w:r w:rsidRPr="00B576E4">
        <w:rPr>
          <w:rFonts w:cs="Arial"/>
          <w:szCs w:val="20"/>
          <w:lang w:val="sl-SI"/>
        </w:rPr>
        <w:t>:</w:t>
      </w:r>
      <w:r w:rsidRPr="00B576E4">
        <w:rPr>
          <w:rFonts w:cs="Arial"/>
          <w:b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DS27 - Ribištvo</w:t>
      </w:r>
      <w:r w:rsidRPr="00B576E4">
        <w:rPr>
          <w:rFonts w:cs="Arial"/>
          <w:b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/>
          <w:color w:val="FF0000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vodilni organ: </w:t>
      </w:r>
      <w:r w:rsidRPr="00B576E4">
        <w:rPr>
          <w:rFonts w:cs="Arial"/>
          <w:i/>
          <w:szCs w:val="20"/>
          <w:lang w:val="sl-SI"/>
        </w:rPr>
        <w:t>MKGP - Ministrstvo za kmetijstvo, gozdarstvo in prehrano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vodja delovne skupine: </w:t>
      </w:r>
      <w:r w:rsidRPr="00B576E4">
        <w:rPr>
          <w:rFonts w:cs="Arial"/>
          <w:i/>
          <w:szCs w:val="20"/>
          <w:lang w:val="sl-SI"/>
        </w:rPr>
        <w:t xml:space="preserve">Ana Le </w:t>
      </w:r>
      <w:proofErr w:type="spellStart"/>
      <w:r w:rsidRPr="00B576E4">
        <w:rPr>
          <w:rFonts w:cs="Arial"/>
          <w:i/>
          <w:szCs w:val="20"/>
          <w:lang w:val="sl-SI"/>
        </w:rPr>
        <w:t>Marechal</w:t>
      </w:r>
      <w:proofErr w:type="spellEnd"/>
      <w:r w:rsidRPr="00B576E4">
        <w:rPr>
          <w:rFonts w:cs="Arial"/>
          <w:i/>
          <w:szCs w:val="20"/>
          <w:lang w:val="sl-SI"/>
        </w:rPr>
        <w:t>-Kolar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Delovna skupina je predlog stališča RS obravnavala</w:t>
      </w:r>
      <w:r w:rsidRPr="00B576E4">
        <w:rPr>
          <w:rFonts w:cs="Arial"/>
          <w:szCs w:val="20"/>
          <w:lang w:val="sl-SI"/>
        </w:rPr>
        <w:t>:</w:t>
      </w:r>
      <w:r w:rsidRPr="00B576E4">
        <w:rPr>
          <w:rFonts w:cs="Arial"/>
          <w:b/>
          <w:szCs w:val="20"/>
          <w:lang w:val="sl-SI"/>
        </w:rPr>
        <w:t xml:space="preserve">  </w:t>
      </w:r>
      <w:r w:rsidRPr="00B576E4">
        <w:rPr>
          <w:rFonts w:cs="Arial"/>
          <w:i/>
          <w:szCs w:val="20"/>
          <w:lang w:val="sl-SI"/>
        </w:rPr>
        <w:t>Ne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10. Predlog stališča RS je usklajen z organi</w:t>
      </w:r>
      <w:r w:rsidRPr="00B576E4">
        <w:rPr>
          <w:rFonts w:cs="Arial"/>
          <w:szCs w:val="20"/>
          <w:lang w:val="sl-SI"/>
        </w:rPr>
        <w:t>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Organ: </w:t>
      </w:r>
      <w:r w:rsidRPr="00B576E4">
        <w:rPr>
          <w:rFonts w:cs="Arial"/>
          <w:i/>
          <w:szCs w:val="20"/>
          <w:lang w:val="sl-SI"/>
        </w:rPr>
        <w:t>Ministrstvo za zunanje zadeve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 xml:space="preserve">Kontaktna oseba organa: </w:t>
      </w:r>
      <w:r w:rsidRPr="00B576E4">
        <w:rPr>
          <w:rFonts w:cs="Arial"/>
          <w:i/>
          <w:szCs w:val="20"/>
          <w:lang w:val="sl-SI"/>
        </w:rPr>
        <w:t xml:space="preserve">Anja </w:t>
      </w:r>
      <w:bookmarkStart w:id="0" w:name="_GoBack"/>
      <w:bookmarkEnd w:id="0"/>
      <w:r w:rsidR="006E0F07" w:rsidRPr="00B576E4">
        <w:rPr>
          <w:rFonts w:cs="Arial"/>
          <w:i/>
          <w:szCs w:val="20"/>
          <w:lang w:val="sl-SI"/>
        </w:rPr>
        <w:t xml:space="preserve">Marija </w:t>
      </w:r>
      <w:r w:rsidRPr="00B576E4">
        <w:rPr>
          <w:rFonts w:cs="Arial"/>
          <w:i/>
          <w:szCs w:val="20"/>
          <w:lang w:val="sl-SI"/>
        </w:rPr>
        <w:t>Arko, MZZ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B576E4">
        <w:rPr>
          <w:rFonts w:cs="Arial"/>
          <w:b/>
          <w:bCs/>
          <w:szCs w:val="20"/>
          <w:lang w:val="sl-SI"/>
        </w:rPr>
        <w:t>11. O predlogu stališča RS je bilo opravljeno posvetovanje z</w:t>
      </w:r>
      <w:r w:rsidRPr="00B576E4">
        <w:rPr>
          <w:rFonts w:cs="Arial"/>
          <w:bCs/>
          <w:szCs w:val="20"/>
          <w:lang w:val="sl-SI"/>
        </w:rPr>
        <w:t>:</w:t>
      </w:r>
      <w:r w:rsidRPr="00B576E4">
        <w:rPr>
          <w:rFonts w:cs="Arial"/>
          <w:b/>
          <w:bCs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12. Zahteva za obravnavo</w:t>
      </w:r>
      <w:r w:rsidRPr="00B576E4">
        <w:rPr>
          <w:rFonts w:cs="Arial"/>
          <w:szCs w:val="20"/>
          <w:lang w:val="sl-SI"/>
        </w:rPr>
        <w:t>:</w:t>
      </w:r>
      <w:r w:rsidRPr="00B576E4">
        <w:rPr>
          <w:rFonts w:cs="Arial"/>
          <w:b/>
          <w:szCs w:val="20"/>
          <w:lang w:val="sl-SI"/>
        </w:rPr>
        <w:t xml:space="preserve"> </w:t>
      </w:r>
      <w:r w:rsidRPr="00B576E4">
        <w:rPr>
          <w:rFonts w:cs="Arial"/>
          <w:i/>
          <w:szCs w:val="20"/>
          <w:lang w:val="sl-SI"/>
        </w:rPr>
        <w:t>na seji Vlade, na seji Odbora za gospodarstvo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085"/>
      </w:tblGrid>
      <w:tr w:rsidR="00903107" w:rsidRPr="00B576E4" w:rsidTr="00FF2ADA">
        <w:tc>
          <w:tcPr>
            <w:tcW w:w="3085" w:type="dxa"/>
            <w:shd w:val="clear" w:color="auto" w:fill="auto"/>
          </w:tcPr>
          <w:p w:rsidR="00903107" w:rsidRPr="00B576E4" w:rsidRDefault="00903107" w:rsidP="00FF2ADA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B576E4">
              <w:rPr>
                <w:rFonts w:cs="Arial"/>
                <w:b/>
                <w:iCs/>
                <w:szCs w:val="20"/>
                <w:lang w:val="sl-SI"/>
              </w:rPr>
              <w:t>dr. Jože Podgoršek</w:t>
            </w:r>
          </w:p>
          <w:p w:rsidR="00903107" w:rsidRPr="00B576E4" w:rsidRDefault="00903107" w:rsidP="00FF2ADA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B576E4">
              <w:rPr>
                <w:rFonts w:cs="Arial"/>
                <w:b/>
                <w:iCs/>
                <w:szCs w:val="20"/>
                <w:lang w:val="sl-SI"/>
              </w:rPr>
              <w:t>MINISTER</w:t>
            </w:r>
          </w:p>
        </w:tc>
      </w:tr>
    </w:tbl>
    <w:p w:rsidR="00903107" w:rsidRPr="00B576E4" w:rsidRDefault="00903107" w:rsidP="00FF2ADA">
      <w:pPr>
        <w:tabs>
          <w:tab w:val="center" w:pos="6804"/>
        </w:tabs>
        <w:spacing w:before="20" w:after="20"/>
        <w:rPr>
          <w:rFonts w:cs="Arial"/>
          <w:b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br w:type="page"/>
      </w:r>
    </w:p>
    <w:p w:rsidR="00903107" w:rsidRPr="00B576E4" w:rsidRDefault="00903107" w:rsidP="00FF2ADA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B576E4">
        <w:rPr>
          <w:rFonts w:cs="Arial"/>
          <w:bCs/>
          <w:szCs w:val="20"/>
          <w:lang w:val="sl-SI"/>
        </w:rPr>
        <w:lastRenderedPageBreak/>
        <w:t>II.</w:t>
      </w:r>
    </w:p>
    <w:p w:rsidR="00903107" w:rsidRPr="00B576E4" w:rsidRDefault="00903107" w:rsidP="00FF2ADA">
      <w:pPr>
        <w:spacing w:before="20" w:after="20"/>
        <w:jc w:val="center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PREDLOG</w:t>
      </w:r>
    </w:p>
    <w:p w:rsidR="00903107" w:rsidRPr="00B576E4" w:rsidRDefault="00903107" w:rsidP="00FF2ADA">
      <w:pPr>
        <w:spacing w:before="20" w:after="20"/>
        <w:jc w:val="center"/>
        <w:rPr>
          <w:rFonts w:cs="Arial"/>
          <w:b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center"/>
        <w:rPr>
          <w:rFonts w:cs="Arial"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STALIŠČE RS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Na podlagi 21. člena Zakona o Vladi Republike Slovenije (Uradni list RS, št. 24/05 – uradno prečiščeno besedilo, 109/08, 38/10 – ZUKN, 8/12, 21/13, 47/13 – ZDU-1G, 65/14 in 55/17) je Vlada Republike Slovenije sprejela naslednji sklep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t>A)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Cs/>
          <w:szCs w:val="20"/>
          <w:lang w:val="sl-SI"/>
        </w:rPr>
        <w:t>Republika Slovenija je sprejela (določila predlog)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b/>
          <w:i/>
          <w:szCs w:val="20"/>
          <w:lang w:val="sl-SI"/>
        </w:rPr>
        <w:t>Stališče Republike Slovenije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Vlada Republike Slovenije je sprejela na podlagi 49.h člena Poslovnika Vlade Republike Slovenije stališče Republike Slovenije k zadevi Predlog uredbe Sveta o dodelitvi ribolovnih možnosti v skladu s Protokolom o izvajanju (2021–2026) Sporazuma o partnerstvu v ribiškem sektorju med Gabonsko republiko in Evropsko skupnostjo - 8738/21, ki se glasi: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Republika Slovenija podpira Predlog uredbe Sveta o dodelitvi ribolovnih možnosti v skladu s Protokolom o izvajanju (2021–2026) Sporazuma o partnerstvu v ribiškem sektorju med Gabonsko republiko in Evropsko skupnostjo.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Predlog ne zadeva slovenskega ribištva, ker slovenski morski gospodarski ribiči izvajajo ribolov le v severnem Jadranu.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t>B)</w:t>
      </w:r>
      <w:r w:rsidRPr="00B576E4">
        <w:rPr>
          <w:rFonts w:cs="Arial"/>
          <w:i/>
          <w:iCs/>
          <w:szCs w:val="20"/>
          <w:lang w:val="sl-SI"/>
        </w:rPr>
        <w:t xml:space="preserve"> (</w:t>
      </w:r>
      <w:r w:rsidRPr="00B576E4">
        <w:rPr>
          <w:rFonts w:cs="Arial"/>
          <w:b/>
          <w:i/>
          <w:iCs/>
          <w:szCs w:val="20"/>
          <w:lang w:val="sl-SI"/>
        </w:rPr>
        <w:t>Za zakonodajne akte in odločitve politične narave)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t>POGLAVITNE REŠITVE IN CILJI PREDLOGA ZADEVE EU</w:t>
      </w:r>
      <w:r w:rsidRPr="00B576E4">
        <w:rPr>
          <w:rFonts w:cs="Arial"/>
          <w:iCs/>
          <w:szCs w:val="20"/>
          <w:lang w:val="sl-SI"/>
        </w:rPr>
        <w:t>:</w:t>
      </w:r>
      <w:r w:rsidRPr="00B576E4">
        <w:rPr>
          <w:rFonts w:cs="Arial"/>
          <w:b/>
          <w:i/>
          <w:iCs/>
          <w:color w:val="0070C0"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S tem predlogom uredbe se določi razdelitev ribolovnih možnosti, ki izhajajo iz novega sporazuma o partnerstvu v ribiškem sektorju med Gabonsko republiko in Evropsko skupnostjo in njegovega protokola o izvajanju.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 xml:space="preserve">Ta postopek se začenja vzporedno s postopkoma v zvezi s sklepom Sveta o podpisu v imenu Unije in začasni uporabi Protokola o izvajanju Sporazuma o partnerstvu v ribiškem sektorju med Gabonsko republiko in Evropsko skupnostjo ter sklepom Sveta o njegovi sklenitvi.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Komisija je na podlagi ustreznih pogajalskih smernic  opravila pogajanja z Vlado Gabonske republike za sklenitev novega protokola v imenu Evropske unije o izvajanju Sporazuma za obdobje 2021–2026. Pogajalci so po koncu pogajanj 10. februarja 2021 parafirali Protokol. Novi protokol zajema obdobje petih let od datuma začetka začasne uporabe, ki je določen v členu 24, tj. od datuma, na katerega ga pogodbenici podpišeta.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Novi protokol določa ribolovne možnosti za naslednje kategorije: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 xml:space="preserve">– 27 plovil za ribolov tuna z zaporno </w:t>
      </w:r>
      <w:proofErr w:type="spellStart"/>
      <w:r w:rsidRPr="00B576E4">
        <w:rPr>
          <w:rFonts w:cs="Arial"/>
          <w:i/>
          <w:iCs/>
          <w:szCs w:val="20"/>
          <w:lang w:val="sl-SI"/>
        </w:rPr>
        <w:t>plavarico</w:t>
      </w:r>
      <w:proofErr w:type="spellEnd"/>
      <w:r w:rsidRPr="00B576E4">
        <w:rPr>
          <w:rFonts w:cs="Arial"/>
          <w:i/>
          <w:iCs/>
          <w:szCs w:val="20"/>
          <w:lang w:val="sl-SI"/>
        </w:rPr>
        <w:t>;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– 6 plovil za ribolov tuna z ribiško palico;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 xml:space="preserve">– pomožna plovila v skladu z ustreznimi resolucijami komisije ICCAT in omejitvami iz gabonske zakonodaje;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–  4 plovila z vlečnimi mrežami za morebitni ribolov globokomorskih rakov, kar je treba še odobriti glede na rezultate raziskovalnega ribolova.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t>Ribolovne možnosti iz Protokola se dodelijo državam članicam za celotno obdobje uporabe Protokola.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B576E4">
        <w:rPr>
          <w:rFonts w:cs="Arial"/>
          <w:i/>
          <w:iCs/>
          <w:szCs w:val="20"/>
          <w:lang w:val="sl-SI"/>
        </w:rPr>
        <w:lastRenderedPageBreak/>
        <w:t>Ta uredba se začne uporabljati takoj, ko so na podlagi Protokola možne ribolovne dejavnosti, tj. od datuma začetka njegove začasne uporabe.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t>OCENA VPLIVOV IN POSLEDIC PREDLOGA ZADEVE EU</w:t>
      </w:r>
      <w:r w:rsidRPr="00B576E4">
        <w:rPr>
          <w:rFonts w:cs="Arial"/>
          <w:iCs/>
          <w:szCs w:val="20"/>
          <w:lang w:val="sl-SI"/>
        </w:rPr>
        <w:t xml:space="preserve">: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Vpliv na pravni red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Ni vpliva na pravni red.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Posledice za proračun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NI posledic za proračun RS in EU.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Vpliv na gospodarstvo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Ni vpliva na gospodarstvo.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Vpliv na javno upravo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Ni vpliva na javno upravo.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Vpliv na okolje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B576E4">
        <w:rPr>
          <w:rFonts w:cs="Arial"/>
          <w:i/>
          <w:szCs w:val="20"/>
          <w:lang w:val="sl-SI"/>
        </w:rPr>
        <w:t>Ni vpliva na okolje.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  <w:r w:rsidRPr="00B576E4">
        <w:rPr>
          <w:rFonts w:cs="Arial"/>
          <w:szCs w:val="20"/>
          <w:lang w:val="sl-SI"/>
        </w:rPr>
        <w:t>Drugo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  <w:r w:rsidRPr="00B576E4">
        <w:rPr>
          <w:rFonts w:cs="Arial"/>
          <w:b/>
          <w:bCs/>
          <w:i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B576E4">
        <w:rPr>
          <w:rFonts w:cs="Arial"/>
          <w:b/>
          <w:szCs w:val="20"/>
          <w:lang w:val="sl-SI"/>
        </w:rPr>
        <w:t>C)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B576E4">
        <w:rPr>
          <w:rFonts w:cs="Arial"/>
          <w:b/>
          <w:iCs/>
          <w:szCs w:val="20"/>
          <w:lang w:val="sl-SI"/>
        </w:rPr>
        <w:t>Predstavniki RS, ki bodo zastopali stališče RS v institucijah EU</w:t>
      </w:r>
      <w:r w:rsidRPr="00B576E4">
        <w:rPr>
          <w:rFonts w:cs="Arial"/>
          <w:iCs/>
          <w:szCs w:val="20"/>
          <w:lang w:val="sl-SI"/>
        </w:rPr>
        <w:t>:</w:t>
      </w:r>
      <w:r w:rsidRPr="00B576E4">
        <w:rPr>
          <w:rFonts w:cs="Arial"/>
          <w:b/>
          <w:iCs/>
          <w:szCs w:val="20"/>
          <w:lang w:val="sl-SI"/>
        </w:rPr>
        <w:t xml:space="preserve"> 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B576E4">
        <w:rPr>
          <w:rFonts w:cs="Arial"/>
          <w:b/>
          <w:i/>
          <w:iCs/>
          <w:szCs w:val="20"/>
          <w:lang w:val="sl-SI"/>
        </w:rPr>
        <w:t xml:space="preserve">dr. Jože Podgoršek, minister, mag. Aleš Irgolič, državni sekretar, Anton </w:t>
      </w:r>
      <w:proofErr w:type="spellStart"/>
      <w:r w:rsidRPr="00B576E4">
        <w:rPr>
          <w:rFonts w:cs="Arial"/>
          <w:b/>
          <w:i/>
          <w:iCs/>
          <w:szCs w:val="20"/>
          <w:lang w:val="sl-SI"/>
        </w:rPr>
        <w:t>Harej</w:t>
      </w:r>
      <w:proofErr w:type="spellEnd"/>
      <w:r w:rsidRPr="00B576E4">
        <w:rPr>
          <w:rFonts w:cs="Arial"/>
          <w:b/>
          <w:i/>
          <w:iCs/>
          <w:szCs w:val="20"/>
          <w:lang w:val="sl-SI"/>
        </w:rPr>
        <w:t xml:space="preserve">, državni sekretar, dr. Polona </w:t>
      </w:r>
      <w:proofErr w:type="spellStart"/>
      <w:r w:rsidRPr="00B576E4">
        <w:rPr>
          <w:rFonts w:cs="Arial"/>
          <w:b/>
          <w:i/>
          <w:iCs/>
          <w:szCs w:val="20"/>
          <w:lang w:val="sl-SI"/>
        </w:rPr>
        <w:t>Bunič</w:t>
      </w:r>
      <w:proofErr w:type="spellEnd"/>
      <w:r w:rsidRPr="00B576E4">
        <w:rPr>
          <w:rFonts w:cs="Arial"/>
          <w:b/>
          <w:i/>
          <w:iCs/>
          <w:szCs w:val="20"/>
          <w:lang w:val="sl-SI"/>
        </w:rPr>
        <w:t>, Sektor za ribištvo, MKGP; Leon Megušar, Uroš Zgonec, SPBR</w:t>
      </w:r>
    </w:p>
    <w:p w:rsidR="00903107" w:rsidRPr="00B576E4" w:rsidRDefault="00903107" w:rsidP="00FF2ADA">
      <w:pPr>
        <w:spacing w:before="20" w:after="20"/>
        <w:jc w:val="both"/>
        <w:rPr>
          <w:rFonts w:cs="Arial"/>
          <w:szCs w:val="20"/>
          <w:lang w:val="sl-SI"/>
        </w:rPr>
      </w:pPr>
    </w:p>
    <w:p w:rsidR="007D75CF" w:rsidRPr="00B576E4" w:rsidRDefault="007D75CF" w:rsidP="0024718A">
      <w:pPr>
        <w:rPr>
          <w:lang w:val="sl-SI"/>
        </w:rPr>
      </w:pPr>
    </w:p>
    <w:sectPr w:rsidR="007D75CF" w:rsidRPr="00B576E4" w:rsidSect="00431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9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45" w:rsidRDefault="007A5145">
      <w:r>
        <w:separator/>
      </w:r>
    </w:p>
  </w:endnote>
  <w:endnote w:type="continuationSeparator" w:id="0">
    <w:p w:rsidR="007A5145" w:rsidRDefault="007A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48C41EE9-0C7F-4BBB-93CE-14615DF4FE13}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  <w:embedBold r:id="rId2" w:subsetted="1" w:fontKey="{C5258AA5-12EA-4B6F-A9B8-985189FE0E5B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07" w:rsidRDefault="009031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07" w:rsidRDefault="0090310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07" w:rsidRDefault="009031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45" w:rsidRDefault="007A5145">
      <w:r>
        <w:separator/>
      </w:r>
    </w:p>
  </w:footnote>
  <w:footnote w:type="continuationSeparator" w:id="0">
    <w:p w:rsidR="007A5145" w:rsidRDefault="007A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07" w:rsidRDefault="009031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71" w:rsidRPr="00110CBD" w:rsidRDefault="00DC6A7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08"/>
    </w:tblGrid>
    <w:tr w:rsidR="00DC6A71" w:rsidRPr="008F3500">
      <w:trPr>
        <w:cantSplit/>
        <w:trHeight w:hRule="exact" w:val="847"/>
      </w:trPr>
      <w:tc>
        <w:tcPr>
          <w:tcW w:w="567" w:type="dxa"/>
        </w:tcPr>
        <w:p w:rsidR="00530285" w:rsidRPr="00963ADE" w:rsidRDefault="006116F8" w:rsidP="00530285">
          <w:pPr>
            <w:autoSpaceDE w:val="0"/>
            <w:autoSpaceDN w:val="0"/>
            <w:adjustRightInd w:val="0"/>
            <w:spacing w:before="100" w:line="240" w:lineRule="auto"/>
            <w:rPr>
              <w:rFonts w:ascii="Republika" w:hAnsi="Republika"/>
              <w:sz w:val="18"/>
              <w:szCs w:val="60"/>
              <w:lang w:val="sl-SI"/>
            </w:rPr>
          </w:pPr>
          <w:r w:rsidRPr="00963ADE">
            <w:rPr>
              <w:noProof/>
              <w:lang w:val="sl-SI" w:eastAsia="sl-SI"/>
            </w:rPr>
            <w:drawing>
              <wp:inline distT="0" distB="0" distL="0" distR="0">
                <wp:extent cx="248920" cy="299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2D9" w:rsidRPr="006D42D9" w:rsidRDefault="006D42D9" w:rsidP="0024718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C6A71" w:rsidRPr="006D42D9" w:rsidRDefault="00DC6A7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C6A71" w:rsidRPr="008F3500" w:rsidRDefault="006116F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3F0FC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Pp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Gx4xZmFgUa01Vax&#10;RXJmdKGmhI3d+aRNTPbZbVH8DMzipgfbqczw5eSobJ4qit9K0iE4wt+PX1FSDhwiZpum1g8Jkgxg&#10;U57G6TYNNUUm6LJaVOVywZm4hgqor3XOh/hF4cDSpuGGKGdcOG5DTDygvqakNhaftDF51sayseF3&#10;HxdlLghotEzBlBZ8t98Yz45Ar+VTdV8tl1kURd6meTxYmcF6BfLzZR9Bm/Oemht78SLJPxu5R3na&#10;+atHNM7M8vL00nt5e87Vrx9k/Qs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Cqlk+n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DC6A71" w:rsidRPr="008F3500">
      <w:rPr>
        <w:rFonts w:ascii="Republika" w:hAnsi="Republika"/>
        <w:lang w:val="sl-SI"/>
      </w:rPr>
      <w:t>REPUBLIKA SLOVENIJA</w:t>
    </w:r>
  </w:p>
  <w:p w:rsidR="00567106" w:rsidRPr="006D3DFE" w:rsidRDefault="006D3DFE" w:rsidP="006D3DF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</w:t>
    </w:r>
    <w:r w:rsidR="00C5062F">
      <w:rPr>
        <w:rFonts w:ascii="Republika Bold" w:hAnsi="Republika Bold"/>
        <w:b/>
        <w:caps/>
        <w:lang w:val="sl-SI"/>
      </w:rPr>
      <w:t>KMETIJSTVO, GOZDARSTVO IN PREHRANO</w:t>
    </w:r>
  </w:p>
  <w:p w:rsidR="00DC6A71" w:rsidRPr="008F3500" w:rsidRDefault="00C5062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</w:t>
    </w:r>
    <w:r w:rsidR="000C407D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22</w:t>
    </w:r>
    <w:r w:rsidR="00DC6A71" w:rsidRPr="008F3500">
      <w:rPr>
        <w:rFonts w:cs="Arial"/>
        <w:sz w:val="16"/>
        <w:lang w:val="sl-SI"/>
      </w:rPr>
      <w:t xml:space="preserve">, </w:t>
    </w:r>
    <w:r w:rsidR="006D3DFE">
      <w:rPr>
        <w:rFonts w:cs="Arial"/>
        <w:sz w:val="16"/>
        <w:lang w:val="sl-SI"/>
      </w:rPr>
      <w:t>1000 Ljubljana</w:t>
    </w:r>
    <w:r w:rsidR="00DC6A7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01 478 9000</w:t>
    </w:r>
  </w:p>
  <w:p w:rsidR="00DC6A71" w:rsidRPr="008F3500" w:rsidRDefault="00DC6A7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D3DFE">
      <w:rPr>
        <w:rFonts w:cs="Arial"/>
        <w:sz w:val="16"/>
        <w:lang w:val="sl-SI"/>
      </w:rPr>
      <w:t xml:space="preserve">01 478 </w:t>
    </w:r>
    <w:r w:rsidR="000C407D">
      <w:rPr>
        <w:rFonts w:cs="Arial"/>
        <w:sz w:val="16"/>
        <w:lang w:val="sl-SI"/>
      </w:rPr>
      <w:t>9021</w:t>
    </w:r>
    <w:r w:rsidRPr="008F3500">
      <w:rPr>
        <w:rFonts w:cs="Arial"/>
        <w:sz w:val="16"/>
        <w:lang w:val="sl-SI"/>
      </w:rPr>
      <w:t xml:space="preserve"> 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B276A">
      <w:rPr>
        <w:rFonts w:cs="Arial"/>
        <w:sz w:val="16"/>
        <w:lang w:val="sl-SI"/>
      </w:rPr>
      <w:t>gp.mkgp</w:t>
    </w:r>
    <w:r w:rsidR="006D3DFE">
      <w:rPr>
        <w:rFonts w:cs="Arial"/>
        <w:sz w:val="16"/>
        <w:lang w:val="sl-SI"/>
      </w:rPr>
      <w:t>@gov.si</w:t>
    </w:r>
  </w:p>
  <w:p w:rsidR="00CE7514" w:rsidRPr="008F3500" w:rsidRDefault="00CE751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B276A">
      <w:rPr>
        <w:rFonts w:cs="Arial"/>
        <w:sz w:val="16"/>
        <w:lang w:val="sl-SI"/>
      </w:rPr>
      <w:t>www.mkgp</w:t>
    </w:r>
    <w:r w:rsidR="006D3DFE">
      <w:rPr>
        <w:rFonts w:cs="Arial"/>
        <w:sz w:val="16"/>
        <w:lang w:val="sl-SI"/>
      </w:rPr>
      <w:t>.gov.si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A7238"/>
    <w:rsid w:val="000C407D"/>
    <w:rsid w:val="000D2FE7"/>
    <w:rsid w:val="001357B2"/>
    <w:rsid w:val="00202A77"/>
    <w:rsid w:val="0024718A"/>
    <w:rsid w:val="00271CE5"/>
    <w:rsid w:val="00282020"/>
    <w:rsid w:val="003636BF"/>
    <w:rsid w:val="0037479F"/>
    <w:rsid w:val="003845B4"/>
    <w:rsid w:val="00387B1A"/>
    <w:rsid w:val="003E1C74"/>
    <w:rsid w:val="00431D47"/>
    <w:rsid w:val="004B276A"/>
    <w:rsid w:val="00526246"/>
    <w:rsid w:val="00530285"/>
    <w:rsid w:val="00567106"/>
    <w:rsid w:val="005806FB"/>
    <w:rsid w:val="005E1D3C"/>
    <w:rsid w:val="006051E1"/>
    <w:rsid w:val="006116F8"/>
    <w:rsid w:val="00632253"/>
    <w:rsid w:val="00642714"/>
    <w:rsid w:val="006455CE"/>
    <w:rsid w:val="006C491D"/>
    <w:rsid w:val="006D3DFE"/>
    <w:rsid w:val="006D42D9"/>
    <w:rsid w:val="006E0F07"/>
    <w:rsid w:val="00733017"/>
    <w:rsid w:val="00783310"/>
    <w:rsid w:val="007A4A6D"/>
    <w:rsid w:val="007A5145"/>
    <w:rsid w:val="007D1BCF"/>
    <w:rsid w:val="007D75CF"/>
    <w:rsid w:val="007E6DC5"/>
    <w:rsid w:val="00876443"/>
    <w:rsid w:val="0088043C"/>
    <w:rsid w:val="008906C9"/>
    <w:rsid w:val="008C5738"/>
    <w:rsid w:val="008D04F0"/>
    <w:rsid w:val="008F3500"/>
    <w:rsid w:val="00903107"/>
    <w:rsid w:val="00924E3C"/>
    <w:rsid w:val="009612BB"/>
    <w:rsid w:val="00A125C5"/>
    <w:rsid w:val="00A21E7F"/>
    <w:rsid w:val="00A35903"/>
    <w:rsid w:val="00A5039D"/>
    <w:rsid w:val="00A65EE7"/>
    <w:rsid w:val="00A70133"/>
    <w:rsid w:val="00B17141"/>
    <w:rsid w:val="00B31575"/>
    <w:rsid w:val="00B576E4"/>
    <w:rsid w:val="00B8547D"/>
    <w:rsid w:val="00B866EE"/>
    <w:rsid w:val="00C250D5"/>
    <w:rsid w:val="00C5062F"/>
    <w:rsid w:val="00C92898"/>
    <w:rsid w:val="00CE7514"/>
    <w:rsid w:val="00D04605"/>
    <w:rsid w:val="00D248DE"/>
    <w:rsid w:val="00D8542D"/>
    <w:rsid w:val="00DB6F30"/>
    <w:rsid w:val="00DC6A71"/>
    <w:rsid w:val="00DE5B46"/>
    <w:rsid w:val="00E0357D"/>
    <w:rsid w:val="00E24EC2"/>
    <w:rsid w:val="00F240BB"/>
    <w:rsid w:val="00F46724"/>
    <w:rsid w:val="00F57FED"/>
    <w:rsid w:val="00FF2ADA"/>
    <w:rsid w:val="00FF3D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B149A4D-E494-4869-BA6B-09CEE04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Helena Gašperlin Pertovt</cp:lastModifiedBy>
  <cp:revision>6</cp:revision>
  <cp:lastPrinted>2010-07-05T09:38:00Z</cp:lastPrinted>
  <dcterms:created xsi:type="dcterms:W3CDTF">2021-06-03T12:10:00Z</dcterms:created>
  <dcterms:modified xsi:type="dcterms:W3CDTF">2021-06-07T05:08:00Z</dcterms:modified>
</cp:coreProperties>
</file>