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9526" w14:textId="77777777" w:rsidR="00F021A5" w:rsidRDefault="00F021A5" w:rsidP="00F021A5">
      <w:pPr>
        <w:pStyle w:val="Priloga"/>
      </w:pPr>
    </w:p>
    <w:p w14:paraId="009B7BB8" w14:textId="77777777" w:rsidR="00F021A5" w:rsidRPr="00EB0539" w:rsidRDefault="00F021A5" w:rsidP="00F021A5">
      <w:pPr>
        <w:pStyle w:val="Priloga"/>
      </w:pPr>
      <w:r>
        <w:t>P</w:t>
      </w:r>
      <w:r w:rsidRPr="00EB0539">
        <w:t>riloga 1</w:t>
      </w:r>
    </w:p>
    <w:p w14:paraId="67E5FC10" w14:textId="77777777" w:rsidR="00F021A5" w:rsidRPr="00EB0539" w:rsidRDefault="00F021A5" w:rsidP="00F021A5">
      <w:pPr>
        <w:jc w:val="both"/>
        <w:rPr>
          <w:rFonts w:cs="Arial"/>
          <w:b/>
          <w:szCs w:val="20"/>
        </w:rPr>
      </w:pPr>
    </w:p>
    <w:p w14:paraId="7D03D0D2" w14:textId="77777777" w:rsidR="00F021A5" w:rsidRPr="00EB0539" w:rsidRDefault="00F021A5" w:rsidP="00F021A5">
      <w:pPr>
        <w:jc w:val="both"/>
        <w:rPr>
          <w:rFonts w:cs="Arial"/>
          <w:b/>
          <w:szCs w:val="20"/>
        </w:rPr>
      </w:pPr>
    </w:p>
    <w:p w14:paraId="166EF9E2" w14:textId="77777777" w:rsidR="00F021A5" w:rsidRPr="00EB0539" w:rsidRDefault="00F021A5" w:rsidP="00F021A5">
      <w:pPr>
        <w:jc w:val="center"/>
        <w:rPr>
          <w:rFonts w:cs="Arial"/>
          <w:b/>
          <w:szCs w:val="20"/>
        </w:rPr>
      </w:pPr>
      <w:r w:rsidRPr="00EB0539">
        <w:rPr>
          <w:rFonts w:cs="Arial"/>
          <w:b/>
          <w:szCs w:val="20"/>
        </w:rPr>
        <w:t>OSNUTEK PRORAČUNSKEGA MEMORANDUMA 2022 - 2023</w:t>
      </w:r>
    </w:p>
    <w:p w14:paraId="3A7514AA" w14:textId="77777777" w:rsidR="00F021A5" w:rsidRPr="00EB0539" w:rsidRDefault="00F021A5" w:rsidP="00F021A5">
      <w:pPr>
        <w:jc w:val="both"/>
        <w:rPr>
          <w:rFonts w:cs="Arial"/>
          <w:b/>
          <w:szCs w:val="20"/>
        </w:rPr>
      </w:pPr>
    </w:p>
    <w:p w14:paraId="38A69520" w14:textId="77777777" w:rsidR="00F021A5" w:rsidRPr="00EB0539" w:rsidRDefault="00F021A5" w:rsidP="00F021A5">
      <w:pPr>
        <w:jc w:val="both"/>
        <w:rPr>
          <w:rFonts w:cs="Arial"/>
          <w:szCs w:val="20"/>
          <w:lang w:bidi="en-US"/>
        </w:rPr>
      </w:pPr>
    </w:p>
    <w:p w14:paraId="69B3BE85" w14:textId="77777777" w:rsidR="00F021A5" w:rsidRPr="00EB0539" w:rsidRDefault="00F021A5" w:rsidP="00F021A5">
      <w:pPr>
        <w:numPr>
          <w:ilvl w:val="0"/>
          <w:numId w:val="39"/>
        </w:numPr>
        <w:jc w:val="both"/>
        <w:rPr>
          <w:b/>
          <w:bCs/>
        </w:rPr>
      </w:pPr>
      <w:r w:rsidRPr="00EB0539">
        <w:rPr>
          <w:b/>
          <w:bCs/>
        </w:rPr>
        <w:t>USMERITVE IN CILJI EKONOMSKE IN PRORAČUNSKE POLITIKE</w:t>
      </w:r>
    </w:p>
    <w:p w14:paraId="2FA0E29D" w14:textId="77777777" w:rsidR="00F021A5" w:rsidRPr="00EB0539" w:rsidRDefault="00F021A5" w:rsidP="00F021A5">
      <w:pPr>
        <w:jc w:val="both"/>
        <w:rPr>
          <w:b/>
          <w:bCs/>
        </w:rPr>
      </w:pPr>
    </w:p>
    <w:p w14:paraId="4A2262E6" w14:textId="77777777" w:rsidR="00F021A5" w:rsidRDefault="00F021A5" w:rsidP="00F021A5">
      <w:pPr>
        <w:tabs>
          <w:tab w:val="left" w:pos="4536"/>
        </w:tabs>
        <w:suppressAutoHyphens/>
        <w:jc w:val="both"/>
        <w:rPr>
          <w:rFonts w:cs="Arial"/>
          <w:bCs/>
          <w:color w:val="000000"/>
          <w:szCs w:val="20"/>
        </w:rPr>
      </w:pPr>
      <w:r>
        <w:rPr>
          <w:rFonts w:cs="Arial"/>
          <w:bCs/>
          <w:color w:val="000000"/>
          <w:szCs w:val="20"/>
        </w:rPr>
        <w:t>Za</w:t>
      </w:r>
      <w:r w:rsidRPr="00D1192B">
        <w:rPr>
          <w:rFonts w:cs="Arial"/>
          <w:bCs/>
          <w:color w:val="000000"/>
          <w:szCs w:val="20"/>
        </w:rPr>
        <w:t xml:space="preserve"> leti 2022 in 2023</w:t>
      </w:r>
      <w:r>
        <w:rPr>
          <w:rFonts w:cs="Arial"/>
          <w:bCs/>
          <w:color w:val="000000"/>
          <w:szCs w:val="20"/>
        </w:rPr>
        <w:t xml:space="preserve"> </w:t>
      </w:r>
      <w:r w:rsidRPr="00D1192B">
        <w:rPr>
          <w:rFonts w:cs="Arial"/>
          <w:bCs/>
          <w:color w:val="000000"/>
          <w:szCs w:val="20"/>
        </w:rPr>
        <w:t xml:space="preserve">mora </w:t>
      </w:r>
      <w:r>
        <w:rPr>
          <w:rFonts w:cs="Arial"/>
          <w:bCs/>
          <w:color w:val="000000"/>
          <w:szCs w:val="20"/>
        </w:rPr>
        <w:t>V</w:t>
      </w:r>
      <w:r w:rsidRPr="00D1192B">
        <w:rPr>
          <w:rFonts w:cs="Arial"/>
          <w:bCs/>
          <w:color w:val="000000"/>
          <w:szCs w:val="20"/>
        </w:rPr>
        <w:t>lada</w:t>
      </w:r>
      <w:r>
        <w:rPr>
          <w:rFonts w:cs="Arial"/>
          <w:bCs/>
          <w:color w:val="000000"/>
          <w:szCs w:val="20"/>
        </w:rPr>
        <w:t xml:space="preserve"> Republike Slovenije (v nadaljnjem besedilu: vlada)</w:t>
      </w:r>
      <w:r w:rsidRPr="00D1192B">
        <w:rPr>
          <w:rFonts w:cs="Arial"/>
          <w:bCs/>
          <w:color w:val="000000"/>
          <w:szCs w:val="20"/>
        </w:rPr>
        <w:t xml:space="preserve"> na podlagi </w:t>
      </w:r>
      <w:r>
        <w:rPr>
          <w:rFonts w:cs="Arial"/>
          <w:bCs/>
          <w:color w:val="000000"/>
          <w:szCs w:val="20"/>
        </w:rPr>
        <w:t>prvega odstavka 28. člena Z</w:t>
      </w:r>
      <w:r w:rsidRPr="00D1192B">
        <w:rPr>
          <w:rFonts w:cs="Arial"/>
          <w:bCs/>
          <w:color w:val="000000"/>
          <w:szCs w:val="20"/>
        </w:rPr>
        <w:t xml:space="preserve">akona o javnih </w:t>
      </w:r>
      <w:r w:rsidRPr="00F014C9">
        <w:rPr>
          <w:rFonts w:cs="Arial"/>
          <w:bCs/>
          <w:color w:val="000000"/>
          <w:szCs w:val="20"/>
        </w:rPr>
        <w:t>financah</w:t>
      </w:r>
      <w:r>
        <w:rPr>
          <w:rFonts w:cs="Arial"/>
          <w:bCs/>
          <w:color w:val="000000"/>
          <w:szCs w:val="20"/>
        </w:rPr>
        <w:t xml:space="preserve"> </w:t>
      </w:r>
      <w:r w:rsidRPr="0082702D">
        <w:rPr>
          <w:rFonts w:cs="Arial"/>
          <w:bCs/>
          <w:color w:val="000000"/>
          <w:szCs w:val="20"/>
        </w:rPr>
        <w:t xml:space="preserve">(Uradni list RS, št. 11/11 – uradno prečiščeno besedilo, 14/13 – </w:t>
      </w:r>
      <w:proofErr w:type="spellStart"/>
      <w:r w:rsidRPr="0082702D">
        <w:rPr>
          <w:rFonts w:cs="Arial"/>
          <w:bCs/>
          <w:color w:val="000000"/>
          <w:szCs w:val="20"/>
        </w:rPr>
        <w:t>popr</w:t>
      </w:r>
      <w:proofErr w:type="spellEnd"/>
      <w:r w:rsidRPr="0082702D">
        <w:rPr>
          <w:rFonts w:cs="Arial"/>
          <w:bCs/>
          <w:color w:val="000000"/>
          <w:szCs w:val="20"/>
        </w:rPr>
        <w:t xml:space="preserve">., 101/13, 55/15 – </w:t>
      </w:r>
      <w:proofErr w:type="spellStart"/>
      <w:r w:rsidRPr="0082702D">
        <w:rPr>
          <w:rFonts w:cs="Arial"/>
          <w:bCs/>
          <w:color w:val="000000"/>
          <w:szCs w:val="20"/>
        </w:rPr>
        <w:t>ZFisP</w:t>
      </w:r>
      <w:proofErr w:type="spellEnd"/>
      <w:r w:rsidRPr="0082702D">
        <w:rPr>
          <w:rFonts w:cs="Arial"/>
          <w:bCs/>
          <w:color w:val="000000"/>
          <w:szCs w:val="20"/>
        </w:rPr>
        <w:t xml:space="preserve">, 96/15 – ZIPRS1617, 13/18 in 195/20 – </w:t>
      </w:r>
      <w:proofErr w:type="spellStart"/>
      <w:r w:rsidRPr="0082702D">
        <w:rPr>
          <w:rFonts w:cs="Arial"/>
          <w:bCs/>
          <w:color w:val="000000"/>
          <w:szCs w:val="20"/>
        </w:rPr>
        <w:t>odl</w:t>
      </w:r>
      <w:proofErr w:type="spellEnd"/>
      <w:r w:rsidRPr="0082702D">
        <w:rPr>
          <w:rFonts w:cs="Arial"/>
          <w:bCs/>
          <w:color w:val="000000"/>
          <w:szCs w:val="20"/>
        </w:rPr>
        <w:t xml:space="preserve">. US) </w:t>
      </w:r>
      <w:r w:rsidRPr="00F014C9">
        <w:rPr>
          <w:rFonts w:cs="Arial"/>
          <w:bCs/>
          <w:color w:val="000000"/>
          <w:szCs w:val="20"/>
        </w:rPr>
        <w:t xml:space="preserve"> najkasneje do 1. oktobra 2021</w:t>
      </w:r>
      <w:r>
        <w:rPr>
          <w:rFonts w:cs="Arial"/>
          <w:bCs/>
          <w:color w:val="000000"/>
          <w:szCs w:val="20"/>
        </w:rPr>
        <w:t xml:space="preserve"> </w:t>
      </w:r>
      <w:r w:rsidRPr="00D1192B">
        <w:rPr>
          <w:rFonts w:cs="Arial"/>
          <w:bCs/>
          <w:color w:val="000000"/>
          <w:szCs w:val="20"/>
        </w:rPr>
        <w:t xml:space="preserve">predložiti </w:t>
      </w:r>
      <w:r>
        <w:rPr>
          <w:rFonts w:cs="Arial"/>
          <w:bCs/>
          <w:color w:val="000000"/>
          <w:szCs w:val="20"/>
        </w:rPr>
        <w:t>D</w:t>
      </w:r>
      <w:r w:rsidRPr="00D1192B">
        <w:rPr>
          <w:rFonts w:cs="Arial"/>
          <w:bCs/>
          <w:color w:val="000000"/>
          <w:szCs w:val="20"/>
        </w:rPr>
        <w:t>ržavnemu zboru</w:t>
      </w:r>
      <w:r>
        <w:rPr>
          <w:rFonts w:cs="Arial"/>
          <w:bCs/>
          <w:color w:val="000000"/>
          <w:szCs w:val="20"/>
        </w:rPr>
        <w:t xml:space="preserve"> Republike Slovenije (v nadaljnjem besedilu: Državni zbor)</w:t>
      </w:r>
      <w:r w:rsidRPr="00D1192B">
        <w:rPr>
          <w:rFonts w:cs="Arial"/>
          <w:bCs/>
          <w:color w:val="000000"/>
          <w:szCs w:val="20"/>
        </w:rPr>
        <w:t xml:space="preserve"> predlog sprememb proračuna za naslednje proračunsko leto in predlog proračuna za leto, ki temu sledi</w:t>
      </w:r>
      <w:r>
        <w:rPr>
          <w:rFonts w:cs="Arial"/>
          <w:bCs/>
          <w:color w:val="000000"/>
          <w:szCs w:val="20"/>
        </w:rPr>
        <w:t xml:space="preserve">. </w:t>
      </w:r>
    </w:p>
    <w:p w14:paraId="2438DE6F" w14:textId="77777777" w:rsidR="00F021A5" w:rsidRDefault="00F021A5" w:rsidP="00F021A5">
      <w:pPr>
        <w:tabs>
          <w:tab w:val="left" w:pos="4536"/>
        </w:tabs>
        <w:suppressAutoHyphens/>
        <w:jc w:val="both"/>
        <w:rPr>
          <w:rFonts w:cs="Arial"/>
          <w:bCs/>
          <w:color w:val="000000"/>
          <w:szCs w:val="20"/>
        </w:rPr>
      </w:pPr>
    </w:p>
    <w:p w14:paraId="34BA09BD" w14:textId="77777777" w:rsidR="00F021A5" w:rsidRDefault="00F021A5" w:rsidP="00F021A5">
      <w:pPr>
        <w:tabs>
          <w:tab w:val="left" w:pos="4536"/>
        </w:tabs>
        <w:suppressAutoHyphens/>
        <w:jc w:val="both"/>
        <w:rPr>
          <w:rFonts w:cs="Arial"/>
          <w:bCs/>
          <w:color w:val="000000"/>
          <w:szCs w:val="20"/>
        </w:rPr>
      </w:pPr>
      <w:r w:rsidRPr="000D00C8">
        <w:rPr>
          <w:rFonts w:cs="Arial"/>
          <w:bCs/>
          <w:color w:val="000000"/>
          <w:szCs w:val="20"/>
        </w:rPr>
        <w:t>Državni zbor je 23. aprila 2021 sprejel Odlok o okviru za pripravo proračunov sektorja država za obdobje od 2022 do 2024 (OdPSD22–24)</w:t>
      </w:r>
      <w:r>
        <w:rPr>
          <w:rFonts w:cs="Arial"/>
          <w:bCs/>
          <w:color w:val="000000"/>
          <w:szCs w:val="20"/>
        </w:rPr>
        <w:t xml:space="preserve"> (Uradni list RS št. 65/21, v nadaljnjem besedilu: Odlok). </w:t>
      </w:r>
      <w:r w:rsidRPr="002C7634">
        <w:rPr>
          <w:rFonts w:cs="Arial"/>
          <w:bCs/>
          <w:color w:val="000000"/>
          <w:szCs w:val="20"/>
        </w:rPr>
        <w:t xml:space="preserve">Izračuni oziroma fiskalne projekcije, ki izhajajo iz </w:t>
      </w:r>
      <w:r>
        <w:rPr>
          <w:rFonts w:cs="Arial"/>
          <w:bCs/>
          <w:color w:val="000000"/>
          <w:szCs w:val="20"/>
        </w:rPr>
        <w:t xml:space="preserve">tega Odloka, </w:t>
      </w:r>
      <w:r w:rsidRPr="002C7634">
        <w:rPr>
          <w:rFonts w:cs="Arial"/>
          <w:bCs/>
          <w:color w:val="000000"/>
          <w:szCs w:val="20"/>
        </w:rPr>
        <w:t xml:space="preserve">so </w:t>
      </w:r>
      <w:r>
        <w:rPr>
          <w:rFonts w:cs="Arial"/>
          <w:bCs/>
          <w:color w:val="000000"/>
          <w:szCs w:val="20"/>
        </w:rPr>
        <w:t xml:space="preserve">bili </w:t>
      </w:r>
      <w:r w:rsidRPr="002C7634">
        <w:rPr>
          <w:rFonts w:cs="Arial"/>
          <w:bCs/>
          <w:color w:val="000000"/>
          <w:szCs w:val="20"/>
        </w:rPr>
        <w:t>pripravljeni na podlagi Poročila o primanjkljaju in dolgu za leto 2020, ki je bilo objavljeno s strani Statističnega urada Republike Slovenije 31. 3. 2021, in na podlagi pomladanske napovedi Urada za makroekonomske analize in razvoj, ki je bila objavljena 24. 3. 2021</w:t>
      </w:r>
      <w:r>
        <w:rPr>
          <w:rFonts w:cs="Arial"/>
          <w:bCs/>
          <w:color w:val="000000"/>
          <w:szCs w:val="20"/>
        </w:rPr>
        <w:t>.</w:t>
      </w:r>
    </w:p>
    <w:p w14:paraId="60146117" w14:textId="77777777" w:rsidR="00F021A5" w:rsidRDefault="00F021A5" w:rsidP="00F021A5">
      <w:pPr>
        <w:tabs>
          <w:tab w:val="left" w:pos="4536"/>
        </w:tabs>
        <w:suppressAutoHyphens/>
        <w:jc w:val="both"/>
        <w:rPr>
          <w:rFonts w:cs="Arial"/>
          <w:bCs/>
          <w:color w:val="000000"/>
          <w:szCs w:val="20"/>
        </w:rPr>
      </w:pPr>
    </w:p>
    <w:p w14:paraId="08DD897F" w14:textId="77777777" w:rsidR="00F021A5" w:rsidRPr="009F04E4" w:rsidRDefault="00F021A5" w:rsidP="00F021A5">
      <w:pPr>
        <w:jc w:val="both"/>
        <w:rPr>
          <w:lang w:eastAsia="sl-SI"/>
        </w:rPr>
      </w:pPr>
      <w:r w:rsidRPr="009F04E4">
        <w:rPr>
          <w:lang w:eastAsia="sl-SI"/>
        </w:rPr>
        <w:t>Ob upoštevanju zgornje meje skupnih odhodkov, ki jih določa Odlok, se v</w:t>
      </w:r>
      <w:r w:rsidRPr="009F04E4">
        <w:t xml:space="preserve"> </w:t>
      </w:r>
      <w:r w:rsidRPr="009F04E4">
        <w:rPr>
          <w:lang w:eastAsia="sl-SI"/>
        </w:rPr>
        <w:t>predlogu sprememb državnega proračuna za leto 2022</w:t>
      </w:r>
      <w:r>
        <w:rPr>
          <w:lang w:eastAsia="sl-SI"/>
        </w:rPr>
        <w:t>,</w:t>
      </w:r>
      <w:r w:rsidRPr="009F04E4">
        <w:rPr>
          <w:lang w:eastAsia="sl-SI"/>
        </w:rPr>
        <w:t xml:space="preserve"> v okviru bilance prihodkov in odhodov</w:t>
      </w:r>
      <w:r>
        <w:rPr>
          <w:lang w:eastAsia="sl-SI"/>
        </w:rPr>
        <w:t>,</w:t>
      </w:r>
      <w:r w:rsidRPr="009F04E4">
        <w:rPr>
          <w:lang w:eastAsia="sl-SI"/>
        </w:rPr>
        <w:t xml:space="preserve"> lahko med proračunske uporabnike razporedi do 13.300 milijonov evrov pravic porabe, v predlogu državnega proračuna za leto 2023 pa do 13.060 milijonov evrov. Navedeno pomeni, da so odhodki lahko višji za 462 milijonov evrov, od že sprejetega proračuna za leto 2022, ki ga je </w:t>
      </w:r>
      <w:r>
        <w:rPr>
          <w:lang w:eastAsia="sl-SI"/>
        </w:rPr>
        <w:t>D</w:t>
      </w:r>
      <w:r w:rsidRPr="009F04E4">
        <w:rPr>
          <w:lang w:eastAsia="sl-SI"/>
        </w:rPr>
        <w:t>ržavni zbor sprejel 18. novembra 2020.  Ob predvidenih prihodkih državnega proračuna je zastavljen cilj, da se postopno znižuje</w:t>
      </w:r>
      <w:r w:rsidRPr="009F04E4">
        <w:rPr>
          <w:b/>
          <w:bCs/>
          <w:lang w:eastAsia="sl-SI"/>
        </w:rPr>
        <w:t xml:space="preserve"> primanjkljaj državnega proračuna na 4,9% BDP v letu 2022 in na 3,6% BDP v letu 2023.</w:t>
      </w:r>
      <w:r w:rsidRPr="009F04E4">
        <w:rPr>
          <w:lang w:eastAsia="sl-SI"/>
        </w:rPr>
        <w:t xml:space="preserve"> S tem bi se po obdobju epidemije, v katerem veljajo izjemne okoliščine za odstop od fiskalnih pravil, zastavila pot za postopno uravnoteženje državnega proračuna. </w:t>
      </w:r>
    </w:p>
    <w:p w14:paraId="35F09452" w14:textId="77777777" w:rsidR="00F021A5" w:rsidRPr="009F04E4" w:rsidRDefault="00F021A5" w:rsidP="00F021A5">
      <w:pPr>
        <w:jc w:val="both"/>
        <w:rPr>
          <w:lang w:eastAsia="sl-SI"/>
        </w:rPr>
      </w:pPr>
    </w:p>
    <w:p w14:paraId="6976D6B1" w14:textId="77777777" w:rsidR="00F021A5" w:rsidRDefault="00F021A5" w:rsidP="00F021A5">
      <w:pPr>
        <w:jc w:val="both"/>
        <w:rPr>
          <w:lang w:eastAsia="sl-SI"/>
        </w:rPr>
      </w:pPr>
      <w:r>
        <w:rPr>
          <w:lang w:eastAsia="sl-SI"/>
        </w:rPr>
        <w:t xml:space="preserve">V skladu z navedenim v prejšnjem odstavku je zastavljen tudi začetek postopka za  pripravo spremembe državnega proračuna za leto 2022 in za pripravo proračuna države za leto 2023. Pri tem ne more biti dvoma, da priprava obeh navedenih proračunov poteka v negotovih razmerah  povezanih z obvladovanjem epidemije in okrevanjem gospodarstva ter posledično s spremenljivimi makroekonomskimi okoliščinami. Splet ekonomskih in proračunskih politik bo tako osredotočen na postopno </w:t>
      </w:r>
      <w:r w:rsidRPr="00193567">
        <w:rPr>
          <w:b/>
          <w:bCs/>
          <w:lang w:eastAsia="sl-SI"/>
        </w:rPr>
        <w:t>umikanje začasnih ukrepov</w:t>
      </w:r>
      <w:r>
        <w:rPr>
          <w:lang w:eastAsia="sl-SI"/>
        </w:rPr>
        <w:t xml:space="preserve"> za obvladovanje posledic epidemije ter </w:t>
      </w:r>
      <w:r w:rsidRPr="00193567">
        <w:rPr>
          <w:b/>
          <w:bCs/>
          <w:lang w:eastAsia="sl-SI"/>
        </w:rPr>
        <w:t>izvajanje strukturnih ukrepov za povečanje odpornosti gospodarstva</w:t>
      </w:r>
      <w:r>
        <w:rPr>
          <w:lang w:eastAsia="sl-SI"/>
        </w:rPr>
        <w:t xml:space="preserve">, ki bodo </w:t>
      </w:r>
      <w:r w:rsidRPr="00193567">
        <w:rPr>
          <w:b/>
          <w:bCs/>
          <w:lang w:eastAsia="sl-SI"/>
        </w:rPr>
        <w:t>podprti z investicijami</w:t>
      </w:r>
      <w:r>
        <w:rPr>
          <w:lang w:eastAsia="sl-SI"/>
        </w:rPr>
        <w:t xml:space="preserve"> na ključnih področjih.</w:t>
      </w:r>
    </w:p>
    <w:p w14:paraId="0F173A64" w14:textId="77777777" w:rsidR="00F021A5" w:rsidRDefault="00F021A5" w:rsidP="00F021A5">
      <w:pPr>
        <w:jc w:val="both"/>
        <w:rPr>
          <w:lang w:eastAsia="sl-SI"/>
        </w:rPr>
      </w:pPr>
    </w:p>
    <w:p w14:paraId="0927CBFF" w14:textId="77777777" w:rsidR="00F021A5" w:rsidRPr="00153D7B" w:rsidRDefault="00F021A5" w:rsidP="00F021A5">
      <w:pPr>
        <w:jc w:val="both"/>
        <w:rPr>
          <w:b/>
          <w:bCs/>
          <w:lang w:eastAsia="sl-SI"/>
        </w:rPr>
      </w:pPr>
      <w:r w:rsidRPr="00FF44AE">
        <w:rPr>
          <w:lang w:eastAsia="sl-SI"/>
        </w:rPr>
        <w:t xml:space="preserve">V letu 2022 naj bi se izteklo izvajanje ukrepov COVID-19, posledično pa sredstva za izvajanje navedenih ukrepov v proračunu za leto 2023  ne bodo predvidena. V letih 2022 in 2023 bodo v tako ospredju ukrepi za okrevanje, podprti z </w:t>
      </w:r>
      <w:r w:rsidRPr="00FF44AE">
        <w:rPr>
          <w:b/>
          <w:bCs/>
          <w:lang w:eastAsia="sl-SI"/>
        </w:rPr>
        <w:t>EU viri iz mehanizma za okrevanje in odpornost</w:t>
      </w:r>
      <w:r w:rsidRPr="00FF44AE">
        <w:rPr>
          <w:lang w:eastAsia="sl-SI"/>
        </w:rPr>
        <w:t xml:space="preserve">. </w:t>
      </w:r>
      <w:r>
        <w:rPr>
          <w:lang w:eastAsia="sl-SI"/>
        </w:rPr>
        <w:t>Skladno z Načrtom za okrevanje in odpornost je v</w:t>
      </w:r>
      <w:r w:rsidRPr="00FF44AE">
        <w:rPr>
          <w:lang w:eastAsia="sl-SI"/>
        </w:rPr>
        <w:t xml:space="preserve"> scenarijih predvideno, da bi iz teh sredstev v letu 2022 porabili </w:t>
      </w:r>
      <w:r>
        <w:rPr>
          <w:lang w:eastAsia="sl-SI"/>
        </w:rPr>
        <w:t xml:space="preserve">330,8 </w:t>
      </w:r>
      <w:r w:rsidRPr="00FF44AE">
        <w:rPr>
          <w:lang w:eastAsia="sl-SI"/>
        </w:rPr>
        <w:t>mi</w:t>
      </w:r>
      <w:r>
        <w:rPr>
          <w:lang w:eastAsia="sl-SI"/>
        </w:rPr>
        <w:t>lijonov</w:t>
      </w:r>
      <w:r w:rsidRPr="00FF44AE">
        <w:rPr>
          <w:lang w:eastAsia="sl-SI"/>
        </w:rPr>
        <w:t xml:space="preserve"> evrov in v letu 2023 </w:t>
      </w:r>
      <w:r>
        <w:rPr>
          <w:lang w:eastAsia="sl-SI"/>
        </w:rPr>
        <w:t>453,7</w:t>
      </w:r>
      <w:r w:rsidRPr="00FF44AE">
        <w:rPr>
          <w:lang w:eastAsia="sl-SI"/>
        </w:rPr>
        <w:t xml:space="preserve"> milijonov evrov.</w:t>
      </w:r>
      <w:r>
        <w:rPr>
          <w:lang w:eastAsia="sl-SI"/>
        </w:rPr>
        <w:t xml:space="preserve"> Znotraj tega se bo v predlagani indikativni strukturi uskladila dinamika izvajanja </w:t>
      </w:r>
      <w:r w:rsidRPr="00153D7B">
        <w:rPr>
          <w:lang w:eastAsia="sl-SI"/>
        </w:rPr>
        <w:t xml:space="preserve">ukrepov in projektov. Prav tako bo v teku usklajevanj </w:t>
      </w:r>
      <w:r w:rsidRPr="00153D7B">
        <w:rPr>
          <w:b/>
          <w:bCs/>
          <w:lang w:eastAsia="sl-SI"/>
        </w:rPr>
        <w:t>usklajena dinamika izvajanja evropske kohezijske politike glede na veljavni INOP.</w:t>
      </w:r>
    </w:p>
    <w:p w14:paraId="56C9BBEB" w14:textId="77777777" w:rsidR="00F021A5" w:rsidRPr="00FF44AE" w:rsidRDefault="00F021A5" w:rsidP="00F021A5">
      <w:pPr>
        <w:jc w:val="both"/>
        <w:rPr>
          <w:lang w:eastAsia="sl-SI"/>
        </w:rPr>
      </w:pPr>
    </w:p>
    <w:p w14:paraId="143B0EC0" w14:textId="77777777" w:rsidR="00F021A5" w:rsidRDefault="00F021A5" w:rsidP="00F021A5">
      <w:pPr>
        <w:jc w:val="both"/>
        <w:rPr>
          <w:lang w:eastAsia="sl-SI"/>
        </w:rPr>
      </w:pPr>
      <w:r w:rsidRPr="00FF44AE">
        <w:rPr>
          <w:lang w:eastAsia="sl-SI"/>
        </w:rPr>
        <w:t xml:space="preserve">V scenarijih, ki so pripravljeni kot indikativni </w:t>
      </w:r>
      <w:r>
        <w:rPr>
          <w:lang w:eastAsia="sl-SI"/>
        </w:rPr>
        <w:t xml:space="preserve">predlog </w:t>
      </w:r>
      <w:r w:rsidRPr="00FF44AE">
        <w:rPr>
          <w:lang w:eastAsia="sl-SI"/>
        </w:rPr>
        <w:t>so sicer upoštevane veljavne politike in zakonodaja na področjih politike plač, socialnih transferov, postopno dvigovanje deleža obrambnih izdatkov v BDP, postopno dvigovanje deleža BDP za znanstveno raziskovalno dejavnost. V letu 2022 se iztekajo tudi obveznosti povezane s predsedovanjem zato je na zunanji politiki viden upad sredstev v teh dveh letih.</w:t>
      </w:r>
      <w:r>
        <w:rPr>
          <w:lang w:eastAsia="sl-SI"/>
        </w:rPr>
        <w:t xml:space="preserve"> </w:t>
      </w:r>
      <w:r w:rsidRPr="00153D7B">
        <w:rPr>
          <w:b/>
          <w:bCs/>
          <w:lang w:eastAsia="sl-SI"/>
        </w:rPr>
        <w:lastRenderedPageBreak/>
        <w:t>V teku usklajevanj se bo</w:t>
      </w:r>
      <w:r>
        <w:rPr>
          <w:lang w:eastAsia="sl-SI"/>
        </w:rPr>
        <w:t xml:space="preserve"> </w:t>
      </w:r>
      <w:r>
        <w:rPr>
          <w:b/>
          <w:bCs/>
          <w:lang w:eastAsia="sl-SI"/>
        </w:rPr>
        <w:t>znotraj</w:t>
      </w:r>
      <w:r w:rsidRPr="00153D7B">
        <w:rPr>
          <w:b/>
          <w:bCs/>
          <w:lang w:eastAsia="sl-SI"/>
        </w:rPr>
        <w:t xml:space="preserve"> zgornje meje izdatkov lahko spremenila njihova struktura, glede na morebitne spremembe veljavnih politik</w:t>
      </w:r>
      <w:r>
        <w:rPr>
          <w:lang w:eastAsia="sl-SI"/>
        </w:rPr>
        <w:t>.</w:t>
      </w:r>
    </w:p>
    <w:p w14:paraId="38B19033" w14:textId="77777777" w:rsidR="00F021A5" w:rsidRPr="00EB0539" w:rsidRDefault="00F021A5" w:rsidP="00F021A5">
      <w:pPr>
        <w:jc w:val="both"/>
        <w:rPr>
          <w:lang w:eastAsia="sl-SI"/>
        </w:rPr>
      </w:pPr>
    </w:p>
    <w:p w14:paraId="0EF5D410" w14:textId="0900AB35" w:rsidR="00F021A5" w:rsidRPr="00EB0539" w:rsidRDefault="00F021A5" w:rsidP="00F021A5">
      <w:pPr>
        <w:jc w:val="both"/>
      </w:pPr>
      <w:r w:rsidRPr="00EB0539">
        <w:t>Pri pripravi predloga Sprememb proračuna RS za leto 2022 in predloga Proračuna RS za leto 2023 bodo upoštevana izhodišča</w:t>
      </w:r>
      <w:r>
        <w:t xml:space="preserve"> iz naslednjih d</w:t>
      </w:r>
      <w:r w:rsidR="0018557E">
        <w:t>o</w:t>
      </w:r>
      <w:r>
        <w:t>kumentov</w:t>
      </w:r>
      <w:r w:rsidRPr="00EB0539">
        <w:t>:</w:t>
      </w:r>
    </w:p>
    <w:p w14:paraId="07D533FF" w14:textId="5A36185E" w:rsidR="00F021A5" w:rsidRPr="00EB0539" w:rsidRDefault="00F021A5" w:rsidP="00F021A5">
      <w:pPr>
        <w:pStyle w:val="Alineje"/>
        <w:numPr>
          <w:ilvl w:val="0"/>
          <w:numId w:val="29"/>
        </w:numPr>
      </w:pPr>
      <w:r w:rsidRPr="00EB0539">
        <w:t>Odlok o okviru za pripravo proračunov sektorja država za obdobje od 2022 do 2024 (OdPSD22–24),  Uradni list 65/21, z dne 26. 4. 2021</w:t>
      </w:r>
      <w:r w:rsidR="0018557E">
        <w:t>, ki ga je sprejel Državni zbor</w:t>
      </w:r>
    </w:p>
    <w:p w14:paraId="19386A5F" w14:textId="6C6DC1D3" w:rsidR="00F021A5" w:rsidRPr="00EB0539" w:rsidRDefault="00F021A5" w:rsidP="00F021A5">
      <w:pPr>
        <w:pStyle w:val="Alineje"/>
        <w:numPr>
          <w:ilvl w:val="0"/>
          <w:numId w:val="29"/>
        </w:numPr>
      </w:pPr>
      <w:r w:rsidRPr="00EB0539">
        <w:t>Program stabilnosti 2021</w:t>
      </w:r>
      <w:r w:rsidR="0018557E">
        <w:t xml:space="preserve">, </w:t>
      </w:r>
      <w:r w:rsidRPr="00EB0539">
        <w:t xml:space="preserve">sklep Vlade RS št. </w:t>
      </w:r>
      <w:r w:rsidRPr="00EB0539">
        <w:rPr>
          <w:rFonts w:cs="Arial"/>
          <w:lang w:eastAsia="sl-SI"/>
        </w:rPr>
        <w:t>00712-12/2021/13</w:t>
      </w:r>
      <w:r w:rsidRPr="00EB0539">
        <w:t xml:space="preserve"> z dne 28. 4. 2021 </w:t>
      </w:r>
    </w:p>
    <w:p w14:paraId="245582D9" w14:textId="40F03409" w:rsidR="00F021A5" w:rsidRPr="00EB0539" w:rsidRDefault="00F021A5" w:rsidP="00F021A5">
      <w:pPr>
        <w:pStyle w:val="Alineje"/>
        <w:numPr>
          <w:ilvl w:val="0"/>
          <w:numId w:val="29"/>
        </w:numPr>
      </w:pPr>
      <w:r w:rsidRPr="00EB0539">
        <w:t xml:space="preserve">Pomladanska napovedi gospodarskih gibanj 2021, UMAR, </w:t>
      </w:r>
      <w:r w:rsidR="0018557E">
        <w:t xml:space="preserve">ki ga je potrdila Vlada RS </w:t>
      </w:r>
      <w:r w:rsidRPr="00EB0539">
        <w:t>dne 24. 3. 2021</w:t>
      </w:r>
    </w:p>
    <w:p w14:paraId="7F898B7B" w14:textId="2899F4CB" w:rsidR="00F021A5" w:rsidRPr="00EB0539" w:rsidRDefault="00F021A5" w:rsidP="00F021A5">
      <w:pPr>
        <w:numPr>
          <w:ilvl w:val="0"/>
          <w:numId w:val="29"/>
        </w:numPr>
        <w:jc w:val="both"/>
        <w:rPr>
          <w:rFonts w:eastAsia="Calibri"/>
          <w:szCs w:val="20"/>
        </w:rPr>
      </w:pPr>
      <w:r w:rsidRPr="00EB0539">
        <w:rPr>
          <w:rFonts w:eastAsia="Calibri"/>
          <w:szCs w:val="20"/>
        </w:rPr>
        <w:t>Izvedbeni načrt Operativnega programa za izvajanje evropske kohezijske politike za programsko obdobje 2014–2020</w:t>
      </w:r>
      <w:r w:rsidR="0018557E">
        <w:rPr>
          <w:rFonts w:eastAsia="Calibri"/>
          <w:szCs w:val="20"/>
        </w:rPr>
        <w:t xml:space="preserve"> </w:t>
      </w:r>
      <w:r w:rsidR="0018557E" w:rsidRPr="00EB0539">
        <w:rPr>
          <w:rFonts w:eastAsia="Calibri"/>
          <w:szCs w:val="20"/>
        </w:rPr>
        <w:t>(v nadaljnjem besedilu: INOP</w:t>
      </w:r>
      <w:r w:rsidR="0018557E">
        <w:rPr>
          <w:rFonts w:eastAsia="Calibri"/>
          <w:szCs w:val="20"/>
        </w:rPr>
        <w:t>), ki ga je objavila Služba vlade za razvoj in evropsko kohezijsko politiko</w:t>
      </w:r>
      <w:r w:rsidRPr="00EB0539">
        <w:rPr>
          <w:rFonts w:eastAsia="Calibri"/>
          <w:szCs w:val="20"/>
        </w:rPr>
        <w:t>, z dne 30. 4. 2021</w:t>
      </w:r>
    </w:p>
    <w:p w14:paraId="5AB8E6EB" w14:textId="49B1ADFE" w:rsidR="00F021A5" w:rsidRPr="00EB0539" w:rsidRDefault="00F021A5" w:rsidP="00F021A5">
      <w:pPr>
        <w:pStyle w:val="Alineje"/>
        <w:numPr>
          <w:ilvl w:val="0"/>
          <w:numId w:val="29"/>
        </w:numPr>
      </w:pPr>
      <w:r w:rsidRPr="00EB0539">
        <w:t>Načrt za okrevanje in odpornost</w:t>
      </w:r>
      <w:r w:rsidR="0018557E">
        <w:t xml:space="preserve">, </w:t>
      </w:r>
      <w:r w:rsidRPr="00EB0539">
        <w:t xml:space="preserve">sklep Vlade RS št. </w:t>
      </w:r>
      <w:r w:rsidRPr="00EB0539">
        <w:rPr>
          <w:rFonts w:cs="Arial"/>
          <w:lang w:eastAsia="sl-SI"/>
        </w:rPr>
        <w:t>30000-8/2020/39</w:t>
      </w:r>
      <w:r w:rsidRPr="00EB0539">
        <w:t xml:space="preserve"> z dne 28. 4. 2021.</w:t>
      </w:r>
    </w:p>
    <w:p w14:paraId="027F9B51" w14:textId="77777777" w:rsidR="00F021A5" w:rsidRPr="00EB0539" w:rsidRDefault="00F021A5" w:rsidP="00F021A5">
      <w:pPr>
        <w:jc w:val="both"/>
        <w:rPr>
          <w:b/>
          <w:bCs/>
        </w:rPr>
      </w:pPr>
    </w:p>
    <w:p w14:paraId="74763303" w14:textId="77777777" w:rsidR="00F021A5" w:rsidRPr="00EB0539" w:rsidRDefault="00F021A5" w:rsidP="00F021A5">
      <w:pPr>
        <w:numPr>
          <w:ilvl w:val="0"/>
          <w:numId w:val="39"/>
        </w:numPr>
        <w:jc w:val="both"/>
        <w:rPr>
          <w:b/>
          <w:bCs/>
        </w:rPr>
      </w:pPr>
      <w:r w:rsidRPr="00EB0539">
        <w:rPr>
          <w:b/>
          <w:bCs/>
        </w:rPr>
        <w:t>MAKROEKONOMSKA IZHODIŠČA</w:t>
      </w:r>
    </w:p>
    <w:p w14:paraId="758FE9F5" w14:textId="77777777" w:rsidR="00F021A5" w:rsidRPr="00EB0539" w:rsidRDefault="00F021A5" w:rsidP="00F021A5">
      <w:pPr>
        <w:jc w:val="both"/>
        <w:rPr>
          <w:b/>
          <w:bCs/>
        </w:rPr>
      </w:pPr>
    </w:p>
    <w:p w14:paraId="2D0F541E" w14:textId="03EC89C4" w:rsidR="00F021A5" w:rsidRPr="00EB0539" w:rsidRDefault="00F021A5" w:rsidP="00F021A5">
      <w:pPr>
        <w:tabs>
          <w:tab w:val="left" w:pos="4536"/>
        </w:tabs>
        <w:suppressAutoHyphens/>
        <w:spacing w:line="240" w:lineRule="auto"/>
        <w:jc w:val="both"/>
        <w:rPr>
          <w:rFonts w:cs="Arial"/>
          <w:bCs/>
          <w:color w:val="000000"/>
          <w:szCs w:val="20"/>
        </w:rPr>
      </w:pPr>
      <w:r w:rsidRPr="00EB0539">
        <w:rPr>
          <w:rFonts w:cs="Arial"/>
          <w:bCs/>
          <w:color w:val="000000"/>
          <w:szCs w:val="20"/>
        </w:rPr>
        <w:t xml:space="preserve">Pri pripravi proračunskih dokumentov za leto 2022 in 2023 bo upoštevana zadnja makroekonomska napoved - Pomladanska napoved gospodarskih gibanj 2021, UMAR iz 24. marca 2021. </w:t>
      </w:r>
    </w:p>
    <w:p w14:paraId="401ABCF8" w14:textId="77777777" w:rsidR="00F021A5" w:rsidRPr="00EB0539" w:rsidRDefault="00F021A5" w:rsidP="00F021A5">
      <w:pPr>
        <w:tabs>
          <w:tab w:val="left" w:pos="4536"/>
        </w:tabs>
        <w:suppressAutoHyphens/>
        <w:spacing w:line="240" w:lineRule="auto"/>
        <w:jc w:val="both"/>
        <w:rPr>
          <w:rFonts w:cs="Arial"/>
          <w:bCs/>
          <w:color w:val="000000"/>
          <w:szCs w:val="20"/>
        </w:rPr>
      </w:pPr>
    </w:p>
    <w:p w14:paraId="5CD0472A" w14:textId="77777777" w:rsidR="00F021A5" w:rsidRPr="00EB0539" w:rsidRDefault="00F021A5" w:rsidP="00F021A5">
      <w:pPr>
        <w:tabs>
          <w:tab w:val="left" w:pos="4536"/>
        </w:tabs>
        <w:suppressAutoHyphens/>
        <w:spacing w:line="240" w:lineRule="auto"/>
        <w:jc w:val="both"/>
        <w:rPr>
          <w:rFonts w:cs="Arial"/>
          <w:bCs/>
          <w:color w:val="000000"/>
          <w:szCs w:val="20"/>
        </w:rPr>
      </w:pPr>
      <w:r w:rsidRPr="00EB0539">
        <w:rPr>
          <w:rFonts w:cs="Arial"/>
          <w:bCs/>
          <w:color w:val="000000"/>
          <w:szCs w:val="20"/>
        </w:rPr>
        <w:t>V letošnjem letu je predvidena 4,6-odstotna rast BDP</w:t>
      </w:r>
      <w:r>
        <w:rPr>
          <w:rFonts w:cs="Arial"/>
          <w:bCs/>
          <w:color w:val="000000"/>
          <w:szCs w:val="20"/>
        </w:rPr>
        <w:t xml:space="preserve"> v primerjavi z letom pred tem. P</w:t>
      </w:r>
      <w:r w:rsidRPr="00EB0539">
        <w:rPr>
          <w:rFonts w:cs="Arial"/>
          <w:bCs/>
          <w:color w:val="000000"/>
          <w:szCs w:val="20"/>
        </w:rPr>
        <w:t xml:space="preserve">odobna dinamika se bo nadaljevala tudi </w:t>
      </w:r>
      <w:r w:rsidRPr="00EB0539">
        <w:rPr>
          <w:rFonts w:cs="Arial"/>
          <w:b/>
          <w:color w:val="000000"/>
          <w:szCs w:val="20"/>
        </w:rPr>
        <w:t>v letu 2022, s 4,4 % napovedano gospodarsko rastjo, v letu 2023 pa je pričakovati  3,3 % rast BDP</w:t>
      </w:r>
      <w:r w:rsidRPr="00EB0539">
        <w:rPr>
          <w:rFonts w:cs="Arial"/>
          <w:bCs/>
          <w:color w:val="000000"/>
          <w:szCs w:val="20"/>
        </w:rPr>
        <w:t xml:space="preserve">. </w:t>
      </w:r>
    </w:p>
    <w:p w14:paraId="3D4704A1" w14:textId="77777777" w:rsidR="00F021A5" w:rsidRPr="00EB0539" w:rsidRDefault="00F021A5" w:rsidP="00F021A5">
      <w:pPr>
        <w:tabs>
          <w:tab w:val="left" w:pos="4536"/>
        </w:tabs>
        <w:suppressAutoHyphens/>
        <w:spacing w:line="240" w:lineRule="auto"/>
        <w:jc w:val="both"/>
        <w:rPr>
          <w:rFonts w:cs="Arial"/>
          <w:bCs/>
          <w:color w:val="000000"/>
          <w:szCs w:val="20"/>
        </w:rPr>
      </w:pPr>
    </w:p>
    <w:p w14:paraId="68895D51" w14:textId="77777777" w:rsidR="00F021A5" w:rsidRPr="00EB0539" w:rsidRDefault="00F021A5" w:rsidP="00F021A5">
      <w:pPr>
        <w:tabs>
          <w:tab w:val="left" w:pos="4536"/>
        </w:tabs>
        <w:suppressAutoHyphens/>
        <w:spacing w:line="240" w:lineRule="auto"/>
        <w:jc w:val="both"/>
        <w:rPr>
          <w:rFonts w:cs="Arial"/>
          <w:bCs/>
          <w:color w:val="000000"/>
          <w:szCs w:val="20"/>
        </w:rPr>
      </w:pPr>
      <w:r>
        <w:rPr>
          <w:rFonts w:cs="Arial"/>
          <w:bCs/>
          <w:color w:val="000000"/>
          <w:szCs w:val="20"/>
        </w:rPr>
        <w:t>Postopno o</w:t>
      </w:r>
      <w:r w:rsidRPr="00EB0539">
        <w:rPr>
          <w:rFonts w:cs="Arial"/>
          <w:bCs/>
          <w:color w:val="000000"/>
          <w:szCs w:val="20"/>
        </w:rPr>
        <w:t xml:space="preserve">krevanje gospodarstva se je tako pričelo že v letošnjem letu, </w:t>
      </w:r>
      <w:r>
        <w:rPr>
          <w:rFonts w:cs="Arial"/>
          <w:bCs/>
          <w:color w:val="000000"/>
          <w:szCs w:val="20"/>
        </w:rPr>
        <w:t>in</w:t>
      </w:r>
      <w:r w:rsidRPr="00EB0539">
        <w:rPr>
          <w:rFonts w:cs="Arial"/>
          <w:bCs/>
          <w:color w:val="000000"/>
          <w:szCs w:val="20"/>
        </w:rPr>
        <w:t xml:space="preserve"> bo odvisno od</w:t>
      </w:r>
      <w:r>
        <w:rPr>
          <w:rFonts w:cs="Arial"/>
          <w:bCs/>
          <w:color w:val="000000"/>
          <w:szCs w:val="20"/>
        </w:rPr>
        <w:t xml:space="preserve"> trajanja epidemije in s tem povezanih </w:t>
      </w:r>
      <w:r w:rsidRPr="00EB0539">
        <w:rPr>
          <w:rFonts w:cs="Arial"/>
          <w:bCs/>
          <w:color w:val="000000"/>
          <w:szCs w:val="20"/>
        </w:rPr>
        <w:t xml:space="preserve">omejitev v delu gospodarskih dejavnosti. Ob predpostavki, da se bodo omejitveni ukrepi ob vse večji </w:t>
      </w:r>
      <w:proofErr w:type="spellStart"/>
      <w:r w:rsidRPr="00EB0539">
        <w:rPr>
          <w:rFonts w:cs="Arial"/>
          <w:bCs/>
          <w:color w:val="000000"/>
          <w:szCs w:val="20"/>
        </w:rPr>
        <w:t>precepljenosti</w:t>
      </w:r>
      <w:proofErr w:type="spellEnd"/>
      <w:r w:rsidRPr="00EB0539">
        <w:rPr>
          <w:rFonts w:cs="Arial"/>
          <w:bCs/>
          <w:color w:val="000000"/>
          <w:szCs w:val="20"/>
        </w:rPr>
        <w:t xml:space="preserve"> prebivalstva in s tem boljšim obvladovanjem epidemije še bolj sprostili v drugi polovici leta, se bo gospodarsko okrevanje do konca leta 2021 lahko pospešilo. </w:t>
      </w:r>
    </w:p>
    <w:p w14:paraId="78CDDB8B" w14:textId="77777777" w:rsidR="00F021A5" w:rsidRPr="00EB0539" w:rsidRDefault="00F021A5" w:rsidP="00F021A5">
      <w:pPr>
        <w:keepNext/>
        <w:rPr>
          <w:rFonts w:cs="Arial"/>
          <w:b/>
          <w:szCs w:val="20"/>
        </w:rPr>
      </w:pPr>
    </w:p>
    <w:p w14:paraId="0C6C4BA6" w14:textId="77777777" w:rsidR="00F021A5" w:rsidRPr="00681FDB" w:rsidRDefault="00F021A5" w:rsidP="00F021A5">
      <w:pPr>
        <w:keepNext/>
        <w:rPr>
          <w:rFonts w:cs="Arial"/>
          <w:b/>
          <w:szCs w:val="20"/>
        </w:rPr>
      </w:pPr>
      <w:r w:rsidRPr="00681FDB">
        <w:rPr>
          <w:rFonts w:cs="Arial"/>
          <w:b/>
          <w:szCs w:val="20"/>
        </w:rPr>
        <w:t>Tabela 2: Ključni makroekonomski kazalniki, stopnje rasti v %</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6"/>
        <w:gridCol w:w="763"/>
        <w:gridCol w:w="763"/>
        <w:gridCol w:w="763"/>
        <w:gridCol w:w="763"/>
        <w:gridCol w:w="754"/>
      </w:tblGrid>
      <w:tr w:rsidR="00F021A5" w:rsidRPr="00681FDB" w14:paraId="2D9A443C" w14:textId="77777777" w:rsidTr="006C35C5">
        <w:trPr>
          <w:trHeight w:val="284"/>
          <w:jc w:val="center"/>
        </w:trPr>
        <w:tc>
          <w:tcPr>
            <w:tcW w:w="2860" w:type="pct"/>
            <w:shd w:val="clear" w:color="auto" w:fill="ACB9CA"/>
            <w:vAlign w:val="center"/>
          </w:tcPr>
          <w:p w14:paraId="319EE55D" w14:textId="77777777" w:rsidR="00F021A5" w:rsidRPr="00681FDB" w:rsidRDefault="00F021A5" w:rsidP="006C35C5">
            <w:pPr>
              <w:spacing w:line="240" w:lineRule="auto"/>
              <w:rPr>
                <w:color w:val="00B0F0"/>
                <w:szCs w:val="20"/>
              </w:rPr>
            </w:pPr>
          </w:p>
        </w:tc>
        <w:tc>
          <w:tcPr>
            <w:tcW w:w="429" w:type="pct"/>
            <w:shd w:val="clear" w:color="auto" w:fill="ACB9CA"/>
          </w:tcPr>
          <w:p w14:paraId="37D1F442" w14:textId="77777777" w:rsidR="00F021A5" w:rsidRDefault="00F021A5" w:rsidP="006C35C5">
            <w:pPr>
              <w:spacing w:line="240" w:lineRule="auto"/>
              <w:jc w:val="center"/>
              <w:rPr>
                <w:b/>
                <w:szCs w:val="20"/>
              </w:rPr>
            </w:pPr>
            <w:r>
              <w:rPr>
                <w:b/>
                <w:szCs w:val="20"/>
              </w:rPr>
              <w:t>2019</w:t>
            </w:r>
          </w:p>
        </w:tc>
        <w:tc>
          <w:tcPr>
            <w:tcW w:w="429" w:type="pct"/>
            <w:shd w:val="clear" w:color="auto" w:fill="ACB9CA"/>
            <w:vAlign w:val="center"/>
          </w:tcPr>
          <w:p w14:paraId="0C9448CB" w14:textId="77777777" w:rsidR="00F021A5" w:rsidRPr="00681FDB" w:rsidRDefault="00F021A5" w:rsidP="006C35C5">
            <w:pPr>
              <w:spacing w:line="240" w:lineRule="auto"/>
              <w:jc w:val="center"/>
              <w:rPr>
                <w:b/>
                <w:szCs w:val="20"/>
              </w:rPr>
            </w:pPr>
            <w:r>
              <w:rPr>
                <w:b/>
                <w:szCs w:val="20"/>
              </w:rPr>
              <w:t>2020</w:t>
            </w:r>
          </w:p>
        </w:tc>
        <w:tc>
          <w:tcPr>
            <w:tcW w:w="429" w:type="pct"/>
            <w:shd w:val="clear" w:color="auto" w:fill="ACB9CA"/>
            <w:vAlign w:val="center"/>
          </w:tcPr>
          <w:p w14:paraId="2FB94BCB" w14:textId="77777777" w:rsidR="00F021A5" w:rsidRPr="00681FDB" w:rsidRDefault="00F021A5" w:rsidP="006C35C5">
            <w:pPr>
              <w:spacing w:line="240" w:lineRule="auto"/>
              <w:jc w:val="center"/>
              <w:rPr>
                <w:b/>
                <w:szCs w:val="20"/>
              </w:rPr>
            </w:pPr>
            <w:r>
              <w:rPr>
                <w:b/>
                <w:szCs w:val="20"/>
              </w:rPr>
              <w:t>2021</w:t>
            </w:r>
          </w:p>
        </w:tc>
        <w:tc>
          <w:tcPr>
            <w:tcW w:w="429" w:type="pct"/>
            <w:shd w:val="clear" w:color="auto" w:fill="ACB9CA"/>
            <w:vAlign w:val="center"/>
          </w:tcPr>
          <w:p w14:paraId="729D7F7D" w14:textId="77777777" w:rsidR="00F021A5" w:rsidRPr="00681FDB" w:rsidRDefault="00F021A5" w:rsidP="006C35C5">
            <w:pPr>
              <w:spacing w:line="240" w:lineRule="auto"/>
              <w:jc w:val="center"/>
              <w:rPr>
                <w:b/>
                <w:szCs w:val="20"/>
              </w:rPr>
            </w:pPr>
            <w:r>
              <w:rPr>
                <w:b/>
                <w:szCs w:val="20"/>
              </w:rPr>
              <w:t>2022</w:t>
            </w:r>
          </w:p>
        </w:tc>
        <w:tc>
          <w:tcPr>
            <w:tcW w:w="424" w:type="pct"/>
            <w:shd w:val="clear" w:color="auto" w:fill="ACB9CA"/>
          </w:tcPr>
          <w:p w14:paraId="1F30C8F6" w14:textId="77777777" w:rsidR="00F021A5" w:rsidRPr="00681FDB" w:rsidRDefault="00F021A5" w:rsidP="006C35C5">
            <w:pPr>
              <w:spacing w:line="240" w:lineRule="auto"/>
              <w:jc w:val="center"/>
              <w:rPr>
                <w:b/>
                <w:szCs w:val="20"/>
              </w:rPr>
            </w:pPr>
            <w:r>
              <w:rPr>
                <w:b/>
                <w:szCs w:val="20"/>
              </w:rPr>
              <w:t>2023</w:t>
            </w:r>
          </w:p>
        </w:tc>
      </w:tr>
      <w:tr w:rsidR="00F021A5" w:rsidRPr="00681FDB" w14:paraId="44702B70" w14:textId="77777777" w:rsidTr="006C35C5">
        <w:trPr>
          <w:trHeight w:val="284"/>
          <w:jc w:val="center"/>
        </w:trPr>
        <w:tc>
          <w:tcPr>
            <w:tcW w:w="2860" w:type="pct"/>
            <w:vAlign w:val="center"/>
          </w:tcPr>
          <w:p w14:paraId="1238747C" w14:textId="77777777" w:rsidR="00F021A5" w:rsidRPr="008A56A5" w:rsidRDefault="00F021A5" w:rsidP="006C35C5">
            <w:pPr>
              <w:spacing w:line="240" w:lineRule="auto"/>
              <w:rPr>
                <w:sz w:val="18"/>
                <w:szCs w:val="18"/>
              </w:rPr>
            </w:pPr>
            <w:r w:rsidRPr="008A56A5">
              <w:rPr>
                <w:sz w:val="18"/>
                <w:szCs w:val="18"/>
              </w:rPr>
              <w:t>BDP, realna rast v %</w:t>
            </w:r>
          </w:p>
        </w:tc>
        <w:tc>
          <w:tcPr>
            <w:tcW w:w="429" w:type="pct"/>
            <w:vAlign w:val="center"/>
          </w:tcPr>
          <w:p w14:paraId="1AD985DA" w14:textId="77777777" w:rsidR="00F021A5" w:rsidRPr="00885D63" w:rsidRDefault="00F021A5" w:rsidP="006C35C5">
            <w:pPr>
              <w:pStyle w:val="TabelaNAPOVED"/>
              <w:rPr>
                <w:rFonts w:cs="Arial"/>
                <w:szCs w:val="16"/>
                <w:lang w:val="en-US"/>
              </w:rPr>
            </w:pPr>
            <w:r w:rsidRPr="00087D47">
              <w:rPr>
                <w:rFonts w:cs="Arial"/>
                <w:szCs w:val="16"/>
                <w:lang w:val="en-US"/>
              </w:rPr>
              <w:t>3,2</w:t>
            </w:r>
          </w:p>
        </w:tc>
        <w:tc>
          <w:tcPr>
            <w:tcW w:w="429" w:type="pct"/>
            <w:vAlign w:val="center"/>
          </w:tcPr>
          <w:p w14:paraId="25F0B6A4" w14:textId="77777777" w:rsidR="00F021A5" w:rsidRPr="00767446" w:rsidRDefault="00F021A5" w:rsidP="006C35C5">
            <w:pPr>
              <w:pStyle w:val="TabelaNAPOVED"/>
            </w:pPr>
            <w:r w:rsidRPr="00885D63">
              <w:rPr>
                <w:rFonts w:cs="Arial"/>
                <w:szCs w:val="16"/>
                <w:lang w:val="en-US"/>
              </w:rPr>
              <w:t>-5,5</w:t>
            </w:r>
          </w:p>
        </w:tc>
        <w:tc>
          <w:tcPr>
            <w:tcW w:w="429" w:type="pct"/>
            <w:vAlign w:val="center"/>
          </w:tcPr>
          <w:p w14:paraId="1E9B7F22" w14:textId="77777777" w:rsidR="00F021A5" w:rsidRPr="00FF69D9" w:rsidRDefault="00F021A5" w:rsidP="006C35C5">
            <w:pPr>
              <w:pStyle w:val="TabelaNAPOVED"/>
              <w:rPr>
                <w:b/>
                <w:bCs/>
                <w:color w:val="000000"/>
                <w:highlight w:val="yellow"/>
              </w:rPr>
            </w:pPr>
            <w:r w:rsidRPr="00FF69D9">
              <w:rPr>
                <w:rFonts w:cs="Arial"/>
                <w:b/>
                <w:color w:val="000000"/>
                <w:spacing w:val="-4"/>
                <w:szCs w:val="16"/>
                <w:lang w:val="en-US"/>
              </w:rPr>
              <w:t>4,6</w:t>
            </w:r>
          </w:p>
        </w:tc>
        <w:tc>
          <w:tcPr>
            <w:tcW w:w="429" w:type="pct"/>
            <w:vAlign w:val="center"/>
          </w:tcPr>
          <w:p w14:paraId="4E68EEC0" w14:textId="77777777" w:rsidR="00F021A5" w:rsidRPr="00FF69D9" w:rsidRDefault="00F021A5" w:rsidP="006C35C5">
            <w:pPr>
              <w:pStyle w:val="TabelaNAPOVED"/>
              <w:rPr>
                <w:b/>
                <w:bCs/>
                <w:color w:val="000000"/>
              </w:rPr>
            </w:pPr>
            <w:r w:rsidRPr="00FF69D9">
              <w:rPr>
                <w:rFonts w:cs="Arial"/>
                <w:b/>
                <w:color w:val="000000"/>
                <w:spacing w:val="-4"/>
                <w:szCs w:val="16"/>
                <w:lang w:val="en-US"/>
              </w:rPr>
              <w:t>4,4</w:t>
            </w:r>
          </w:p>
        </w:tc>
        <w:tc>
          <w:tcPr>
            <w:tcW w:w="424" w:type="pct"/>
            <w:vAlign w:val="center"/>
          </w:tcPr>
          <w:p w14:paraId="2A9C2CD2" w14:textId="77777777" w:rsidR="00F021A5" w:rsidRPr="00FF69D9" w:rsidRDefault="00F021A5" w:rsidP="006C35C5">
            <w:pPr>
              <w:pStyle w:val="TabelaNAPOVED"/>
              <w:rPr>
                <w:b/>
                <w:bCs/>
                <w:color w:val="000000"/>
              </w:rPr>
            </w:pPr>
            <w:r w:rsidRPr="00FF69D9">
              <w:rPr>
                <w:rFonts w:cs="Arial"/>
                <w:b/>
                <w:color w:val="000000"/>
                <w:spacing w:val="-4"/>
                <w:szCs w:val="16"/>
                <w:lang w:val="en-US"/>
              </w:rPr>
              <w:t>3,3</w:t>
            </w:r>
          </w:p>
        </w:tc>
      </w:tr>
      <w:tr w:rsidR="00F021A5" w:rsidRPr="00681FDB" w14:paraId="3AB555EB" w14:textId="77777777" w:rsidTr="006C35C5">
        <w:trPr>
          <w:trHeight w:val="284"/>
          <w:jc w:val="center"/>
        </w:trPr>
        <w:tc>
          <w:tcPr>
            <w:tcW w:w="2860" w:type="pct"/>
            <w:vAlign w:val="center"/>
          </w:tcPr>
          <w:p w14:paraId="1E3F358A" w14:textId="77777777" w:rsidR="00F021A5" w:rsidRPr="008A56A5" w:rsidRDefault="00F021A5" w:rsidP="006C35C5">
            <w:pPr>
              <w:spacing w:line="240" w:lineRule="auto"/>
              <w:rPr>
                <w:color w:val="00B0F0"/>
                <w:sz w:val="18"/>
                <w:szCs w:val="18"/>
              </w:rPr>
            </w:pPr>
            <w:r w:rsidRPr="008A56A5">
              <w:rPr>
                <w:sz w:val="18"/>
                <w:szCs w:val="18"/>
              </w:rPr>
              <w:t>BDP, v mio EUR, tekoče cene</w:t>
            </w:r>
          </w:p>
        </w:tc>
        <w:tc>
          <w:tcPr>
            <w:tcW w:w="429" w:type="pct"/>
            <w:vAlign w:val="center"/>
          </w:tcPr>
          <w:p w14:paraId="79F5BE67" w14:textId="77777777" w:rsidR="00F021A5" w:rsidRPr="00885D63" w:rsidRDefault="00F021A5" w:rsidP="006C35C5">
            <w:pPr>
              <w:pStyle w:val="TabelaNAPOVED"/>
              <w:rPr>
                <w:rFonts w:cs="Arial"/>
                <w:szCs w:val="16"/>
                <w:lang w:val="en-US"/>
              </w:rPr>
            </w:pPr>
            <w:r w:rsidRPr="00087D47">
              <w:rPr>
                <w:rFonts w:cs="Arial"/>
                <w:szCs w:val="16"/>
                <w:lang w:val="en-US"/>
              </w:rPr>
              <w:t>48,4</w:t>
            </w:r>
          </w:p>
        </w:tc>
        <w:tc>
          <w:tcPr>
            <w:tcW w:w="429" w:type="pct"/>
            <w:vAlign w:val="center"/>
          </w:tcPr>
          <w:p w14:paraId="63967C5D" w14:textId="77777777" w:rsidR="00F021A5" w:rsidRPr="00767446" w:rsidRDefault="00F021A5" w:rsidP="006C35C5">
            <w:pPr>
              <w:pStyle w:val="TabelaNAPOVED"/>
            </w:pPr>
            <w:r w:rsidRPr="00885D63">
              <w:rPr>
                <w:rFonts w:cs="Arial"/>
                <w:szCs w:val="16"/>
                <w:lang w:val="en-US"/>
              </w:rPr>
              <w:t>46,3</w:t>
            </w:r>
          </w:p>
        </w:tc>
        <w:tc>
          <w:tcPr>
            <w:tcW w:w="429" w:type="pct"/>
            <w:vAlign w:val="center"/>
          </w:tcPr>
          <w:p w14:paraId="1F2DDADF" w14:textId="77777777" w:rsidR="00F021A5" w:rsidRPr="00FF69D9" w:rsidRDefault="00F021A5" w:rsidP="006C35C5">
            <w:pPr>
              <w:pStyle w:val="TabelaNAPOVED"/>
              <w:rPr>
                <w:b/>
                <w:bCs/>
                <w:color w:val="000000"/>
                <w:highlight w:val="yellow"/>
              </w:rPr>
            </w:pPr>
            <w:r w:rsidRPr="00FF69D9">
              <w:rPr>
                <w:rFonts w:cs="Arial"/>
                <w:b/>
                <w:color w:val="000000"/>
                <w:spacing w:val="-4"/>
                <w:szCs w:val="16"/>
                <w:lang w:val="en-US"/>
              </w:rPr>
              <w:t>48,5</w:t>
            </w:r>
          </w:p>
        </w:tc>
        <w:tc>
          <w:tcPr>
            <w:tcW w:w="429" w:type="pct"/>
            <w:vAlign w:val="center"/>
          </w:tcPr>
          <w:p w14:paraId="3D3263BF" w14:textId="77777777" w:rsidR="00F021A5" w:rsidRPr="00FF69D9" w:rsidRDefault="00F021A5" w:rsidP="006C35C5">
            <w:pPr>
              <w:pStyle w:val="TabelaNAPOVED"/>
              <w:rPr>
                <w:b/>
                <w:bCs/>
                <w:color w:val="000000"/>
              </w:rPr>
            </w:pPr>
            <w:r w:rsidRPr="00FF69D9">
              <w:rPr>
                <w:rFonts w:cs="Arial"/>
                <w:b/>
                <w:color w:val="000000"/>
                <w:spacing w:val="-4"/>
                <w:szCs w:val="16"/>
                <w:lang w:val="en-US"/>
              </w:rPr>
              <w:t>51,3</w:t>
            </w:r>
          </w:p>
        </w:tc>
        <w:tc>
          <w:tcPr>
            <w:tcW w:w="424" w:type="pct"/>
            <w:vAlign w:val="center"/>
          </w:tcPr>
          <w:p w14:paraId="51295BD8" w14:textId="77777777" w:rsidR="00F021A5" w:rsidRPr="00FF69D9" w:rsidRDefault="00F021A5" w:rsidP="006C35C5">
            <w:pPr>
              <w:pStyle w:val="TabelaNAPOVED"/>
              <w:rPr>
                <w:b/>
                <w:bCs/>
                <w:color w:val="000000"/>
              </w:rPr>
            </w:pPr>
            <w:r w:rsidRPr="00FF69D9">
              <w:rPr>
                <w:rFonts w:cs="Arial"/>
                <w:b/>
                <w:color w:val="000000"/>
                <w:spacing w:val="-4"/>
                <w:szCs w:val="16"/>
                <w:lang w:val="en-US"/>
              </w:rPr>
              <w:t>54,0</w:t>
            </w:r>
          </w:p>
        </w:tc>
      </w:tr>
      <w:tr w:rsidR="00F021A5" w:rsidRPr="00681FDB" w14:paraId="55B21C53" w14:textId="77777777" w:rsidTr="006C35C5">
        <w:trPr>
          <w:trHeight w:val="196"/>
          <w:jc w:val="center"/>
        </w:trPr>
        <w:tc>
          <w:tcPr>
            <w:tcW w:w="2860" w:type="pct"/>
            <w:shd w:val="clear" w:color="auto" w:fill="F2F2F2"/>
            <w:vAlign w:val="center"/>
          </w:tcPr>
          <w:p w14:paraId="59ADFA27" w14:textId="77777777" w:rsidR="00F021A5" w:rsidRPr="008A56A5" w:rsidRDefault="00F021A5" w:rsidP="006C35C5">
            <w:pPr>
              <w:spacing w:line="240" w:lineRule="auto"/>
              <w:rPr>
                <w:sz w:val="18"/>
                <w:szCs w:val="18"/>
              </w:rPr>
            </w:pPr>
          </w:p>
        </w:tc>
        <w:tc>
          <w:tcPr>
            <w:tcW w:w="429" w:type="pct"/>
            <w:shd w:val="clear" w:color="auto" w:fill="F2F2F2"/>
            <w:vAlign w:val="center"/>
          </w:tcPr>
          <w:p w14:paraId="02628596" w14:textId="77777777" w:rsidR="00F021A5" w:rsidRPr="00681FDB" w:rsidRDefault="00F021A5" w:rsidP="006C35C5">
            <w:pPr>
              <w:pStyle w:val="TabelaNAPOVED"/>
            </w:pPr>
          </w:p>
        </w:tc>
        <w:tc>
          <w:tcPr>
            <w:tcW w:w="429" w:type="pct"/>
            <w:shd w:val="clear" w:color="auto" w:fill="F2F2F2"/>
            <w:vAlign w:val="center"/>
          </w:tcPr>
          <w:p w14:paraId="18AB6FAF" w14:textId="77777777" w:rsidR="00F021A5" w:rsidRPr="00681FDB" w:rsidRDefault="00F021A5" w:rsidP="006C35C5">
            <w:pPr>
              <w:pStyle w:val="TabelaNAPOVED"/>
            </w:pPr>
          </w:p>
        </w:tc>
        <w:tc>
          <w:tcPr>
            <w:tcW w:w="429" w:type="pct"/>
            <w:shd w:val="clear" w:color="auto" w:fill="F2F2F2"/>
            <w:vAlign w:val="center"/>
          </w:tcPr>
          <w:p w14:paraId="03E85C28" w14:textId="77777777" w:rsidR="00F021A5" w:rsidRPr="00FF69D9" w:rsidRDefault="00F021A5" w:rsidP="006C35C5">
            <w:pPr>
              <w:pStyle w:val="TabelaNAPOVED"/>
              <w:rPr>
                <w:color w:val="000000"/>
              </w:rPr>
            </w:pPr>
          </w:p>
        </w:tc>
        <w:tc>
          <w:tcPr>
            <w:tcW w:w="429" w:type="pct"/>
            <w:shd w:val="clear" w:color="auto" w:fill="F2F2F2"/>
            <w:vAlign w:val="center"/>
          </w:tcPr>
          <w:p w14:paraId="04240AE7" w14:textId="77777777" w:rsidR="00F021A5" w:rsidRPr="00FF69D9" w:rsidRDefault="00F021A5" w:rsidP="006C35C5">
            <w:pPr>
              <w:pStyle w:val="TabelaNAPOVED"/>
              <w:rPr>
                <w:color w:val="000000"/>
              </w:rPr>
            </w:pPr>
          </w:p>
        </w:tc>
        <w:tc>
          <w:tcPr>
            <w:tcW w:w="424" w:type="pct"/>
            <w:shd w:val="clear" w:color="auto" w:fill="F2F2F2"/>
          </w:tcPr>
          <w:p w14:paraId="75C30560" w14:textId="77777777" w:rsidR="00F021A5" w:rsidRPr="00FF69D9" w:rsidRDefault="00F021A5" w:rsidP="006C35C5">
            <w:pPr>
              <w:pStyle w:val="TabelaNAPOVED"/>
              <w:rPr>
                <w:color w:val="000000"/>
              </w:rPr>
            </w:pPr>
          </w:p>
        </w:tc>
      </w:tr>
      <w:tr w:rsidR="00F021A5" w:rsidRPr="00681FDB" w14:paraId="2160FEE2" w14:textId="77777777" w:rsidTr="006C35C5">
        <w:trPr>
          <w:trHeight w:val="284"/>
          <w:jc w:val="center"/>
        </w:trPr>
        <w:tc>
          <w:tcPr>
            <w:tcW w:w="2860" w:type="pct"/>
            <w:vAlign w:val="center"/>
          </w:tcPr>
          <w:p w14:paraId="2CF57E16" w14:textId="77777777" w:rsidR="00F021A5" w:rsidRPr="008A56A5" w:rsidRDefault="00F021A5" w:rsidP="006C35C5">
            <w:pPr>
              <w:spacing w:line="240" w:lineRule="auto"/>
              <w:rPr>
                <w:sz w:val="18"/>
                <w:szCs w:val="18"/>
              </w:rPr>
            </w:pPr>
            <w:r w:rsidRPr="008A56A5">
              <w:rPr>
                <w:sz w:val="18"/>
                <w:szCs w:val="18"/>
              </w:rPr>
              <w:t>Zaposlenost, SNA, rast v %</w:t>
            </w:r>
          </w:p>
        </w:tc>
        <w:tc>
          <w:tcPr>
            <w:tcW w:w="429" w:type="pct"/>
            <w:vAlign w:val="center"/>
          </w:tcPr>
          <w:p w14:paraId="60F2D4FA" w14:textId="77777777" w:rsidR="00F021A5" w:rsidRPr="00885D63" w:rsidRDefault="00F021A5" w:rsidP="006C35C5">
            <w:pPr>
              <w:pStyle w:val="TabelaNAPOVED"/>
              <w:rPr>
                <w:rFonts w:cs="Arial"/>
                <w:szCs w:val="16"/>
                <w:lang w:val="en-US"/>
              </w:rPr>
            </w:pPr>
            <w:r w:rsidRPr="00087D47">
              <w:rPr>
                <w:rFonts w:cs="Arial"/>
                <w:szCs w:val="16"/>
                <w:lang w:val="en-US"/>
              </w:rPr>
              <w:t>2,5</w:t>
            </w:r>
          </w:p>
        </w:tc>
        <w:tc>
          <w:tcPr>
            <w:tcW w:w="429" w:type="pct"/>
            <w:vAlign w:val="center"/>
          </w:tcPr>
          <w:p w14:paraId="5EE1637E" w14:textId="77777777" w:rsidR="00F021A5" w:rsidRPr="00767446" w:rsidRDefault="00F021A5" w:rsidP="006C35C5">
            <w:pPr>
              <w:pStyle w:val="TabelaNAPOVED"/>
            </w:pPr>
            <w:r w:rsidRPr="00885D63">
              <w:rPr>
                <w:rFonts w:cs="Arial"/>
                <w:szCs w:val="16"/>
                <w:lang w:val="en-US"/>
              </w:rPr>
              <w:t>-1,0</w:t>
            </w:r>
          </w:p>
        </w:tc>
        <w:tc>
          <w:tcPr>
            <w:tcW w:w="429" w:type="pct"/>
            <w:vAlign w:val="center"/>
          </w:tcPr>
          <w:p w14:paraId="07B2CF77" w14:textId="77777777" w:rsidR="00F021A5" w:rsidRPr="00FF69D9" w:rsidRDefault="00F021A5" w:rsidP="006C35C5">
            <w:pPr>
              <w:pStyle w:val="TabelaNAPOVED"/>
              <w:rPr>
                <w:b/>
                <w:bCs/>
                <w:color w:val="000000"/>
                <w:highlight w:val="yellow"/>
              </w:rPr>
            </w:pPr>
            <w:r w:rsidRPr="00FF69D9">
              <w:rPr>
                <w:rFonts w:cs="Arial"/>
                <w:b/>
                <w:color w:val="000000"/>
                <w:spacing w:val="-4"/>
                <w:szCs w:val="16"/>
                <w:lang w:val="en-US"/>
              </w:rPr>
              <w:t>0,8</w:t>
            </w:r>
          </w:p>
        </w:tc>
        <w:tc>
          <w:tcPr>
            <w:tcW w:w="429" w:type="pct"/>
            <w:vAlign w:val="center"/>
          </w:tcPr>
          <w:p w14:paraId="71CDB0EA" w14:textId="77777777" w:rsidR="00F021A5" w:rsidRPr="00FF69D9" w:rsidRDefault="00F021A5" w:rsidP="006C35C5">
            <w:pPr>
              <w:pStyle w:val="TabelaNAPOVED"/>
              <w:rPr>
                <w:b/>
                <w:bCs/>
                <w:color w:val="000000"/>
              </w:rPr>
            </w:pPr>
            <w:r w:rsidRPr="00FF69D9">
              <w:rPr>
                <w:rFonts w:cs="Arial"/>
                <w:b/>
                <w:color w:val="000000"/>
                <w:spacing w:val="-4"/>
                <w:szCs w:val="16"/>
                <w:lang w:val="en-US"/>
              </w:rPr>
              <w:t>1,5</w:t>
            </w:r>
          </w:p>
        </w:tc>
        <w:tc>
          <w:tcPr>
            <w:tcW w:w="424" w:type="pct"/>
            <w:vAlign w:val="center"/>
          </w:tcPr>
          <w:p w14:paraId="7B08F30C" w14:textId="77777777" w:rsidR="00F021A5" w:rsidRPr="00FF69D9" w:rsidRDefault="00F021A5" w:rsidP="006C35C5">
            <w:pPr>
              <w:pStyle w:val="TabelaNAPOVED"/>
              <w:rPr>
                <w:b/>
                <w:bCs/>
                <w:color w:val="000000"/>
              </w:rPr>
            </w:pPr>
            <w:r w:rsidRPr="00FF69D9">
              <w:rPr>
                <w:rFonts w:cs="Arial"/>
                <w:b/>
                <w:color w:val="000000"/>
                <w:spacing w:val="-4"/>
                <w:szCs w:val="16"/>
                <w:lang w:val="en-US"/>
              </w:rPr>
              <w:t>1,5</w:t>
            </w:r>
          </w:p>
        </w:tc>
      </w:tr>
      <w:tr w:rsidR="00F021A5" w:rsidRPr="00681FDB" w14:paraId="721E8998" w14:textId="77777777" w:rsidTr="006C35C5">
        <w:trPr>
          <w:trHeight w:val="284"/>
          <w:jc w:val="center"/>
        </w:trPr>
        <w:tc>
          <w:tcPr>
            <w:tcW w:w="2860" w:type="pct"/>
            <w:vAlign w:val="center"/>
          </w:tcPr>
          <w:p w14:paraId="211EF0C1" w14:textId="77777777" w:rsidR="00F021A5" w:rsidRPr="008A56A5" w:rsidRDefault="00F021A5" w:rsidP="006C35C5">
            <w:pPr>
              <w:spacing w:line="240" w:lineRule="auto"/>
              <w:rPr>
                <w:sz w:val="18"/>
                <w:szCs w:val="18"/>
              </w:rPr>
            </w:pPr>
            <w:r w:rsidRPr="008A56A5">
              <w:rPr>
                <w:sz w:val="18"/>
                <w:szCs w:val="18"/>
              </w:rPr>
              <w:t>Stopnja registrirane brezposelnosti v %</w:t>
            </w:r>
          </w:p>
        </w:tc>
        <w:tc>
          <w:tcPr>
            <w:tcW w:w="429" w:type="pct"/>
            <w:vAlign w:val="center"/>
          </w:tcPr>
          <w:p w14:paraId="3B06EEFC" w14:textId="77777777" w:rsidR="00F021A5" w:rsidRPr="00885D63" w:rsidRDefault="00F021A5" w:rsidP="006C35C5">
            <w:pPr>
              <w:pStyle w:val="TabelaNAPOVED"/>
              <w:rPr>
                <w:rFonts w:cs="Arial"/>
                <w:szCs w:val="16"/>
                <w:lang w:val="en-US"/>
              </w:rPr>
            </w:pPr>
            <w:r w:rsidRPr="00087D47">
              <w:rPr>
                <w:rFonts w:cs="Arial"/>
                <w:szCs w:val="16"/>
                <w:lang w:val="en-US"/>
              </w:rPr>
              <w:t>7,7</w:t>
            </w:r>
          </w:p>
        </w:tc>
        <w:tc>
          <w:tcPr>
            <w:tcW w:w="429" w:type="pct"/>
            <w:vAlign w:val="center"/>
          </w:tcPr>
          <w:p w14:paraId="140B0F58" w14:textId="77777777" w:rsidR="00F021A5" w:rsidRPr="00767446" w:rsidRDefault="00F021A5" w:rsidP="006C35C5">
            <w:pPr>
              <w:pStyle w:val="TabelaNAPOVED"/>
            </w:pPr>
            <w:r w:rsidRPr="00885D63">
              <w:rPr>
                <w:rFonts w:cs="Arial"/>
                <w:szCs w:val="16"/>
                <w:lang w:val="en-US"/>
              </w:rPr>
              <w:t>8,7</w:t>
            </w:r>
          </w:p>
        </w:tc>
        <w:tc>
          <w:tcPr>
            <w:tcW w:w="429" w:type="pct"/>
            <w:vAlign w:val="center"/>
          </w:tcPr>
          <w:p w14:paraId="075855A0" w14:textId="77777777" w:rsidR="00F021A5" w:rsidRPr="00FF69D9" w:rsidRDefault="00F021A5" w:rsidP="006C35C5">
            <w:pPr>
              <w:pStyle w:val="TabelaNAPOVED"/>
              <w:rPr>
                <w:b/>
                <w:bCs/>
                <w:color w:val="000000"/>
                <w:highlight w:val="yellow"/>
              </w:rPr>
            </w:pPr>
            <w:r w:rsidRPr="00FF69D9">
              <w:rPr>
                <w:rFonts w:cs="Arial"/>
                <w:b/>
                <w:color w:val="000000"/>
                <w:spacing w:val="-4"/>
                <w:szCs w:val="16"/>
                <w:lang w:val="en-US"/>
              </w:rPr>
              <w:t>8,5</w:t>
            </w:r>
          </w:p>
        </w:tc>
        <w:tc>
          <w:tcPr>
            <w:tcW w:w="429" w:type="pct"/>
            <w:vAlign w:val="center"/>
          </w:tcPr>
          <w:p w14:paraId="62D98682" w14:textId="77777777" w:rsidR="00F021A5" w:rsidRPr="00FF69D9" w:rsidRDefault="00F021A5" w:rsidP="006C35C5">
            <w:pPr>
              <w:pStyle w:val="TabelaNAPOVED"/>
              <w:rPr>
                <w:b/>
                <w:bCs/>
                <w:color w:val="000000"/>
              </w:rPr>
            </w:pPr>
            <w:r w:rsidRPr="00FF69D9">
              <w:rPr>
                <w:rFonts w:cs="Arial"/>
                <w:b/>
                <w:color w:val="000000"/>
                <w:spacing w:val="-4"/>
                <w:szCs w:val="16"/>
                <w:lang w:val="en-US"/>
              </w:rPr>
              <w:t>8,1</w:t>
            </w:r>
          </w:p>
        </w:tc>
        <w:tc>
          <w:tcPr>
            <w:tcW w:w="424" w:type="pct"/>
            <w:vAlign w:val="center"/>
          </w:tcPr>
          <w:p w14:paraId="4E0A0995" w14:textId="77777777" w:rsidR="00F021A5" w:rsidRPr="00FF69D9" w:rsidRDefault="00F021A5" w:rsidP="006C35C5">
            <w:pPr>
              <w:pStyle w:val="TabelaNAPOVED"/>
              <w:rPr>
                <w:b/>
                <w:bCs/>
                <w:color w:val="000000"/>
              </w:rPr>
            </w:pPr>
            <w:r w:rsidRPr="00FF69D9">
              <w:rPr>
                <w:rFonts w:cs="Arial"/>
                <w:b/>
                <w:color w:val="000000"/>
                <w:spacing w:val="-4"/>
                <w:szCs w:val="16"/>
                <w:lang w:val="en-US"/>
              </w:rPr>
              <w:t>7,6</w:t>
            </w:r>
          </w:p>
        </w:tc>
      </w:tr>
      <w:tr w:rsidR="00F021A5" w:rsidRPr="00681FDB" w14:paraId="5C682286" w14:textId="77777777" w:rsidTr="006C35C5">
        <w:trPr>
          <w:trHeight w:val="284"/>
          <w:jc w:val="center"/>
        </w:trPr>
        <w:tc>
          <w:tcPr>
            <w:tcW w:w="2860" w:type="pct"/>
            <w:vAlign w:val="center"/>
          </w:tcPr>
          <w:p w14:paraId="18917EB6" w14:textId="77777777" w:rsidR="00F021A5" w:rsidRPr="008A56A5" w:rsidRDefault="00F021A5" w:rsidP="006C35C5">
            <w:pPr>
              <w:spacing w:line="240" w:lineRule="auto"/>
              <w:rPr>
                <w:sz w:val="18"/>
                <w:szCs w:val="18"/>
              </w:rPr>
            </w:pPr>
            <w:r w:rsidRPr="008A56A5">
              <w:rPr>
                <w:sz w:val="18"/>
                <w:szCs w:val="18"/>
              </w:rPr>
              <w:t>Stopnja brezposelnosti po anketi o delovni sili v %</w:t>
            </w:r>
          </w:p>
        </w:tc>
        <w:tc>
          <w:tcPr>
            <w:tcW w:w="429" w:type="pct"/>
            <w:vAlign w:val="center"/>
          </w:tcPr>
          <w:p w14:paraId="20B6D493" w14:textId="77777777" w:rsidR="00F021A5" w:rsidRPr="00885D63" w:rsidRDefault="00F021A5" w:rsidP="006C35C5">
            <w:pPr>
              <w:pStyle w:val="TabelaNAPOVED"/>
              <w:rPr>
                <w:rFonts w:cs="Arial"/>
                <w:szCs w:val="16"/>
                <w:lang w:val="en-US"/>
              </w:rPr>
            </w:pPr>
            <w:r w:rsidRPr="00087D47">
              <w:rPr>
                <w:rFonts w:cs="Arial"/>
                <w:szCs w:val="16"/>
                <w:lang w:val="en-US"/>
              </w:rPr>
              <w:t>4,5</w:t>
            </w:r>
          </w:p>
        </w:tc>
        <w:tc>
          <w:tcPr>
            <w:tcW w:w="429" w:type="pct"/>
            <w:vAlign w:val="center"/>
          </w:tcPr>
          <w:p w14:paraId="2105D7AE" w14:textId="77777777" w:rsidR="00F021A5" w:rsidRPr="00767446" w:rsidRDefault="00F021A5" w:rsidP="006C35C5">
            <w:pPr>
              <w:pStyle w:val="TabelaNAPOVED"/>
            </w:pPr>
            <w:r w:rsidRPr="00885D63">
              <w:rPr>
                <w:rFonts w:cs="Arial"/>
                <w:szCs w:val="16"/>
                <w:lang w:val="en-US"/>
              </w:rPr>
              <w:t>5,0</w:t>
            </w:r>
          </w:p>
        </w:tc>
        <w:tc>
          <w:tcPr>
            <w:tcW w:w="429" w:type="pct"/>
            <w:vAlign w:val="center"/>
          </w:tcPr>
          <w:p w14:paraId="7830049A" w14:textId="77777777" w:rsidR="00F021A5" w:rsidRPr="00FF69D9" w:rsidRDefault="00F021A5" w:rsidP="006C35C5">
            <w:pPr>
              <w:pStyle w:val="TabelaNAPOVED"/>
              <w:rPr>
                <w:b/>
                <w:bCs/>
                <w:color w:val="000000"/>
                <w:highlight w:val="yellow"/>
              </w:rPr>
            </w:pPr>
            <w:r w:rsidRPr="00FF69D9">
              <w:rPr>
                <w:rFonts w:cs="Arial"/>
                <w:b/>
                <w:color w:val="000000"/>
                <w:spacing w:val="-4"/>
                <w:szCs w:val="16"/>
                <w:lang w:val="en-US"/>
              </w:rPr>
              <w:t>5,0</w:t>
            </w:r>
          </w:p>
        </w:tc>
        <w:tc>
          <w:tcPr>
            <w:tcW w:w="429" w:type="pct"/>
            <w:vAlign w:val="center"/>
          </w:tcPr>
          <w:p w14:paraId="652D7257" w14:textId="77777777" w:rsidR="00F021A5" w:rsidRPr="00FF69D9" w:rsidRDefault="00F021A5" w:rsidP="006C35C5">
            <w:pPr>
              <w:pStyle w:val="TabelaNAPOVED"/>
              <w:rPr>
                <w:b/>
                <w:bCs/>
                <w:color w:val="000000"/>
              </w:rPr>
            </w:pPr>
            <w:r w:rsidRPr="00FF69D9">
              <w:rPr>
                <w:rFonts w:cs="Arial"/>
                <w:b/>
                <w:color w:val="000000"/>
                <w:spacing w:val="-4"/>
                <w:szCs w:val="16"/>
                <w:lang w:val="en-US"/>
              </w:rPr>
              <w:t>4,8</w:t>
            </w:r>
          </w:p>
        </w:tc>
        <w:tc>
          <w:tcPr>
            <w:tcW w:w="424" w:type="pct"/>
            <w:vAlign w:val="center"/>
          </w:tcPr>
          <w:p w14:paraId="1B88711D" w14:textId="77777777" w:rsidR="00F021A5" w:rsidRPr="00FF69D9" w:rsidRDefault="00F021A5" w:rsidP="006C35C5">
            <w:pPr>
              <w:pStyle w:val="TabelaNAPOVED"/>
              <w:rPr>
                <w:b/>
                <w:bCs/>
                <w:color w:val="000000"/>
              </w:rPr>
            </w:pPr>
            <w:r w:rsidRPr="00FF69D9">
              <w:rPr>
                <w:rFonts w:cs="Arial"/>
                <w:b/>
                <w:color w:val="000000"/>
                <w:spacing w:val="-4"/>
                <w:szCs w:val="16"/>
                <w:lang w:val="en-US"/>
              </w:rPr>
              <w:t>4,5</w:t>
            </w:r>
          </w:p>
        </w:tc>
      </w:tr>
      <w:tr w:rsidR="00F021A5" w:rsidRPr="00681FDB" w14:paraId="4778F0E3" w14:textId="77777777" w:rsidTr="006C35C5">
        <w:trPr>
          <w:trHeight w:val="284"/>
          <w:jc w:val="center"/>
        </w:trPr>
        <w:tc>
          <w:tcPr>
            <w:tcW w:w="2860" w:type="pct"/>
            <w:vAlign w:val="center"/>
          </w:tcPr>
          <w:p w14:paraId="22016957" w14:textId="77777777" w:rsidR="00F021A5" w:rsidRPr="008A56A5" w:rsidRDefault="00F021A5" w:rsidP="006C35C5">
            <w:pPr>
              <w:spacing w:line="240" w:lineRule="auto"/>
              <w:rPr>
                <w:sz w:val="18"/>
                <w:szCs w:val="18"/>
              </w:rPr>
            </w:pPr>
            <w:r w:rsidRPr="008A56A5">
              <w:rPr>
                <w:sz w:val="18"/>
                <w:szCs w:val="18"/>
              </w:rPr>
              <w:t>Bruto plače na zaposlenega, realna rast v %</w:t>
            </w:r>
          </w:p>
        </w:tc>
        <w:tc>
          <w:tcPr>
            <w:tcW w:w="429" w:type="pct"/>
            <w:vAlign w:val="bottom"/>
          </w:tcPr>
          <w:p w14:paraId="2B32EF58" w14:textId="77777777" w:rsidR="00F021A5" w:rsidRPr="0043365E" w:rsidRDefault="00F021A5" w:rsidP="006C35C5">
            <w:pPr>
              <w:pStyle w:val="TabelaNAPOVED"/>
              <w:rPr>
                <w:rFonts w:cs="Arial"/>
                <w:szCs w:val="16"/>
                <w:lang w:val="en-US"/>
              </w:rPr>
            </w:pPr>
            <w:r w:rsidRPr="00087D47">
              <w:rPr>
                <w:rFonts w:cs="Arial"/>
                <w:szCs w:val="16"/>
                <w:lang w:val="en-US"/>
              </w:rPr>
              <w:t>2,7</w:t>
            </w:r>
          </w:p>
        </w:tc>
        <w:tc>
          <w:tcPr>
            <w:tcW w:w="429" w:type="pct"/>
            <w:vAlign w:val="bottom"/>
          </w:tcPr>
          <w:p w14:paraId="5C14DA69" w14:textId="77777777" w:rsidR="00F021A5" w:rsidRPr="0043365E" w:rsidRDefault="00F021A5" w:rsidP="006C35C5">
            <w:pPr>
              <w:pStyle w:val="TabelaNAPOVED"/>
              <w:rPr>
                <w:rFonts w:cs="Arial"/>
                <w:szCs w:val="16"/>
                <w:lang w:val="en-US"/>
              </w:rPr>
            </w:pPr>
            <w:r w:rsidRPr="0043365E">
              <w:rPr>
                <w:rFonts w:cs="Arial"/>
                <w:szCs w:val="16"/>
                <w:lang w:val="en-US"/>
              </w:rPr>
              <w:t>5,9</w:t>
            </w:r>
          </w:p>
        </w:tc>
        <w:tc>
          <w:tcPr>
            <w:tcW w:w="429" w:type="pct"/>
            <w:vAlign w:val="bottom"/>
          </w:tcPr>
          <w:p w14:paraId="270BC703" w14:textId="77777777" w:rsidR="00F021A5" w:rsidRPr="00FF69D9" w:rsidRDefault="00F021A5" w:rsidP="006C35C5">
            <w:pPr>
              <w:pStyle w:val="TabelaNAPOVED"/>
              <w:rPr>
                <w:rFonts w:cs="Arial"/>
                <w:color w:val="000000"/>
                <w:szCs w:val="16"/>
                <w:lang w:val="en-US"/>
              </w:rPr>
            </w:pPr>
            <w:r w:rsidRPr="00FF69D9">
              <w:rPr>
                <w:rFonts w:cs="Arial"/>
                <w:b/>
                <w:bCs/>
                <w:color w:val="000000"/>
                <w:szCs w:val="16"/>
              </w:rPr>
              <w:t>-0,4</w:t>
            </w:r>
          </w:p>
        </w:tc>
        <w:tc>
          <w:tcPr>
            <w:tcW w:w="429" w:type="pct"/>
            <w:vAlign w:val="bottom"/>
          </w:tcPr>
          <w:p w14:paraId="09DE81E7" w14:textId="77777777" w:rsidR="00F021A5" w:rsidRPr="00FF69D9" w:rsidRDefault="00F021A5" w:rsidP="006C35C5">
            <w:pPr>
              <w:pStyle w:val="TabelaNAPOVED"/>
              <w:rPr>
                <w:rFonts w:cs="Arial"/>
                <w:color w:val="000000"/>
                <w:szCs w:val="16"/>
                <w:lang w:val="en-US"/>
              </w:rPr>
            </w:pPr>
            <w:r w:rsidRPr="00FF69D9">
              <w:rPr>
                <w:rFonts w:cs="Arial"/>
                <w:b/>
                <w:bCs/>
                <w:color w:val="000000"/>
                <w:szCs w:val="16"/>
              </w:rPr>
              <w:t>0,9</w:t>
            </w:r>
          </w:p>
        </w:tc>
        <w:tc>
          <w:tcPr>
            <w:tcW w:w="424" w:type="pct"/>
            <w:vAlign w:val="bottom"/>
          </w:tcPr>
          <w:p w14:paraId="382A3D28" w14:textId="77777777" w:rsidR="00F021A5" w:rsidRPr="00FF69D9" w:rsidRDefault="00F021A5" w:rsidP="006C35C5">
            <w:pPr>
              <w:pStyle w:val="TabelaNAPOVED"/>
              <w:rPr>
                <w:rFonts w:cs="Arial"/>
                <w:color w:val="000000"/>
                <w:szCs w:val="16"/>
                <w:lang w:val="en-US"/>
              </w:rPr>
            </w:pPr>
            <w:r w:rsidRPr="00FF69D9">
              <w:rPr>
                <w:rFonts w:cs="Arial"/>
                <w:b/>
                <w:bCs/>
                <w:color w:val="000000"/>
                <w:szCs w:val="16"/>
              </w:rPr>
              <w:t>1,1</w:t>
            </w:r>
          </w:p>
        </w:tc>
      </w:tr>
      <w:tr w:rsidR="00F021A5" w:rsidRPr="00681FDB" w14:paraId="7351001D" w14:textId="77777777" w:rsidTr="006C35C5">
        <w:trPr>
          <w:trHeight w:val="284"/>
          <w:jc w:val="center"/>
        </w:trPr>
        <w:tc>
          <w:tcPr>
            <w:tcW w:w="2860" w:type="pct"/>
            <w:vAlign w:val="center"/>
          </w:tcPr>
          <w:p w14:paraId="05BE07A4" w14:textId="77777777" w:rsidR="00F021A5" w:rsidRPr="008A56A5" w:rsidRDefault="00F021A5" w:rsidP="006C35C5">
            <w:pPr>
              <w:spacing w:line="240" w:lineRule="auto"/>
              <w:rPr>
                <w:sz w:val="18"/>
                <w:szCs w:val="18"/>
              </w:rPr>
            </w:pPr>
            <w:r w:rsidRPr="008A56A5">
              <w:rPr>
                <w:sz w:val="18"/>
                <w:szCs w:val="18"/>
              </w:rPr>
              <w:t xml:space="preserve">- zasebni sektor </w:t>
            </w:r>
          </w:p>
        </w:tc>
        <w:tc>
          <w:tcPr>
            <w:tcW w:w="429" w:type="pct"/>
            <w:vAlign w:val="center"/>
          </w:tcPr>
          <w:p w14:paraId="6637C384" w14:textId="77777777" w:rsidR="00F021A5" w:rsidRPr="00885D63" w:rsidRDefault="00F021A5" w:rsidP="006C35C5">
            <w:pPr>
              <w:pStyle w:val="TabelaNAPOVED"/>
              <w:rPr>
                <w:rFonts w:cs="Arial"/>
                <w:color w:val="000000"/>
                <w:szCs w:val="16"/>
              </w:rPr>
            </w:pPr>
            <w:r w:rsidRPr="00087D47">
              <w:rPr>
                <w:rFonts w:cs="Arial"/>
                <w:color w:val="000000"/>
                <w:szCs w:val="16"/>
              </w:rPr>
              <w:t>2,2</w:t>
            </w:r>
          </w:p>
        </w:tc>
        <w:tc>
          <w:tcPr>
            <w:tcW w:w="429" w:type="pct"/>
            <w:vAlign w:val="center"/>
          </w:tcPr>
          <w:p w14:paraId="04548DDA" w14:textId="77777777" w:rsidR="00F021A5" w:rsidRPr="00767446" w:rsidRDefault="00F021A5" w:rsidP="006C35C5">
            <w:pPr>
              <w:pStyle w:val="TabelaNAPOVED"/>
            </w:pPr>
            <w:r w:rsidRPr="00885D63">
              <w:rPr>
                <w:rFonts w:cs="Arial"/>
                <w:color w:val="000000"/>
                <w:szCs w:val="16"/>
              </w:rPr>
              <w:t>4,5</w:t>
            </w:r>
          </w:p>
        </w:tc>
        <w:tc>
          <w:tcPr>
            <w:tcW w:w="429" w:type="pct"/>
            <w:vAlign w:val="center"/>
          </w:tcPr>
          <w:p w14:paraId="3AD29114" w14:textId="77777777" w:rsidR="00F021A5" w:rsidRPr="00FF69D9" w:rsidRDefault="00F021A5" w:rsidP="006C35C5">
            <w:pPr>
              <w:pStyle w:val="TabelaNAPOVED"/>
              <w:rPr>
                <w:b/>
                <w:color w:val="000000"/>
              </w:rPr>
            </w:pPr>
            <w:r w:rsidRPr="00FF69D9">
              <w:rPr>
                <w:rFonts w:cs="Arial"/>
                <w:b/>
                <w:bCs/>
                <w:color w:val="000000"/>
                <w:szCs w:val="16"/>
              </w:rPr>
              <w:t>0,2</w:t>
            </w:r>
          </w:p>
        </w:tc>
        <w:tc>
          <w:tcPr>
            <w:tcW w:w="429" w:type="pct"/>
            <w:vAlign w:val="center"/>
          </w:tcPr>
          <w:p w14:paraId="3B147E8A" w14:textId="77777777" w:rsidR="00F021A5" w:rsidRPr="00FF69D9" w:rsidRDefault="00F021A5" w:rsidP="006C35C5">
            <w:pPr>
              <w:pStyle w:val="TabelaNAPOVED"/>
              <w:rPr>
                <w:b/>
                <w:color w:val="000000"/>
              </w:rPr>
            </w:pPr>
            <w:r w:rsidRPr="00FF69D9">
              <w:rPr>
                <w:rFonts w:cs="Arial"/>
                <w:b/>
                <w:bCs/>
                <w:color w:val="000000"/>
                <w:szCs w:val="16"/>
              </w:rPr>
              <w:t>1,2</w:t>
            </w:r>
          </w:p>
        </w:tc>
        <w:tc>
          <w:tcPr>
            <w:tcW w:w="424" w:type="pct"/>
            <w:vAlign w:val="center"/>
          </w:tcPr>
          <w:p w14:paraId="1C47388B" w14:textId="77777777" w:rsidR="00F021A5" w:rsidRPr="00FF69D9" w:rsidRDefault="00F021A5" w:rsidP="006C35C5">
            <w:pPr>
              <w:pStyle w:val="TabelaNAPOVED"/>
              <w:rPr>
                <w:b/>
                <w:bCs/>
                <w:color w:val="000000"/>
              </w:rPr>
            </w:pPr>
            <w:r w:rsidRPr="00FF69D9">
              <w:rPr>
                <w:rFonts w:cs="Arial"/>
                <w:b/>
                <w:bCs/>
                <w:color w:val="000000"/>
                <w:szCs w:val="16"/>
              </w:rPr>
              <w:t>1,1</w:t>
            </w:r>
          </w:p>
        </w:tc>
      </w:tr>
      <w:tr w:rsidR="00F021A5" w:rsidRPr="00681FDB" w14:paraId="33DB6EC0" w14:textId="77777777" w:rsidTr="006C35C5">
        <w:trPr>
          <w:trHeight w:val="284"/>
          <w:jc w:val="center"/>
        </w:trPr>
        <w:tc>
          <w:tcPr>
            <w:tcW w:w="2860" w:type="pct"/>
            <w:vAlign w:val="center"/>
          </w:tcPr>
          <w:p w14:paraId="057E4DA7" w14:textId="77777777" w:rsidR="00F021A5" w:rsidRPr="008A56A5" w:rsidRDefault="00F021A5" w:rsidP="006C35C5">
            <w:pPr>
              <w:spacing w:line="240" w:lineRule="auto"/>
              <w:rPr>
                <w:sz w:val="18"/>
                <w:szCs w:val="18"/>
              </w:rPr>
            </w:pPr>
            <w:r w:rsidRPr="008A56A5">
              <w:rPr>
                <w:sz w:val="18"/>
                <w:szCs w:val="18"/>
              </w:rPr>
              <w:t>- javni sektor</w:t>
            </w:r>
          </w:p>
        </w:tc>
        <w:tc>
          <w:tcPr>
            <w:tcW w:w="429" w:type="pct"/>
            <w:vAlign w:val="center"/>
          </w:tcPr>
          <w:p w14:paraId="5975AF8C" w14:textId="77777777" w:rsidR="00F021A5" w:rsidRPr="00885D63" w:rsidRDefault="00F021A5" w:rsidP="006C35C5">
            <w:pPr>
              <w:pStyle w:val="TabelaNAPOVED"/>
              <w:rPr>
                <w:rFonts w:cs="Arial"/>
                <w:color w:val="000000"/>
                <w:szCs w:val="16"/>
              </w:rPr>
            </w:pPr>
            <w:r w:rsidRPr="00087D47">
              <w:rPr>
                <w:rFonts w:cs="Arial"/>
                <w:color w:val="000000"/>
                <w:szCs w:val="16"/>
              </w:rPr>
              <w:t>3,7</w:t>
            </w:r>
          </w:p>
        </w:tc>
        <w:tc>
          <w:tcPr>
            <w:tcW w:w="429" w:type="pct"/>
            <w:vAlign w:val="center"/>
          </w:tcPr>
          <w:p w14:paraId="12DC6A53" w14:textId="77777777" w:rsidR="00F021A5" w:rsidRPr="00767446" w:rsidRDefault="00F021A5" w:rsidP="006C35C5">
            <w:pPr>
              <w:pStyle w:val="TabelaNAPOVED"/>
            </w:pPr>
            <w:r w:rsidRPr="00885D63">
              <w:rPr>
                <w:rFonts w:cs="Arial"/>
                <w:color w:val="000000"/>
                <w:szCs w:val="16"/>
              </w:rPr>
              <w:t>7,9</w:t>
            </w:r>
          </w:p>
        </w:tc>
        <w:tc>
          <w:tcPr>
            <w:tcW w:w="429" w:type="pct"/>
            <w:vAlign w:val="center"/>
          </w:tcPr>
          <w:p w14:paraId="2CE7AB2D" w14:textId="77777777" w:rsidR="00F021A5" w:rsidRPr="00FF69D9" w:rsidRDefault="00F021A5" w:rsidP="006C35C5">
            <w:pPr>
              <w:pStyle w:val="TabelaNAPOVED"/>
              <w:rPr>
                <w:b/>
                <w:color w:val="000000"/>
              </w:rPr>
            </w:pPr>
            <w:r w:rsidRPr="00FF69D9">
              <w:rPr>
                <w:rFonts w:cs="Arial"/>
                <w:b/>
                <w:bCs/>
                <w:color w:val="000000"/>
                <w:szCs w:val="16"/>
              </w:rPr>
              <w:t>-1,2</w:t>
            </w:r>
          </w:p>
        </w:tc>
        <w:tc>
          <w:tcPr>
            <w:tcW w:w="429" w:type="pct"/>
            <w:vAlign w:val="center"/>
          </w:tcPr>
          <w:p w14:paraId="4E9E9997" w14:textId="77777777" w:rsidR="00F021A5" w:rsidRPr="00FF69D9" w:rsidRDefault="00F021A5" w:rsidP="006C35C5">
            <w:pPr>
              <w:pStyle w:val="TabelaNAPOVED"/>
              <w:rPr>
                <w:b/>
                <w:color w:val="000000"/>
              </w:rPr>
            </w:pPr>
            <w:r w:rsidRPr="00FF69D9">
              <w:rPr>
                <w:rFonts w:cs="Arial"/>
                <w:b/>
                <w:bCs/>
                <w:color w:val="000000"/>
                <w:szCs w:val="16"/>
              </w:rPr>
              <w:t>0,7</w:t>
            </w:r>
          </w:p>
        </w:tc>
        <w:tc>
          <w:tcPr>
            <w:tcW w:w="424" w:type="pct"/>
            <w:vAlign w:val="center"/>
          </w:tcPr>
          <w:p w14:paraId="35771132" w14:textId="77777777" w:rsidR="00F021A5" w:rsidRPr="00FF69D9" w:rsidRDefault="00F021A5" w:rsidP="006C35C5">
            <w:pPr>
              <w:pStyle w:val="TabelaNAPOVED"/>
              <w:rPr>
                <w:b/>
                <w:bCs/>
                <w:color w:val="000000"/>
              </w:rPr>
            </w:pPr>
            <w:r w:rsidRPr="00FF69D9">
              <w:rPr>
                <w:rFonts w:cs="Arial"/>
                <w:b/>
                <w:bCs/>
                <w:color w:val="000000"/>
                <w:szCs w:val="16"/>
              </w:rPr>
              <w:t>0,8</w:t>
            </w:r>
          </w:p>
        </w:tc>
      </w:tr>
      <w:tr w:rsidR="00F021A5" w:rsidRPr="00681FDB" w14:paraId="709A1787" w14:textId="77777777" w:rsidTr="006C35C5">
        <w:trPr>
          <w:trHeight w:val="284"/>
          <w:jc w:val="center"/>
        </w:trPr>
        <w:tc>
          <w:tcPr>
            <w:tcW w:w="2860" w:type="pct"/>
            <w:vAlign w:val="center"/>
          </w:tcPr>
          <w:p w14:paraId="04348F73" w14:textId="77777777" w:rsidR="00F021A5" w:rsidRPr="008A56A5" w:rsidRDefault="00F021A5" w:rsidP="006C35C5">
            <w:pPr>
              <w:spacing w:line="240" w:lineRule="auto"/>
              <w:rPr>
                <w:sz w:val="18"/>
                <w:szCs w:val="18"/>
              </w:rPr>
            </w:pPr>
            <w:r w:rsidRPr="008A56A5">
              <w:rPr>
                <w:sz w:val="18"/>
                <w:szCs w:val="18"/>
              </w:rPr>
              <w:t>Produktivnost dela (BDP na zaposlenega), realna rast v %</w:t>
            </w:r>
          </w:p>
        </w:tc>
        <w:tc>
          <w:tcPr>
            <w:tcW w:w="429" w:type="pct"/>
            <w:vAlign w:val="center"/>
          </w:tcPr>
          <w:p w14:paraId="6F6FDE21" w14:textId="77777777" w:rsidR="00F021A5" w:rsidRPr="00885D63" w:rsidRDefault="00F021A5" w:rsidP="006C35C5">
            <w:pPr>
              <w:pStyle w:val="TabelaNAPOVED"/>
              <w:rPr>
                <w:rFonts w:cs="Arial"/>
                <w:szCs w:val="16"/>
                <w:lang w:val="en-US"/>
              </w:rPr>
            </w:pPr>
            <w:r w:rsidRPr="00087D47">
              <w:rPr>
                <w:rFonts w:cs="Arial"/>
                <w:szCs w:val="16"/>
                <w:lang w:val="en-US"/>
              </w:rPr>
              <w:t>0,7</w:t>
            </w:r>
          </w:p>
        </w:tc>
        <w:tc>
          <w:tcPr>
            <w:tcW w:w="429" w:type="pct"/>
            <w:vAlign w:val="center"/>
          </w:tcPr>
          <w:p w14:paraId="31A99066" w14:textId="77777777" w:rsidR="00F021A5" w:rsidRPr="00767446" w:rsidRDefault="00F021A5" w:rsidP="006C35C5">
            <w:pPr>
              <w:pStyle w:val="TabelaNAPOVED"/>
            </w:pPr>
            <w:r w:rsidRPr="00885D63">
              <w:rPr>
                <w:rFonts w:cs="Arial"/>
                <w:szCs w:val="16"/>
                <w:lang w:val="en-US"/>
              </w:rPr>
              <w:t>-4,6</w:t>
            </w:r>
          </w:p>
        </w:tc>
        <w:tc>
          <w:tcPr>
            <w:tcW w:w="429" w:type="pct"/>
            <w:vAlign w:val="center"/>
          </w:tcPr>
          <w:p w14:paraId="51156EFF" w14:textId="77777777" w:rsidR="00F021A5" w:rsidRPr="00FF69D9" w:rsidRDefault="00F021A5" w:rsidP="006C35C5">
            <w:pPr>
              <w:pStyle w:val="TabelaNAPOVED"/>
              <w:rPr>
                <w:b/>
                <w:bCs/>
                <w:color w:val="000000"/>
                <w:highlight w:val="yellow"/>
              </w:rPr>
            </w:pPr>
            <w:r w:rsidRPr="00FF69D9">
              <w:rPr>
                <w:rFonts w:cs="Arial"/>
                <w:b/>
                <w:color w:val="000000"/>
                <w:spacing w:val="-4"/>
                <w:szCs w:val="16"/>
                <w:lang w:val="en-US"/>
              </w:rPr>
              <w:t>3,8</w:t>
            </w:r>
          </w:p>
        </w:tc>
        <w:tc>
          <w:tcPr>
            <w:tcW w:w="429" w:type="pct"/>
            <w:vAlign w:val="center"/>
          </w:tcPr>
          <w:p w14:paraId="3E501397" w14:textId="77777777" w:rsidR="00F021A5" w:rsidRPr="00FF69D9" w:rsidRDefault="00F021A5" w:rsidP="006C35C5">
            <w:pPr>
              <w:pStyle w:val="TabelaNAPOVED"/>
              <w:rPr>
                <w:b/>
                <w:bCs/>
                <w:color w:val="000000"/>
              </w:rPr>
            </w:pPr>
            <w:r w:rsidRPr="00FF69D9">
              <w:rPr>
                <w:rFonts w:cs="Arial"/>
                <w:b/>
                <w:color w:val="000000"/>
                <w:spacing w:val="-4"/>
                <w:szCs w:val="16"/>
                <w:lang w:val="en-US"/>
              </w:rPr>
              <w:t>2,8</w:t>
            </w:r>
          </w:p>
        </w:tc>
        <w:tc>
          <w:tcPr>
            <w:tcW w:w="424" w:type="pct"/>
            <w:vAlign w:val="center"/>
          </w:tcPr>
          <w:p w14:paraId="210C515D" w14:textId="77777777" w:rsidR="00F021A5" w:rsidRPr="00FF69D9" w:rsidRDefault="00F021A5" w:rsidP="006C35C5">
            <w:pPr>
              <w:pStyle w:val="TabelaNAPOVED"/>
              <w:rPr>
                <w:b/>
                <w:bCs/>
                <w:color w:val="000000"/>
              </w:rPr>
            </w:pPr>
            <w:r w:rsidRPr="00FF69D9">
              <w:rPr>
                <w:rFonts w:cs="Arial"/>
                <w:b/>
                <w:color w:val="000000"/>
                <w:spacing w:val="-4"/>
                <w:szCs w:val="16"/>
                <w:lang w:val="en-US"/>
              </w:rPr>
              <w:t>1,7</w:t>
            </w:r>
          </w:p>
        </w:tc>
      </w:tr>
      <w:tr w:rsidR="00F021A5" w:rsidRPr="00681FDB" w14:paraId="376EF85A" w14:textId="77777777" w:rsidTr="006C35C5">
        <w:trPr>
          <w:trHeight w:val="186"/>
          <w:jc w:val="center"/>
        </w:trPr>
        <w:tc>
          <w:tcPr>
            <w:tcW w:w="2860" w:type="pct"/>
            <w:shd w:val="clear" w:color="auto" w:fill="F2F2F2"/>
            <w:vAlign w:val="center"/>
          </w:tcPr>
          <w:p w14:paraId="62857F77" w14:textId="77777777" w:rsidR="00F021A5" w:rsidRPr="008A56A5" w:rsidRDefault="00F021A5" w:rsidP="006C35C5">
            <w:pPr>
              <w:spacing w:line="240" w:lineRule="auto"/>
              <w:rPr>
                <w:sz w:val="18"/>
                <w:szCs w:val="18"/>
              </w:rPr>
            </w:pPr>
          </w:p>
        </w:tc>
        <w:tc>
          <w:tcPr>
            <w:tcW w:w="429" w:type="pct"/>
            <w:shd w:val="clear" w:color="auto" w:fill="F2F2F2"/>
            <w:vAlign w:val="center"/>
          </w:tcPr>
          <w:p w14:paraId="3677E7F3" w14:textId="77777777" w:rsidR="00F021A5" w:rsidRPr="00681FDB" w:rsidRDefault="00F021A5" w:rsidP="006C35C5">
            <w:pPr>
              <w:pStyle w:val="TabelaNAPOVED"/>
            </w:pPr>
          </w:p>
        </w:tc>
        <w:tc>
          <w:tcPr>
            <w:tcW w:w="429" w:type="pct"/>
            <w:shd w:val="clear" w:color="auto" w:fill="F2F2F2"/>
            <w:vAlign w:val="center"/>
          </w:tcPr>
          <w:p w14:paraId="310A2873" w14:textId="77777777" w:rsidR="00F021A5" w:rsidRPr="00681FDB" w:rsidRDefault="00F021A5" w:rsidP="006C35C5">
            <w:pPr>
              <w:pStyle w:val="TabelaNAPOVED"/>
            </w:pPr>
          </w:p>
        </w:tc>
        <w:tc>
          <w:tcPr>
            <w:tcW w:w="429" w:type="pct"/>
            <w:shd w:val="clear" w:color="auto" w:fill="F2F2F2"/>
            <w:vAlign w:val="center"/>
          </w:tcPr>
          <w:p w14:paraId="6DBE8F14" w14:textId="77777777" w:rsidR="00F021A5" w:rsidRPr="00FF69D9" w:rsidRDefault="00F021A5" w:rsidP="006C35C5">
            <w:pPr>
              <w:pStyle w:val="TabelaNAPOVED"/>
              <w:rPr>
                <w:color w:val="000000"/>
              </w:rPr>
            </w:pPr>
          </w:p>
        </w:tc>
        <w:tc>
          <w:tcPr>
            <w:tcW w:w="429" w:type="pct"/>
            <w:shd w:val="clear" w:color="auto" w:fill="F2F2F2"/>
            <w:vAlign w:val="center"/>
          </w:tcPr>
          <w:p w14:paraId="4283E129" w14:textId="77777777" w:rsidR="00F021A5" w:rsidRPr="00FF69D9" w:rsidRDefault="00F021A5" w:rsidP="006C35C5">
            <w:pPr>
              <w:pStyle w:val="TabelaNAPOVED"/>
              <w:rPr>
                <w:color w:val="000000"/>
              </w:rPr>
            </w:pPr>
          </w:p>
        </w:tc>
        <w:tc>
          <w:tcPr>
            <w:tcW w:w="424" w:type="pct"/>
            <w:shd w:val="clear" w:color="auto" w:fill="F2F2F2"/>
          </w:tcPr>
          <w:p w14:paraId="5861B524" w14:textId="77777777" w:rsidR="00F021A5" w:rsidRPr="00FF69D9" w:rsidRDefault="00F021A5" w:rsidP="006C35C5">
            <w:pPr>
              <w:pStyle w:val="TabelaNAPOVED"/>
              <w:rPr>
                <w:color w:val="000000"/>
              </w:rPr>
            </w:pPr>
          </w:p>
        </w:tc>
      </w:tr>
      <w:tr w:rsidR="00F021A5" w:rsidRPr="00681FDB" w14:paraId="22557774" w14:textId="77777777" w:rsidTr="006C35C5">
        <w:trPr>
          <w:trHeight w:val="284"/>
          <w:jc w:val="center"/>
        </w:trPr>
        <w:tc>
          <w:tcPr>
            <w:tcW w:w="2860" w:type="pct"/>
            <w:vAlign w:val="center"/>
          </w:tcPr>
          <w:p w14:paraId="373A591B" w14:textId="77777777" w:rsidR="00F021A5" w:rsidRPr="008A56A5" w:rsidRDefault="00F021A5" w:rsidP="006C35C5">
            <w:pPr>
              <w:spacing w:line="240" w:lineRule="auto"/>
              <w:rPr>
                <w:sz w:val="18"/>
                <w:szCs w:val="18"/>
              </w:rPr>
            </w:pPr>
            <w:r w:rsidRPr="008A56A5">
              <w:rPr>
                <w:sz w:val="18"/>
                <w:szCs w:val="18"/>
              </w:rPr>
              <w:t>Izvoz proizvodov in storitev, realna rast v %</w:t>
            </w:r>
          </w:p>
        </w:tc>
        <w:tc>
          <w:tcPr>
            <w:tcW w:w="429" w:type="pct"/>
            <w:vAlign w:val="center"/>
          </w:tcPr>
          <w:p w14:paraId="5479346D" w14:textId="77777777" w:rsidR="00F021A5" w:rsidRPr="00885D63" w:rsidRDefault="00F021A5" w:rsidP="006C35C5">
            <w:pPr>
              <w:pStyle w:val="TabelaNAPOVED"/>
              <w:rPr>
                <w:rFonts w:cs="Arial"/>
                <w:szCs w:val="16"/>
                <w:lang w:val="en-US"/>
              </w:rPr>
            </w:pPr>
            <w:r w:rsidRPr="00087D47">
              <w:rPr>
                <w:rFonts w:cs="Arial"/>
                <w:szCs w:val="16"/>
                <w:lang w:val="en-US"/>
              </w:rPr>
              <w:t>4,1</w:t>
            </w:r>
          </w:p>
        </w:tc>
        <w:tc>
          <w:tcPr>
            <w:tcW w:w="429" w:type="pct"/>
            <w:vAlign w:val="center"/>
          </w:tcPr>
          <w:p w14:paraId="48DD2EB6" w14:textId="77777777" w:rsidR="00F021A5" w:rsidRPr="00767446" w:rsidRDefault="00F021A5" w:rsidP="006C35C5">
            <w:pPr>
              <w:pStyle w:val="TabelaNAPOVED"/>
            </w:pPr>
            <w:r w:rsidRPr="00885D63">
              <w:rPr>
                <w:rFonts w:cs="Arial"/>
                <w:szCs w:val="16"/>
                <w:lang w:val="en-US"/>
              </w:rPr>
              <w:t>-8,7</w:t>
            </w:r>
          </w:p>
        </w:tc>
        <w:tc>
          <w:tcPr>
            <w:tcW w:w="429" w:type="pct"/>
            <w:vAlign w:val="center"/>
          </w:tcPr>
          <w:p w14:paraId="6855D248" w14:textId="77777777" w:rsidR="00F021A5" w:rsidRPr="00FF69D9" w:rsidRDefault="00F021A5" w:rsidP="006C35C5">
            <w:pPr>
              <w:pStyle w:val="TabelaNAPOVED"/>
              <w:rPr>
                <w:b/>
                <w:bCs/>
                <w:color w:val="000000"/>
                <w:highlight w:val="yellow"/>
              </w:rPr>
            </w:pPr>
            <w:r w:rsidRPr="00FF69D9">
              <w:rPr>
                <w:rFonts w:cs="Arial"/>
                <w:b/>
                <w:color w:val="000000"/>
                <w:spacing w:val="-4"/>
                <w:szCs w:val="16"/>
                <w:lang w:val="en-US"/>
              </w:rPr>
              <w:t>8,6</w:t>
            </w:r>
          </w:p>
        </w:tc>
        <w:tc>
          <w:tcPr>
            <w:tcW w:w="429" w:type="pct"/>
            <w:vAlign w:val="center"/>
          </w:tcPr>
          <w:p w14:paraId="3F711003" w14:textId="77777777" w:rsidR="00F021A5" w:rsidRPr="00FF69D9" w:rsidRDefault="00F021A5" w:rsidP="006C35C5">
            <w:pPr>
              <w:pStyle w:val="TabelaNAPOVED"/>
              <w:rPr>
                <w:b/>
                <w:bCs/>
                <w:color w:val="000000"/>
              </w:rPr>
            </w:pPr>
            <w:r w:rsidRPr="00FF69D9">
              <w:rPr>
                <w:rFonts w:cs="Arial"/>
                <w:b/>
                <w:color w:val="000000"/>
                <w:spacing w:val="-4"/>
                <w:szCs w:val="16"/>
                <w:lang w:val="en-US"/>
              </w:rPr>
              <w:t>7,3</w:t>
            </w:r>
          </w:p>
        </w:tc>
        <w:tc>
          <w:tcPr>
            <w:tcW w:w="424" w:type="pct"/>
            <w:vAlign w:val="center"/>
          </w:tcPr>
          <w:p w14:paraId="6F802698" w14:textId="77777777" w:rsidR="00F021A5" w:rsidRPr="00FF69D9" w:rsidRDefault="00F021A5" w:rsidP="006C35C5">
            <w:pPr>
              <w:pStyle w:val="TabelaNAPOVED"/>
              <w:rPr>
                <w:b/>
                <w:bCs/>
                <w:color w:val="000000"/>
              </w:rPr>
            </w:pPr>
            <w:r w:rsidRPr="00FF69D9">
              <w:rPr>
                <w:rFonts w:cs="Arial"/>
                <w:b/>
                <w:color w:val="000000"/>
                <w:spacing w:val="-4"/>
                <w:szCs w:val="16"/>
                <w:lang w:val="en-US"/>
              </w:rPr>
              <w:t>5,5</w:t>
            </w:r>
          </w:p>
        </w:tc>
      </w:tr>
      <w:tr w:rsidR="00F021A5" w:rsidRPr="00681FDB" w14:paraId="48A8522E" w14:textId="77777777" w:rsidTr="006C35C5">
        <w:trPr>
          <w:trHeight w:val="284"/>
          <w:jc w:val="center"/>
        </w:trPr>
        <w:tc>
          <w:tcPr>
            <w:tcW w:w="2860" w:type="pct"/>
            <w:vAlign w:val="center"/>
          </w:tcPr>
          <w:p w14:paraId="43D455B6" w14:textId="77777777" w:rsidR="00F021A5" w:rsidRPr="008A56A5" w:rsidRDefault="00F021A5" w:rsidP="006C35C5">
            <w:pPr>
              <w:spacing w:line="240" w:lineRule="auto"/>
              <w:rPr>
                <w:sz w:val="18"/>
                <w:szCs w:val="18"/>
              </w:rPr>
            </w:pPr>
            <w:r w:rsidRPr="008A56A5">
              <w:rPr>
                <w:sz w:val="18"/>
                <w:szCs w:val="18"/>
              </w:rPr>
              <w:t>Uvoz proizvodov in storitev, realna rast v %</w:t>
            </w:r>
          </w:p>
        </w:tc>
        <w:tc>
          <w:tcPr>
            <w:tcW w:w="429" w:type="pct"/>
            <w:vAlign w:val="center"/>
          </w:tcPr>
          <w:p w14:paraId="43E90647" w14:textId="77777777" w:rsidR="00F021A5" w:rsidRPr="00885D63" w:rsidRDefault="00F021A5" w:rsidP="006C35C5">
            <w:pPr>
              <w:pStyle w:val="TabelaNAPOVED"/>
              <w:rPr>
                <w:rFonts w:cs="Arial"/>
                <w:szCs w:val="16"/>
                <w:lang w:val="en-US"/>
              </w:rPr>
            </w:pPr>
            <w:r w:rsidRPr="00087D47">
              <w:rPr>
                <w:rFonts w:cs="Arial"/>
                <w:szCs w:val="16"/>
                <w:lang w:val="en-US"/>
              </w:rPr>
              <w:t>4,4</w:t>
            </w:r>
          </w:p>
        </w:tc>
        <w:tc>
          <w:tcPr>
            <w:tcW w:w="429" w:type="pct"/>
            <w:vAlign w:val="center"/>
          </w:tcPr>
          <w:p w14:paraId="5DA29F7E" w14:textId="77777777" w:rsidR="00F021A5" w:rsidRPr="00767446" w:rsidRDefault="00F021A5" w:rsidP="006C35C5">
            <w:pPr>
              <w:pStyle w:val="TabelaNAPOVED"/>
            </w:pPr>
            <w:r w:rsidRPr="00885D63">
              <w:rPr>
                <w:rFonts w:cs="Arial"/>
                <w:szCs w:val="16"/>
                <w:lang w:val="en-US"/>
              </w:rPr>
              <w:t>-10,2</w:t>
            </w:r>
          </w:p>
        </w:tc>
        <w:tc>
          <w:tcPr>
            <w:tcW w:w="429" w:type="pct"/>
            <w:vAlign w:val="center"/>
          </w:tcPr>
          <w:p w14:paraId="42CD8C79" w14:textId="77777777" w:rsidR="00F021A5" w:rsidRPr="00FF69D9" w:rsidRDefault="00F021A5" w:rsidP="006C35C5">
            <w:pPr>
              <w:pStyle w:val="TabelaNAPOVED"/>
              <w:rPr>
                <w:b/>
                <w:bCs/>
                <w:color w:val="000000"/>
                <w:highlight w:val="yellow"/>
              </w:rPr>
            </w:pPr>
            <w:r w:rsidRPr="00FF69D9">
              <w:rPr>
                <w:rFonts w:cs="Arial"/>
                <w:b/>
                <w:color w:val="000000"/>
                <w:spacing w:val="-4"/>
                <w:szCs w:val="16"/>
                <w:lang w:val="en-US"/>
              </w:rPr>
              <w:t>8,8</w:t>
            </w:r>
          </w:p>
        </w:tc>
        <w:tc>
          <w:tcPr>
            <w:tcW w:w="429" w:type="pct"/>
            <w:vAlign w:val="center"/>
          </w:tcPr>
          <w:p w14:paraId="6292E6C8" w14:textId="77777777" w:rsidR="00F021A5" w:rsidRPr="00FF69D9" w:rsidRDefault="00F021A5" w:rsidP="006C35C5">
            <w:pPr>
              <w:pStyle w:val="TabelaNAPOVED"/>
              <w:rPr>
                <w:b/>
                <w:bCs/>
                <w:color w:val="000000"/>
              </w:rPr>
            </w:pPr>
            <w:r w:rsidRPr="00FF69D9">
              <w:rPr>
                <w:rFonts w:cs="Arial"/>
                <w:b/>
                <w:color w:val="000000"/>
                <w:spacing w:val="-4"/>
                <w:szCs w:val="16"/>
                <w:lang w:val="en-US"/>
              </w:rPr>
              <w:t>8,1</w:t>
            </w:r>
          </w:p>
        </w:tc>
        <w:tc>
          <w:tcPr>
            <w:tcW w:w="424" w:type="pct"/>
            <w:vAlign w:val="center"/>
          </w:tcPr>
          <w:p w14:paraId="38AC64EB" w14:textId="77777777" w:rsidR="00F021A5" w:rsidRPr="00FF69D9" w:rsidRDefault="00F021A5" w:rsidP="006C35C5">
            <w:pPr>
              <w:pStyle w:val="TabelaNAPOVED"/>
              <w:rPr>
                <w:b/>
                <w:bCs/>
                <w:color w:val="000000"/>
              </w:rPr>
            </w:pPr>
            <w:r w:rsidRPr="00FF69D9">
              <w:rPr>
                <w:rFonts w:cs="Arial"/>
                <w:b/>
                <w:color w:val="000000"/>
                <w:spacing w:val="-4"/>
                <w:szCs w:val="16"/>
                <w:lang w:val="en-US"/>
              </w:rPr>
              <w:t>6,1</w:t>
            </w:r>
          </w:p>
        </w:tc>
      </w:tr>
      <w:tr w:rsidR="00F021A5" w:rsidRPr="00681FDB" w14:paraId="719F1D63" w14:textId="77777777" w:rsidTr="006C35C5">
        <w:trPr>
          <w:trHeight w:val="284"/>
          <w:jc w:val="center"/>
        </w:trPr>
        <w:tc>
          <w:tcPr>
            <w:tcW w:w="2860" w:type="pct"/>
            <w:vAlign w:val="center"/>
          </w:tcPr>
          <w:p w14:paraId="7C657B22" w14:textId="77777777" w:rsidR="00F021A5" w:rsidRPr="008A56A5" w:rsidRDefault="00F021A5" w:rsidP="006C35C5">
            <w:pPr>
              <w:spacing w:line="240" w:lineRule="auto"/>
              <w:rPr>
                <w:sz w:val="18"/>
                <w:szCs w:val="18"/>
              </w:rPr>
            </w:pPr>
            <w:r w:rsidRPr="008A56A5">
              <w:rPr>
                <w:sz w:val="18"/>
                <w:szCs w:val="18"/>
              </w:rPr>
              <w:t>Zasebna potrošnja, realna rast v %</w:t>
            </w:r>
          </w:p>
        </w:tc>
        <w:tc>
          <w:tcPr>
            <w:tcW w:w="429" w:type="pct"/>
            <w:vAlign w:val="center"/>
          </w:tcPr>
          <w:p w14:paraId="5C31D20B" w14:textId="77777777" w:rsidR="00F021A5" w:rsidRPr="00885D63" w:rsidRDefault="00F021A5" w:rsidP="006C35C5">
            <w:pPr>
              <w:pStyle w:val="TabelaNAPOVED"/>
              <w:rPr>
                <w:rFonts w:cs="Arial"/>
                <w:szCs w:val="16"/>
                <w:lang w:val="en-US"/>
              </w:rPr>
            </w:pPr>
            <w:r w:rsidRPr="00087D47">
              <w:rPr>
                <w:rFonts w:cs="Arial"/>
                <w:szCs w:val="16"/>
                <w:lang w:val="en-US"/>
              </w:rPr>
              <w:t>4,8</w:t>
            </w:r>
          </w:p>
        </w:tc>
        <w:tc>
          <w:tcPr>
            <w:tcW w:w="429" w:type="pct"/>
            <w:vAlign w:val="center"/>
          </w:tcPr>
          <w:p w14:paraId="7E53D239" w14:textId="77777777" w:rsidR="00F021A5" w:rsidRPr="00767446" w:rsidRDefault="00F021A5" w:rsidP="006C35C5">
            <w:pPr>
              <w:pStyle w:val="TabelaNAPOVED"/>
            </w:pPr>
            <w:r w:rsidRPr="00885D63">
              <w:rPr>
                <w:rFonts w:cs="Arial"/>
                <w:szCs w:val="16"/>
                <w:lang w:val="en-US"/>
              </w:rPr>
              <w:t>-9,7</w:t>
            </w:r>
          </w:p>
        </w:tc>
        <w:tc>
          <w:tcPr>
            <w:tcW w:w="429" w:type="pct"/>
            <w:vAlign w:val="center"/>
          </w:tcPr>
          <w:p w14:paraId="70B4D9ED" w14:textId="77777777" w:rsidR="00F021A5" w:rsidRPr="00FF69D9" w:rsidRDefault="00F021A5" w:rsidP="006C35C5">
            <w:pPr>
              <w:pStyle w:val="TabelaNAPOVED"/>
              <w:rPr>
                <w:b/>
                <w:bCs/>
                <w:color w:val="000000"/>
                <w:highlight w:val="yellow"/>
              </w:rPr>
            </w:pPr>
            <w:r w:rsidRPr="00FF69D9">
              <w:rPr>
                <w:rFonts w:cs="Arial"/>
                <w:b/>
                <w:color w:val="000000"/>
                <w:spacing w:val="-4"/>
                <w:szCs w:val="16"/>
                <w:lang w:val="en-US"/>
              </w:rPr>
              <w:t>4,0</w:t>
            </w:r>
          </w:p>
        </w:tc>
        <w:tc>
          <w:tcPr>
            <w:tcW w:w="429" w:type="pct"/>
            <w:vAlign w:val="center"/>
          </w:tcPr>
          <w:p w14:paraId="651957CD" w14:textId="77777777" w:rsidR="00F021A5" w:rsidRPr="00FF69D9" w:rsidRDefault="00F021A5" w:rsidP="006C35C5">
            <w:pPr>
              <w:pStyle w:val="TabelaNAPOVED"/>
              <w:rPr>
                <w:b/>
                <w:bCs/>
                <w:color w:val="000000"/>
              </w:rPr>
            </w:pPr>
            <w:r w:rsidRPr="00FF69D9">
              <w:rPr>
                <w:rFonts w:cs="Arial"/>
                <w:b/>
                <w:color w:val="000000"/>
                <w:spacing w:val="-4"/>
                <w:szCs w:val="16"/>
                <w:lang w:val="en-US"/>
              </w:rPr>
              <w:t>4,7</w:t>
            </w:r>
          </w:p>
        </w:tc>
        <w:tc>
          <w:tcPr>
            <w:tcW w:w="424" w:type="pct"/>
            <w:vAlign w:val="center"/>
          </w:tcPr>
          <w:p w14:paraId="184A334F" w14:textId="77777777" w:rsidR="00F021A5" w:rsidRPr="00FF69D9" w:rsidRDefault="00F021A5" w:rsidP="006C35C5">
            <w:pPr>
              <w:pStyle w:val="TabelaNAPOVED"/>
              <w:rPr>
                <w:b/>
                <w:bCs/>
                <w:color w:val="000000"/>
              </w:rPr>
            </w:pPr>
            <w:r w:rsidRPr="00FF69D9">
              <w:rPr>
                <w:rFonts w:cs="Arial"/>
                <w:b/>
                <w:color w:val="000000"/>
                <w:spacing w:val="-4"/>
                <w:szCs w:val="16"/>
                <w:lang w:val="en-US"/>
              </w:rPr>
              <w:t>2,9</w:t>
            </w:r>
          </w:p>
        </w:tc>
      </w:tr>
      <w:tr w:rsidR="00F021A5" w:rsidRPr="00681FDB" w14:paraId="1A6CBD25" w14:textId="77777777" w:rsidTr="006C35C5">
        <w:trPr>
          <w:trHeight w:val="284"/>
          <w:jc w:val="center"/>
        </w:trPr>
        <w:tc>
          <w:tcPr>
            <w:tcW w:w="2860" w:type="pct"/>
            <w:vAlign w:val="center"/>
          </w:tcPr>
          <w:p w14:paraId="003747F2" w14:textId="77777777" w:rsidR="00F021A5" w:rsidRPr="008A56A5" w:rsidRDefault="00F021A5" w:rsidP="006C35C5">
            <w:pPr>
              <w:spacing w:line="240" w:lineRule="auto"/>
              <w:rPr>
                <w:sz w:val="18"/>
                <w:szCs w:val="18"/>
              </w:rPr>
            </w:pPr>
            <w:r w:rsidRPr="008A56A5">
              <w:rPr>
                <w:sz w:val="18"/>
                <w:szCs w:val="18"/>
              </w:rPr>
              <w:t>Državna potrošnja, realna rast v %</w:t>
            </w:r>
          </w:p>
        </w:tc>
        <w:tc>
          <w:tcPr>
            <w:tcW w:w="429" w:type="pct"/>
            <w:vAlign w:val="center"/>
          </w:tcPr>
          <w:p w14:paraId="63CFAE75" w14:textId="77777777" w:rsidR="00F021A5" w:rsidRPr="00885D63" w:rsidRDefault="00F021A5" w:rsidP="006C35C5">
            <w:pPr>
              <w:pStyle w:val="TabelaNAPOVED"/>
              <w:rPr>
                <w:rFonts w:cs="Arial"/>
                <w:szCs w:val="16"/>
                <w:lang w:val="en-US"/>
              </w:rPr>
            </w:pPr>
            <w:r w:rsidRPr="00087D47">
              <w:rPr>
                <w:rFonts w:cs="Arial"/>
                <w:szCs w:val="16"/>
                <w:lang w:val="en-US"/>
              </w:rPr>
              <w:t>1,7</w:t>
            </w:r>
          </w:p>
        </w:tc>
        <w:tc>
          <w:tcPr>
            <w:tcW w:w="429" w:type="pct"/>
            <w:vAlign w:val="center"/>
          </w:tcPr>
          <w:p w14:paraId="3164AA67" w14:textId="77777777" w:rsidR="00F021A5" w:rsidRPr="00767446" w:rsidRDefault="00F021A5" w:rsidP="006C35C5">
            <w:pPr>
              <w:pStyle w:val="TabelaNAPOVED"/>
            </w:pPr>
            <w:r w:rsidRPr="00885D63">
              <w:rPr>
                <w:rFonts w:cs="Arial"/>
                <w:szCs w:val="16"/>
                <w:lang w:val="en-US"/>
              </w:rPr>
              <w:t>1,8</w:t>
            </w:r>
          </w:p>
        </w:tc>
        <w:tc>
          <w:tcPr>
            <w:tcW w:w="429" w:type="pct"/>
            <w:vAlign w:val="center"/>
          </w:tcPr>
          <w:p w14:paraId="7DEA08DB" w14:textId="77777777" w:rsidR="00F021A5" w:rsidRPr="00FF69D9" w:rsidRDefault="00F021A5" w:rsidP="006C35C5">
            <w:pPr>
              <w:pStyle w:val="TabelaNAPOVED"/>
              <w:rPr>
                <w:b/>
                <w:bCs/>
                <w:color w:val="000000"/>
                <w:highlight w:val="yellow"/>
              </w:rPr>
            </w:pPr>
            <w:r w:rsidRPr="00FF69D9">
              <w:rPr>
                <w:rFonts w:cs="Arial"/>
                <w:b/>
                <w:color w:val="000000"/>
                <w:spacing w:val="-4"/>
                <w:szCs w:val="16"/>
                <w:lang w:val="en-US"/>
              </w:rPr>
              <w:t>2,4</w:t>
            </w:r>
          </w:p>
        </w:tc>
        <w:tc>
          <w:tcPr>
            <w:tcW w:w="429" w:type="pct"/>
            <w:vAlign w:val="center"/>
          </w:tcPr>
          <w:p w14:paraId="1662B8CA" w14:textId="77777777" w:rsidR="00F021A5" w:rsidRPr="00FF69D9" w:rsidRDefault="00F021A5" w:rsidP="006C35C5">
            <w:pPr>
              <w:pStyle w:val="TabelaNAPOVED"/>
              <w:rPr>
                <w:b/>
                <w:bCs/>
                <w:color w:val="000000"/>
              </w:rPr>
            </w:pPr>
            <w:r w:rsidRPr="00FF69D9">
              <w:rPr>
                <w:rFonts w:cs="Arial"/>
                <w:b/>
                <w:color w:val="000000"/>
                <w:spacing w:val="-4"/>
                <w:szCs w:val="16"/>
                <w:lang w:val="en-US"/>
              </w:rPr>
              <w:t>1,7</w:t>
            </w:r>
          </w:p>
        </w:tc>
        <w:tc>
          <w:tcPr>
            <w:tcW w:w="424" w:type="pct"/>
            <w:vAlign w:val="center"/>
          </w:tcPr>
          <w:p w14:paraId="6457E157" w14:textId="77777777" w:rsidR="00F021A5" w:rsidRPr="00FF69D9" w:rsidRDefault="00F021A5" w:rsidP="006C35C5">
            <w:pPr>
              <w:pStyle w:val="TabelaNAPOVED"/>
              <w:rPr>
                <w:b/>
                <w:bCs/>
                <w:color w:val="000000"/>
              </w:rPr>
            </w:pPr>
            <w:r w:rsidRPr="00FF69D9">
              <w:rPr>
                <w:rFonts w:cs="Arial"/>
                <w:b/>
                <w:color w:val="000000"/>
                <w:spacing w:val="-4"/>
                <w:szCs w:val="16"/>
                <w:lang w:val="en-US"/>
              </w:rPr>
              <w:t>1,4</w:t>
            </w:r>
          </w:p>
        </w:tc>
      </w:tr>
      <w:tr w:rsidR="00F021A5" w:rsidRPr="00681FDB" w14:paraId="51D03A4E" w14:textId="77777777" w:rsidTr="006C35C5">
        <w:trPr>
          <w:trHeight w:val="284"/>
          <w:jc w:val="center"/>
        </w:trPr>
        <w:tc>
          <w:tcPr>
            <w:tcW w:w="2860" w:type="pct"/>
            <w:vAlign w:val="center"/>
          </w:tcPr>
          <w:p w14:paraId="58A0F58E" w14:textId="77777777" w:rsidR="00F021A5" w:rsidRPr="008A56A5" w:rsidRDefault="00F021A5" w:rsidP="006C35C5">
            <w:pPr>
              <w:spacing w:line="240" w:lineRule="auto"/>
              <w:rPr>
                <w:sz w:val="18"/>
                <w:szCs w:val="18"/>
              </w:rPr>
            </w:pPr>
            <w:r w:rsidRPr="008A56A5">
              <w:rPr>
                <w:sz w:val="18"/>
                <w:szCs w:val="18"/>
              </w:rPr>
              <w:t>Bruto investicije v osnovna sredstva, realna rast v %</w:t>
            </w:r>
          </w:p>
        </w:tc>
        <w:tc>
          <w:tcPr>
            <w:tcW w:w="429" w:type="pct"/>
            <w:vAlign w:val="center"/>
          </w:tcPr>
          <w:p w14:paraId="31F91C82" w14:textId="77777777" w:rsidR="00F021A5" w:rsidRPr="00885D63" w:rsidRDefault="00F021A5" w:rsidP="006C35C5">
            <w:pPr>
              <w:pStyle w:val="TabelaNAPOVED"/>
              <w:rPr>
                <w:rFonts w:cs="Arial"/>
                <w:szCs w:val="16"/>
                <w:lang w:val="en-US"/>
              </w:rPr>
            </w:pPr>
            <w:r w:rsidRPr="00087D47">
              <w:rPr>
                <w:rFonts w:cs="Arial"/>
                <w:szCs w:val="16"/>
                <w:lang w:val="en-US"/>
              </w:rPr>
              <w:t>5,8</w:t>
            </w:r>
          </w:p>
        </w:tc>
        <w:tc>
          <w:tcPr>
            <w:tcW w:w="429" w:type="pct"/>
            <w:vAlign w:val="center"/>
          </w:tcPr>
          <w:p w14:paraId="3CC76B7D" w14:textId="77777777" w:rsidR="00F021A5" w:rsidRPr="00767446" w:rsidRDefault="00F021A5" w:rsidP="006C35C5">
            <w:pPr>
              <w:pStyle w:val="TabelaNAPOVED"/>
            </w:pPr>
            <w:r w:rsidRPr="00885D63">
              <w:rPr>
                <w:rFonts w:cs="Arial"/>
                <w:szCs w:val="16"/>
                <w:lang w:val="en-US"/>
              </w:rPr>
              <w:t>-4,1</w:t>
            </w:r>
          </w:p>
        </w:tc>
        <w:tc>
          <w:tcPr>
            <w:tcW w:w="429" w:type="pct"/>
            <w:vAlign w:val="center"/>
          </w:tcPr>
          <w:p w14:paraId="49736018" w14:textId="77777777" w:rsidR="00F021A5" w:rsidRPr="00FF69D9" w:rsidRDefault="00F021A5" w:rsidP="006C35C5">
            <w:pPr>
              <w:pStyle w:val="TabelaNAPOVED"/>
              <w:rPr>
                <w:b/>
                <w:bCs/>
                <w:color w:val="000000"/>
                <w:highlight w:val="yellow"/>
              </w:rPr>
            </w:pPr>
            <w:r w:rsidRPr="00FF69D9">
              <w:rPr>
                <w:rFonts w:cs="Arial"/>
                <w:b/>
                <w:color w:val="000000"/>
                <w:spacing w:val="-4"/>
                <w:szCs w:val="16"/>
                <w:lang w:val="en-US"/>
              </w:rPr>
              <w:t>9,0</w:t>
            </w:r>
          </w:p>
        </w:tc>
        <w:tc>
          <w:tcPr>
            <w:tcW w:w="429" w:type="pct"/>
            <w:vAlign w:val="center"/>
          </w:tcPr>
          <w:p w14:paraId="6A3A4FB5" w14:textId="77777777" w:rsidR="00F021A5" w:rsidRPr="00FF69D9" w:rsidRDefault="00F021A5" w:rsidP="006C35C5">
            <w:pPr>
              <w:pStyle w:val="TabelaNAPOVED"/>
              <w:rPr>
                <w:b/>
                <w:bCs/>
                <w:color w:val="000000"/>
              </w:rPr>
            </w:pPr>
            <w:r w:rsidRPr="00FF69D9">
              <w:rPr>
                <w:rFonts w:cs="Arial"/>
                <w:b/>
                <w:color w:val="000000"/>
                <w:spacing w:val="-4"/>
                <w:szCs w:val="16"/>
                <w:lang w:val="en-US"/>
              </w:rPr>
              <w:t>8,0</w:t>
            </w:r>
          </w:p>
        </w:tc>
        <w:tc>
          <w:tcPr>
            <w:tcW w:w="424" w:type="pct"/>
            <w:vAlign w:val="center"/>
          </w:tcPr>
          <w:p w14:paraId="5A10CE89" w14:textId="77777777" w:rsidR="00F021A5" w:rsidRPr="00FF69D9" w:rsidRDefault="00F021A5" w:rsidP="006C35C5">
            <w:pPr>
              <w:pStyle w:val="TabelaNAPOVED"/>
              <w:rPr>
                <w:b/>
                <w:bCs/>
                <w:color w:val="000000"/>
              </w:rPr>
            </w:pPr>
            <w:r w:rsidRPr="00FF69D9">
              <w:rPr>
                <w:rFonts w:cs="Arial"/>
                <w:b/>
                <w:color w:val="000000"/>
                <w:spacing w:val="-4"/>
                <w:szCs w:val="16"/>
                <w:lang w:val="en-US"/>
              </w:rPr>
              <w:t>6,5</w:t>
            </w:r>
          </w:p>
        </w:tc>
      </w:tr>
      <w:tr w:rsidR="00F021A5" w:rsidRPr="00681FDB" w14:paraId="29624970" w14:textId="77777777" w:rsidTr="006C35C5">
        <w:trPr>
          <w:trHeight w:val="284"/>
          <w:jc w:val="center"/>
        </w:trPr>
        <w:tc>
          <w:tcPr>
            <w:tcW w:w="2860" w:type="pct"/>
            <w:vAlign w:val="center"/>
          </w:tcPr>
          <w:p w14:paraId="3C59A8B0" w14:textId="77777777" w:rsidR="00F021A5" w:rsidRPr="008A56A5" w:rsidRDefault="00F021A5" w:rsidP="006C35C5">
            <w:pPr>
              <w:spacing w:line="240" w:lineRule="auto"/>
              <w:rPr>
                <w:sz w:val="18"/>
                <w:szCs w:val="18"/>
              </w:rPr>
            </w:pPr>
            <w:r w:rsidRPr="008A56A5">
              <w:rPr>
                <w:sz w:val="18"/>
                <w:szCs w:val="18"/>
              </w:rPr>
              <w:t>Inflacija – Indeks cen življenjskih potrebščin (povprečje leta)</w:t>
            </w:r>
          </w:p>
        </w:tc>
        <w:tc>
          <w:tcPr>
            <w:tcW w:w="429" w:type="pct"/>
            <w:vAlign w:val="center"/>
          </w:tcPr>
          <w:p w14:paraId="56A9466C" w14:textId="77777777" w:rsidR="00F021A5" w:rsidRPr="008D72FB" w:rsidRDefault="00F021A5" w:rsidP="006C35C5">
            <w:pPr>
              <w:pStyle w:val="TabelaNAPOVED"/>
              <w:rPr>
                <w:rFonts w:cs="Arial"/>
                <w:szCs w:val="16"/>
                <w:lang w:val="en-US"/>
              </w:rPr>
            </w:pPr>
            <w:r w:rsidRPr="00087D47">
              <w:rPr>
                <w:rFonts w:cs="Arial"/>
                <w:szCs w:val="16"/>
                <w:lang w:val="en-US"/>
              </w:rPr>
              <w:t>1,6</w:t>
            </w:r>
          </w:p>
        </w:tc>
        <w:tc>
          <w:tcPr>
            <w:tcW w:w="429" w:type="pct"/>
            <w:vAlign w:val="center"/>
          </w:tcPr>
          <w:p w14:paraId="36FF78F3" w14:textId="77777777" w:rsidR="00F021A5" w:rsidRPr="008D72FB" w:rsidRDefault="00F021A5" w:rsidP="006C35C5">
            <w:pPr>
              <w:pStyle w:val="TabelaNAPOVED"/>
            </w:pPr>
            <w:r w:rsidRPr="008D72FB">
              <w:rPr>
                <w:rFonts w:cs="Arial"/>
                <w:szCs w:val="16"/>
                <w:lang w:val="en-US"/>
              </w:rPr>
              <w:t>-0,1</w:t>
            </w:r>
          </w:p>
        </w:tc>
        <w:tc>
          <w:tcPr>
            <w:tcW w:w="429" w:type="pct"/>
            <w:vAlign w:val="center"/>
          </w:tcPr>
          <w:p w14:paraId="01CFC258" w14:textId="77777777" w:rsidR="00F021A5" w:rsidRPr="00FF69D9" w:rsidRDefault="00F021A5" w:rsidP="006C35C5">
            <w:pPr>
              <w:pStyle w:val="TabelaNAPOVED"/>
              <w:rPr>
                <w:b/>
                <w:bCs/>
                <w:color w:val="000000"/>
                <w:highlight w:val="yellow"/>
              </w:rPr>
            </w:pPr>
            <w:r w:rsidRPr="00FF69D9">
              <w:rPr>
                <w:rFonts w:cs="Arial"/>
                <w:b/>
                <w:color w:val="000000"/>
                <w:spacing w:val="-4"/>
                <w:szCs w:val="16"/>
                <w:lang w:val="en-US"/>
              </w:rPr>
              <w:t>0,8</w:t>
            </w:r>
          </w:p>
        </w:tc>
        <w:tc>
          <w:tcPr>
            <w:tcW w:w="429" w:type="pct"/>
            <w:vAlign w:val="center"/>
          </w:tcPr>
          <w:p w14:paraId="1A5F6910" w14:textId="77777777" w:rsidR="00F021A5" w:rsidRPr="00FF69D9" w:rsidRDefault="00F021A5" w:rsidP="006C35C5">
            <w:pPr>
              <w:pStyle w:val="TabelaNAPOVED"/>
              <w:rPr>
                <w:b/>
                <w:bCs/>
                <w:color w:val="000000"/>
              </w:rPr>
            </w:pPr>
            <w:r w:rsidRPr="00FF69D9">
              <w:rPr>
                <w:rFonts w:cs="Arial"/>
                <w:b/>
                <w:color w:val="000000"/>
                <w:spacing w:val="-4"/>
                <w:szCs w:val="16"/>
                <w:lang w:val="en-US"/>
              </w:rPr>
              <w:t>1,2</w:t>
            </w:r>
          </w:p>
        </w:tc>
        <w:tc>
          <w:tcPr>
            <w:tcW w:w="424" w:type="pct"/>
            <w:vAlign w:val="center"/>
          </w:tcPr>
          <w:p w14:paraId="594E3C0B" w14:textId="77777777" w:rsidR="00F021A5" w:rsidRPr="00FF69D9" w:rsidRDefault="00F021A5" w:rsidP="006C35C5">
            <w:pPr>
              <w:pStyle w:val="TabelaNAPOVED"/>
              <w:rPr>
                <w:b/>
                <w:bCs/>
                <w:color w:val="000000"/>
              </w:rPr>
            </w:pPr>
            <w:r w:rsidRPr="00FF69D9">
              <w:rPr>
                <w:rFonts w:cs="Arial"/>
                <w:b/>
                <w:color w:val="000000"/>
                <w:spacing w:val="-4"/>
                <w:szCs w:val="16"/>
                <w:lang w:val="en-US"/>
              </w:rPr>
              <w:t>1,7</w:t>
            </w:r>
          </w:p>
        </w:tc>
      </w:tr>
    </w:tbl>
    <w:p w14:paraId="3AA8268E" w14:textId="77777777" w:rsidR="00F021A5" w:rsidRPr="00681FDB" w:rsidRDefault="00F021A5" w:rsidP="00F021A5">
      <w:pPr>
        <w:spacing w:line="240" w:lineRule="auto"/>
        <w:rPr>
          <w:rFonts w:cs="Arial"/>
          <w:sz w:val="18"/>
        </w:rPr>
      </w:pPr>
      <w:r w:rsidRPr="00681FDB">
        <w:rPr>
          <w:rFonts w:cs="Arial"/>
          <w:sz w:val="18"/>
        </w:rPr>
        <w:t xml:space="preserve">Vir: </w:t>
      </w:r>
      <w:r w:rsidRPr="0043365E">
        <w:rPr>
          <w:rFonts w:cs="Arial"/>
          <w:sz w:val="18"/>
        </w:rPr>
        <w:t>Leto 2020 SURS, BS, ECB, EIA, 2021−2023 napoved UMAR.</w:t>
      </w:r>
    </w:p>
    <w:p w14:paraId="5FDBD965" w14:textId="77777777" w:rsidR="00F021A5" w:rsidRPr="00EB0539" w:rsidRDefault="00F021A5" w:rsidP="00F021A5">
      <w:pPr>
        <w:spacing w:line="240" w:lineRule="auto"/>
        <w:rPr>
          <w:rFonts w:cs="Arial"/>
          <w:lang w:eastAsia="sl-SI"/>
        </w:rPr>
      </w:pPr>
    </w:p>
    <w:p w14:paraId="102FE04B" w14:textId="304588DB" w:rsidR="00F021A5" w:rsidRDefault="00F021A5" w:rsidP="00F021A5">
      <w:pPr>
        <w:tabs>
          <w:tab w:val="left" w:pos="4536"/>
        </w:tabs>
        <w:suppressAutoHyphens/>
        <w:jc w:val="both"/>
        <w:rPr>
          <w:rFonts w:cs="Arial"/>
          <w:bCs/>
          <w:color w:val="000000"/>
          <w:szCs w:val="20"/>
        </w:rPr>
      </w:pPr>
      <w:r w:rsidRPr="00AE0C48">
        <w:rPr>
          <w:rFonts w:cs="Arial"/>
          <w:bCs/>
          <w:color w:val="000000"/>
          <w:szCs w:val="20"/>
        </w:rPr>
        <w:lastRenderedPageBreak/>
        <w:t xml:space="preserve">Okrevanje gospodarstva se bo v naslednjih dveh letih nadaljevalo, gospodarska aktivnost pa naj bi </w:t>
      </w:r>
      <w:r w:rsidRPr="006E436A">
        <w:rPr>
          <w:rFonts w:cs="Arial"/>
          <w:b/>
          <w:color w:val="000000"/>
          <w:szCs w:val="20"/>
        </w:rPr>
        <w:t xml:space="preserve">v letu 2022 dosegla </w:t>
      </w:r>
      <w:proofErr w:type="spellStart"/>
      <w:r w:rsidRPr="006E436A">
        <w:rPr>
          <w:rFonts w:cs="Arial"/>
          <w:b/>
          <w:color w:val="000000"/>
          <w:szCs w:val="20"/>
        </w:rPr>
        <w:t>predkrizno</w:t>
      </w:r>
      <w:proofErr w:type="spellEnd"/>
      <w:r w:rsidRPr="006E436A">
        <w:rPr>
          <w:rFonts w:cs="Arial"/>
          <w:b/>
          <w:color w:val="000000"/>
          <w:szCs w:val="20"/>
        </w:rPr>
        <w:t xml:space="preserve"> raven iz leta 2019</w:t>
      </w:r>
      <w:r w:rsidRPr="00AE0C48">
        <w:rPr>
          <w:rFonts w:cs="Arial"/>
          <w:bCs/>
          <w:color w:val="000000"/>
          <w:szCs w:val="20"/>
        </w:rPr>
        <w:t xml:space="preserve">, k čemur bo prispevalo </w:t>
      </w:r>
      <w:r>
        <w:rPr>
          <w:rFonts w:cs="Arial"/>
          <w:bCs/>
          <w:color w:val="000000"/>
          <w:szCs w:val="20"/>
        </w:rPr>
        <w:t xml:space="preserve">tudi </w:t>
      </w:r>
      <w:r w:rsidRPr="00AE0C48">
        <w:rPr>
          <w:rFonts w:cs="Arial"/>
          <w:bCs/>
          <w:color w:val="000000"/>
          <w:szCs w:val="20"/>
        </w:rPr>
        <w:t xml:space="preserve">ohranjanje nekaterih ukrepov za blažitev posledic epidemije v letošnjem letu. Pri tem </w:t>
      </w:r>
      <w:r>
        <w:rPr>
          <w:rFonts w:cs="Arial"/>
          <w:bCs/>
          <w:color w:val="000000"/>
          <w:szCs w:val="20"/>
        </w:rPr>
        <w:t xml:space="preserve">se </w:t>
      </w:r>
      <w:r w:rsidRPr="00AE0C48">
        <w:rPr>
          <w:rFonts w:cs="Arial"/>
          <w:bCs/>
          <w:color w:val="000000"/>
          <w:szCs w:val="20"/>
        </w:rPr>
        <w:t>predvideva, da bodo (zlasti v 2022) določeni omejitveni ukrepi še vedno prisotni in bodo omejevali popolno okrevanje določenih storitvenih dejavnosti</w:t>
      </w:r>
      <w:r>
        <w:rPr>
          <w:rFonts w:cs="Arial"/>
          <w:bCs/>
          <w:color w:val="000000"/>
          <w:szCs w:val="20"/>
        </w:rPr>
        <w:t xml:space="preserve"> (mednarodna trgovina, transport, turizem</w:t>
      </w:r>
      <w:r w:rsidR="001038B0">
        <w:rPr>
          <w:rFonts w:cs="Arial"/>
          <w:bCs/>
          <w:color w:val="000000"/>
          <w:szCs w:val="20"/>
        </w:rPr>
        <w:t xml:space="preserve"> </w:t>
      </w:r>
      <w:r>
        <w:rPr>
          <w:rFonts w:cs="Arial"/>
          <w:bCs/>
          <w:color w:val="000000"/>
          <w:szCs w:val="20"/>
        </w:rPr>
        <w:t>.</w:t>
      </w:r>
      <w:r w:rsidR="001038B0">
        <w:rPr>
          <w:rFonts w:cs="Arial"/>
          <w:bCs/>
          <w:color w:val="000000"/>
          <w:szCs w:val="20"/>
        </w:rPr>
        <w:t>.</w:t>
      </w:r>
      <w:r>
        <w:rPr>
          <w:rFonts w:cs="Arial"/>
          <w:bCs/>
          <w:color w:val="000000"/>
          <w:szCs w:val="20"/>
        </w:rPr>
        <w:t>.)</w:t>
      </w:r>
      <w:r w:rsidRPr="00AE0C48">
        <w:rPr>
          <w:rFonts w:cs="Arial"/>
          <w:bCs/>
          <w:color w:val="000000"/>
          <w:szCs w:val="20"/>
        </w:rPr>
        <w:t xml:space="preserve">. </w:t>
      </w:r>
    </w:p>
    <w:p w14:paraId="17BC669B" w14:textId="77777777" w:rsidR="00F021A5" w:rsidRPr="00AE0C48" w:rsidRDefault="00F021A5" w:rsidP="00F021A5">
      <w:pPr>
        <w:tabs>
          <w:tab w:val="left" w:pos="4536"/>
        </w:tabs>
        <w:suppressAutoHyphens/>
        <w:jc w:val="both"/>
        <w:rPr>
          <w:rFonts w:cs="Arial"/>
          <w:bCs/>
          <w:color w:val="000000"/>
          <w:szCs w:val="20"/>
        </w:rPr>
      </w:pPr>
    </w:p>
    <w:p w14:paraId="31B8F51E" w14:textId="77777777" w:rsidR="00F021A5" w:rsidRDefault="00F021A5" w:rsidP="00F021A5">
      <w:pPr>
        <w:tabs>
          <w:tab w:val="left" w:pos="4536"/>
        </w:tabs>
        <w:suppressAutoHyphens/>
        <w:jc w:val="both"/>
        <w:rPr>
          <w:rFonts w:cs="Arial"/>
          <w:bCs/>
          <w:color w:val="000000"/>
          <w:szCs w:val="20"/>
        </w:rPr>
      </w:pPr>
      <w:r w:rsidRPr="00AE0C48">
        <w:rPr>
          <w:rFonts w:cs="Arial"/>
          <w:bCs/>
          <w:color w:val="000000"/>
          <w:szCs w:val="20"/>
        </w:rPr>
        <w:t xml:space="preserve">Nadaljevala se bo rast </w:t>
      </w:r>
      <w:r w:rsidRPr="006E436A">
        <w:rPr>
          <w:rFonts w:cs="Arial"/>
          <w:b/>
          <w:color w:val="000000"/>
          <w:szCs w:val="20"/>
        </w:rPr>
        <w:t>mednarodne menjave</w:t>
      </w:r>
      <w:r w:rsidRPr="00AE0C48">
        <w:rPr>
          <w:rFonts w:cs="Arial"/>
          <w:bCs/>
          <w:color w:val="000000"/>
          <w:szCs w:val="20"/>
        </w:rPr>
        <w:t>, zlasti blaga in postopoma tudi večine segmentov storitev, najpočasnejše in tudi dolgotrajnejše pa bo v okviru mednarodne menjave okrevanje storitev, povezanih s turizmom. Po lanskem globokem upadu se bo s postopnim odpiranjem storitvenih dejavnosti krepila tudi zasebna potrošnja; poleg rasti razpoložljivega dohodka bo k temu prispevalo tudi sproščanje prihrankov in s tem postopno zmanjševanje stopnje varčevanja gospodinjstev</w:t>
      </w:r>
      <w:r>
        <w:rPr>
          <w:rFonts w:cs="Arial"/>
          <w:bCs/>
          <w:color w:val="000000"/>
          <w:szCs w:val="20"/>
        </w:rPr>
        <w:t>,</w:t>
      </w:r>
      <w:r w:rsidRPr="00AE0C48">
        <w:rPr>
          <w:rFonts w:cs="Arial"/>
          <w:bCs/>
          <w:color w:val="000000"/>
          <w:szCs w:val="20"/>
        </w:rPr>
        <w:t xml:space="preserve"> ki bo </w:t>
      </w:r>
      <w:proofErr w:type="spellStart"/>
      <w:r w:rsidRPr="00AE0C48">
        <w:rPr>
          <w:rFonts w:cs="Arial"/>
          <w:bCs/>
          <w:color w:val="000000"/>
          <w:szCs w:val="20"/>
        </w:rPr>
        <w:t>predkrizno</w:t>
      </w:r>
      <w:proofErr w:type="spellEnd"/>
      <w:r w:rsidRPr="00AE0C48">
        <w:rPr>
          <w:rFonts w:cs="Arial"/>
          <w:bCs/>
          <w:color w:val="000000"/>
          <w:szCs w:val="20"/>
        </w:rPr>
        <w:t xml:space="preserve"> raven iz leta 2019 presegla šele leta 2023. Tudi rast državne potrošnje </w:t>
      </w:r>
      <w:r>
        <w:rPr>
          <w:rFonts w:cs="Arial"/>
          <w:bCs/>
          <w:color w:val="000000"/>
          <w:szCs w:val="20"/>
        </w:rPr>
        <w:t>bo prispevala k okrevanju</w:t>
      </w:r>
      <w:r w:rsidRPr="00AE0C48">
        <w:rPr>
          <w:rFonts w:cs="Arial"/>
          <w:bCs/>
          <w:color w:val="000000"/>
          <w:szCs w:val="20"/>
        </w:rPr>
        <w:t xml:space="preserve">. </w:t>
      </w:r>
    </w:p>
    <w:p w14:paraId="1FA04B34" w14:textId="77777777" w:rsidR="00F021A5" w:rsidRPr="00AE0C48" w:rsidRDefault="00F021A5" w:rsidP="00F021A5">
      <w:pPr>
        <w:tabs>
          <w:tab w:val="left" w:pos="4536"/>
        </w:tabs>
        <w:suppressAutoHyphens/>
        <w:jc w:val="both"/>
        <w:rPr>
          <w:rFonts w:cs="Arial"/>
          <w:bCs/>
          <w:color w:val="000000"/>
          <w:szCs w:val="20"/>
        </w:rPr>
      </w:pPr>
    </w:p>
    <w:p w14:paraId="6371D26B" w14:textId="77777777" w:rsidR="00F021A5" w:rsidRPr="00AE0C48" w:rsidRDefault="00F021A5" w:rsidP="00F021A5">
      <w:pPr>
        <w:tabs>
          <w:tab w:val="left" w:pos="4536"/>
        </w:tabs>
        <w:suppressAutoHyphens/>
        <w:jc w:val="both"/>
        <w:rPr>
          <w:rFonts w:cs="Arial"/>
          <w:bCs/>
          <w:color w:val="000000"/>
          <w:szCs w:val="20"/>
        </w:rPr>
      </w:pPr>
      <w:r w:rsidRPr="00AE0C48">
        <w:rPr>
          <w:rFonts w:cs="Arial"/>
          <w:bCs/>
          <w:color w:val="000000"/>
          <w:szCs w:val="20"/>
        </w:rPr>
        <w:t>Za letos</w:t>
      </w:r>
      <w:r>
        <w:rPr>
          <w:rFonts w:cs="Arial"/>
          <w:bCs/>
          <w:color w:val="000000"/>
          <w:szCs w:val="20"/>
        </w:rPr>
        <w:t xml:space="preserve"> in za prihodnji dve leti se</w:t>
      </w:r>
      <w:r w:rsidRPr="00AE0C48">
        <w:rPr>
          <w:rFonts w:cs="Arial"/>
          <w:bCs/>
          <w:color w:val="000000"/>
          <w:szCs w:val="20"/>
        </w:rPr>
        <w:t xml:space="preserve"> pričakuje tudi razmeroma visoko rast </w:t>
      </w:r>
      <w:r w:rsidRPr="006E436A">
        <w:rPr>
          <w:rFonts w:cs="Arial"/>
          <w:b/>
          <w:color w:val="000000"/>
          <w:szCs w:val="20"/>
        </w:rPr>
        <w:t>investicij,</w:t>
      </w:r>
      <w:r w:rsidRPr="00AE0C48">
        <w:rPr>
          <w:rFonts w:cs="Arial"/>
          <w:bCs/>
          <w:color w:val="000000"/>
          <w:szCs w:val="20"/>
        </w:rPr>
        <w:t xml:space="preserve"> </w:t>
      </w:r>
      <w:r>
        <w:rPr>
          <w:rFonts w:cs="Arial"/>
          <w:bCs/>
          <w:color w:val="000000"/>
          <w:szCs w:val="20"/>
        </w:rPr>
        <w:t xml:space="preserve">povezanih </w:t>
      </w:r>
      <w:r w:rsidRPr="00AE0C48">
        <w:rPr>
          <w:rFonts w:cs="Arial"/>
          <w:bCs/>
          <w:color w:val="000000"/>
          <w:szCs w:val="20"/>
        </w:rPr>
        <w:t>zlasti</w:t>
      </w:r>
      <w:r>
        <w:rPr>
          <w:rFonts w:cs="Arial"/>
          <w:bCs/>
          <w:color w:val="000000"/>
          <w:szCs w:val="20"/>
        </w:rPr>
        <w:t xml:space="preserve"> z zelenim in digitalnih prehodom, ki bo viden tudi na</w:t>
      </w:r>
      <w:r w:rsidRPr="00AE0C48">
        <w:rPr>
          <w:rFonts w:cs="Arial"/>
          <w:bCs/>
          <w:color w:val="000000"/>
          <w:szCs w:val="20"/>
        </w:rPr>
        <w:t xml:space="preserve"> infrastrukturnih in stanovanjskih</w:t>
      </w:r>
      <w:r>
        <w:rPr>
          <w:rFonts w:cs="Arial"/>
          <w:bCs/>
          <w:color w:val="000000"/>
          <w:szCs w:val="20"/>
        </w:rPr>
        <w:t xml:space="preserve"> investicijah, ter vlaganjih v opremo</w:t>
      </w:r>
      <w:r w:rsidRPr="00AE0C48">
        <w:rPr>
          <w:rFonts w:cs="Arial"/>
          <w:bCs/>
          <w:color w:val="000000"/>
          <w:szCs w:val="20"/>
        </w:rPr>
        <w:t>. Hkrati bodo investicije države in tudi zasebnega sektorja</w:t>
      </w:r>
      <w:r w:rsidRPr="00AE0C48" w:rsidDel="00A94FF6">
        <w:rPr>
          <w:rFonts w:cs="Arial"/>
          <w:bCs/>
          <w:color w:val="000000"/>
          <w:szCs w:val="20"/>
        </w:rPr>
        <w:t xml:space="preserve"> </w:t>
      </w:r>
      <w:r w:rsidRPr="00AE0C48">
        <w:rPr>
          <w:rFonts w:cs="Arial"/>
          <w:bCs/>
          <w:color w:val="000000"/>
          <w:szCs w:val="20"/>
        </w:rPr>
        <w:t>podpirala</w:t>
      </w:r>
      <w:r w:rsidRPr="00AE0C48" w:rsidDel="00A94FF6">
        <w:rPr>
          <w:rFonts w:cs="Arial"/>
          <w:bCs/>
          <w:color w:val="000000"/>
          <w:szCs w:val="20"/>
        </w:rPr>
        <w:t xml:space="preserve"> </w:t>
      </w:r>
      <w:r w:rsidRPr="00AE0C48">
        <w:rPr>
          <w:rFonts w:cs="Arial"/>
          <w:bCs/>
          <w:color w:val="000000"/>
          <w:szCs w:val="20"/>
        </w:rPr>
        <w:t>sredstva Sklada za okrevanje in odpornost. Investicijsko aktivnost bodo v obdobju 2022–2023 okrepile tudi dejavnosti, ki so bile v času epidemije prisiljene k ustavitvi oziroma močno omejenemu poslovanju.</w:t>
      </w:r>
    </w:p>
    <w:p w14:paraId="20A24C7B" w14:textId="77777777" w:rsidR="00F021A5" w:rsidRDefault="00F021A5" w:rsidP="00F021A5">
      <w:pPr>
        <w:tabs>
          <w:tab w:val="left" w:pos="4536"/>
        </w:tabs>
        <w:suppressAutoHyphens/>
        <w:jc w:val="both"/>
        <w:rPr>
          <w:rFonts w:cs="Arial"/>
          <w:bCs/>
          <w:color w:val="000000"/>
          <w:szCs w:val="20"/>
        </w:rPr>
      </w:pPr>
    </w:p>
    <w:p w14:paraId="0D5CDCF5" w14:textId="77777777" w:rsidR="00F021A5" w:rsidRPr="00AE0C48" w:rsidRDefault="00F021A5" w:rsidP="00F021A5">
      <w:pPr>
        <w:tabs>
          <w:tab w:val="left" w:pos="4536"/>
        </w:tabs>
        <w:suppressAutoHyphens/>
        <w:jc w:val="both"/>
        <w:rPr>
          <w:rFonts w:cs="Arial"/>
          <w:bCs/>
          <w:color w:val="000000"/>
          <w:szCs w:val="20"/>
        </w:rPr>
      </w:pPr>
      <w:r w:rsidRPr="00AE0C48">
        <w:rPr>
          <w:rFonts w:cs="Arial"/>
          <w:bCs/>
          <w:color w:val="000000"/>
          <w:szCs w:val="20"/>
        </w:rPr>
        <w:t xml:space="preserve">Po globokem lanskem upadu bosta rasti </w:t>
      </w:r>
      <w:r w:rsidRPr="006E436A">
        <w:rPr>
          <w:rFonts w:cs="Arial"/>
          <w:b/>
          <w:color w:val="000000"/>
          <w:szCs w:val="20"/>
        </w:rPr>
        <w:t>izvoza in uvoza</w:t>
      </w:r>
      <w:r w:rsidRPr="00AE0C48">
        <w:rPr>
          <w:rFonts w:cs="Arial"/>
          <w:bCs/>
          <w:color w:val="000000"/>
          <w:szCs w:val="20"/>
        </w:rPr>
        <w:t xml:space="preserve"> letos visoki, z nekoliko nižjim tempom pa se bodo podobna gibanja nadaljevala tudi v prihodnjih dveh letih. K nadaljnjemu okrevanju izvoza blaga </w:t>
      </w:r>
      <w:r>
        <w:rPr>
          <w:rFonts w:cs="Arial"/>
          <w:bCs/>
          <w:color w:val="000000"/>
          <w:szCs w:val="20"/>
        </w:rPr>
        <w:t>bo</w:t>
      </w:r>
      <w:r w:rsidRPr="00AE0C48">
        <w:rPr>
          <w:rFonts w:cs="Arial"/>
          <w:bCs/>
          <w:color w:val="000000"/>
          <w:szCs w:val="20"/>
        </w:rPr>
        <w:t xml:space="preserve"> pomembno prispevalo okrevanje gospodarske aktivnosti v naših glavnih trgovinskih partnericah ter predvideno izboljševanje epidemiološke situacije. </w:t>
      </w:r>
      <w:r>
        <w:rPr>
          <w:rFonts w:cs="Arial"/>
          <w:bCs/>
          <w:color w:val="000000"/>
          <w:szCs w:val="20"/>
        </w:rPr>
        <w:t>S</w:t>
      </w:r>
      <w:r w:rsidRPr="00AE0C48">
        <w:rPr>
          <w:rFonts w:cs="Arial"/>
          <w:bCs/>
          <w:color w:val="000000"/>
          <w:szCs w:val="20"/>
        </w:rPr>
        <w:t xml:space="preserve">kupen izvoz </w:t>
      </w:r>
      <w:r>
        <w:rPr>
          <w:rFonts w:cs="Arial"/>
          <w:bCs/>
          <w:color w:val="000000"/>
          <w:szCs w:val="20"/>
        </w:rPr>
        <w:t xml:space="preserve">bo </w:t>
      </w:r>
      <w:r w:rsidRPr="00AE0C48">
        <w:rPr>
          <w:rFonts w:cs="Arial"/>
          <w:bCs/>
          <w:color w:val="000000"/>
          <w:szCs w:val="20"/>
        </w:rPr>
        <w:t xml:space="preserve">leta 2022 dosegel </w:t>
      </w:r>
      <w:proofErr w:type="spellStart"/>
      <w:r w:rsidRPr="00AE0C48">
        <w:rPr>
          <w:rFonts w:cs="Arial"/>
          <w:bCs/>
          <w:color w:val="000000"/>
          <w:szCs w:val="20"/>
        </w:rPr>
        <w:t>predkrizno</w:t>
      </w:r>
      <w:proofErr w:type="spellEnd"/>
      <w:r w:rsidRPr="00AE0C48">
        <w:rPr>
          <w:rFonts w:cs="Arial"/>
          <w:bCs/>
          <w:color w:val="000000"/>
          <w:szCs w:val="20"/>
        </w:rPr>
        <w:t xml:space="preserve"> raven iz leta 2019, izvoz blaga jo bo v povprečju dosegel že letos, storit</w:t>
      </w:r>
      <w:r>
        <w:rPr>
          <w:rFonts w:cs="Arial"/>
          <w:bCs/>
          <w:color w:val="000000"/>
          <w:szCs w:val="20"/>
        </w:rPr>
        <w:t>ve</w:t>
      </w:r>
      <w:r w:rsidRPr="00AE0C48">
        <w:rPr>
          <w:rFonts w:cs="Arial"/>
          <w:bCs/>
          <w:color w:val="000000"/>
          <w:szCs w:val="20"/>
        </w:rPr>
        <w:t xml:space="preserve"> pa šele v 2023. </w:t>
      </w:r>
    </w:p>
    <w:p w14:paraId="3E95676A" w14:textId="77777777" w:rsidR="00F021A5" w:rsidRDefault="00F021A5" w:rsidP="00F021A5">
      <w:pPr>
        <w:tabs>
          <w:tab w:val="left" w:pos="4536"/>
        </w:tabs>
        <w:suppressAutoHyphens/>
        <w:jc w:val="both"/>
        <w:rPr>
          <w:rFonts w:cs="Arial"/>
          <w:bCs/>
          <w:color w:val="000000"/>
          <w:szCs w:val="20"/>
        </w:rPr>
      </w:pPr>
    </w:p>
    <w:p w14:paraId="04AD2122" w14:textId="77777777" w:rsidR="00F021A5" w:rsidRPr="00AE0C48" w:rsidRDefault="00F021A5" w:rsidP="00F021A5">
      <w:pPr>
        <w:tabs>
          <w:tab w:val="left" w:pos="4536"/>
        </w:tabs>
        <w:suppressAutoHyphens/>
        <w:jc w:val="both"/>
        <w:rPr>
          <w:rFonts w:cs="Arial"/>
          <w:bCs/>
          <w:color w:val="000000"/>
          <w:szCs w:val="20"/>
        </w:rPr>
      </w:pPr>
      <w:r w:rsidRPr="00AE0C48">
        <w:rPr>
          <w:rFonts w:cs="Arial"/>
          <w:bCs/>
          <w:color w:val="000000"/>
          <w:szCs w:val="20"/>
        </w:rPr>
        <w:t>Cene življenjskih potrebščin bodo, po lanski deflaciji, letos in v naslednjih dveh letih ob predpostavki zmernega gospodarskega okrevanja medletno postopno rasle proti dvema odstotkoma. Pričakuje</w:t>
      </w:r>
      <w:r>
        <w:rPr>
          <w:rFonts w:cs="Arial"/>
          <w:bCs/>
          <w:color w:val="000000"/>
          <w:szCs w:val="20"/>
        </w:rPr>
        <w:t xml:space="preserve"> se</w:t>
      </w:r>
      <w:r w:rsidRPr="00AE0C48">
        <w:rPr>
          <w:rFonts w:cs="Arial"/>
          <w:bCs/>
          <w:color w:val="000000"/>
          <w:szCs w:val="20"/>
        </w:rPr>
        <w:t xml:space="preserve">, da bo v prihodnjih mesecih </w:t>
      </w:r>
      <w:r w:rsidRPr="006E436A">
        <w:rPr>
          <w:rFonts w:cs="Arial"/>
          <w:b/>
          <w:color w:val="000000"/>
          <w:szCs w:val="20"/>
        </w:rPr>
        <w:t>inflacija</w:t>
      </w:r>
      <w:r w:rsidRPr="00AE0C48">
        <w:rPr>
          <w:rFonts w:cs="Arial"/>
          <w:bCs/>
          <w:color w:val="000000"/>
          <w:szCs w:val="20"/>
        </w:rPr>
        <w:t xml:space="preserve"> začela rasti, predvsem zaradi višjih cen energentov po lanskem močnem upadu. Večje povpraševanje ob odpiranju gospodarstva in dražje surovine bodo vplivale na krepitev cen hrane. Vse to bo vplivalo na rast cen življenjskih potrebščin, ki se bo v naslednjem letu ob nadaljevanju gospodarskega okrevanja nekoliko okrepila (na 1,2 %). K rasti bodo poleg cen hrane prispevale tudi cene blaga in storitev, z izjemo storitev, katerih delovanje bo zaradi ukrepov za preprečevanje širjenja okužb še vedno omejeno in katerih rast pričakujemo po letu 2022.  </w:t>
      </w:r>
    </w:p>
    <w:p w14:paraId="00DCBDBE" w14:textId="77777777" w:rsidR="00F021A5" w:rsidRDefault="00F021A5" w:rsidP="00F021A5">
      <w:pPr>
        <w:tabs>
          <w:tab w:val="left" w:pos="4536"/>
        </w:tabs>
        <w:suppressAutoHyphens/>
        <w:jc w:val="both"/>
        <w:rPr>
          <w:rFonts w:cs="Arial"/>
          <w:bCs/>
          <w:color w:val="000000"/>
          <w:szCs w:val="20"/>
        </w:rPr>
      </w:pPr>
    </w:p>
    <w:p w14:paraId="2F67D1D4" w14:textId="77777777" w:rsidR="00F021A5" w:rsidRPr="00AE0C48" w:rsidRDefault="00F021A5" w:rsidP="00F021A5">
      <w:pPr>
        <w:tabs>
          <w:tab w:val="left" w:pos="4536"/>
        </w:tabs>
        <w:suppressAutoHyphens/>
        <w:jc w:val="both"/>
        <w:rPr>
          <w:rFonts w:cs="Arial"/>
          <w:bCs/>
          <w:color w:val="000000"/>
          <w:szCs w:val="20"/>
        </w:rPr>
      </w:pPr>
      <w:r w:rsidRPr="006E436A">
        <w:rPr>
          <w:rFonts w:cs="Arial"/>
          <w:b/>
          <w:color w:val="000000"/>
          <w:szCs w:val="20"/>
        </w:rPr>
        <w:t>Zaposlenost</w:t>
      </w:r>
      <w:r w:rsidRPr="00AE0C48">
        <w:rPr>
          <w:rFonts w:cs="Arial"/>
          <w:bCs/>
          <w:color w:val="000000"/>
          <w:szCs w:val="20"/>
        </w:rPr>
        <w:t xml:space="preserve"> bo letos ob umirjanju epidemioloških razmer in nadaljnji podpori ukrepov za ohranjanje delovnih mest še naprej postopoma okrevala, brezposelnost pa ostala na višji ravni kot v letu 2019. </w:t>
      </w:r>
      <w:r>
        <w:rPr>
          <w:rFonts w:cs="Arial"/>
          <w:bCs/>
          <w:color w:val="000000"/>
          <w:szCs w:val="20"/>
        </w:rPr>
        <w:t>UMAR pričakuje</w:t>
      </w:r>
      <w:r w:rsidRPr="00AE0C48">
        <w:rPr>
          <w:rFonts w:cs="Arial"/>
          <w:bCs/>
          <w:color w:val="000000"/>
          <w:szCs w:val="20"/>
        </w:rPr>
        <w:t xml:space="preserve">, da se bo v prihodnjih dveh letih okrevanje na trgu dela nadaljevalo, a bo število brezposelnih v povprečju leta 2023 ostalo višje kot leta 2019. </w:t>
      </w:r>
      <w:r>
        <w:rPr>
          <w:rFonts w:cs="Arial"/>
          <w:bCs/>
          <w:color w:val="000000"/>
          <w:szCs w:val="20"/>
        </w:rPr>
        <w:t>N</w:t>
      </w:r>
      <w:r w:rsidRPr="00AE0C48">
        <w:rPr>
          <w:rFonts w:cs="Arial"/>
          <w:bCs/>
          <w:color w:val="000000"/>
          <w:szCs w:val="20"/>
        </w:rPr>
        <w:t xml:space="preserve">a trg dela </w:t>
      </w:r>
      <w:r>
        <w:rPr>
          <w:rFonts w:cs="Arial"/>
          <w:bCs/>
          <w:color w:val="000000"/>
          <w:szCs w:val="20"/>
        </w:rPr>
        <w:t xml:space="preserve">se bodo </w:t>
      </w:r>
      <w:r w:rsidRPr="00AE0C48">
        <w:rPr>
          <w:rFonts w:cs="Arial"/>
          <w:bCs/>
          <w:color w:val="000000"/>
          <w:szCs w:val="20"/>
        </w:rPr>
        <w:t>postopoma znova vključevale tudi osebe, ki so zlasti na začetku lanskega leta (začasno) prestopile v neaktivnost, kar se bo odrazilo v nadaljnjem povečevanju stopnje aktivnosti. Brezposelnost se bo na srednji rok znova približala zgodovinsko nizkim ravnem, pri čemer bi lahko znova prišle v ospredje omejitve, povezane z razpoložljivostjo delovne sile.</w:t>
      </w:r>
    </w:p>
    <w:p w14:paraId="3CE98783" w14:textId="77777777" w:rsidR="00F021A5" w:rsidRDefault="00F021A5" w:rsidP="00F021A5">
      <w:pPr>
        <w:jc w:val="both"/>
        <w:rPr>
          <w:b/>
          <w:bCs/>
        </w:rPr>
      </w:pPr>
    </w:p>
    <w:p w14:paraId="6600753B" w14:textId="77777777" w:rsidR="00F021A5" w:rsidRPr="00EB0539" w:rsidRDefault="00F021A5" w:rsidP="00F021A5">
      <w:pPr>
        <w:jc w:val="both"/>
        <w:rPr>
          <w:b/>
          <w:bCs/>
        </w:rPr>
      </w:pPr>
    </w:p>
    <w:p w14:paraId="3A9E4947" w14:textId="77777777" w:rsidR="00F021A5" w:rsidRPr="00EB0539" w:rsidRDefault="00F021A5" w:rsidP="00F021A5">
      <w:pPr>
        <w:numPr>
          <w:ilvl w:val="0"/>
          <w:numId w:val="39"/>
        </w:numPr>
        <w:jc w:val="both"/>
        <w:rPr>
          <w:b/>
          <w:bCs/>
        </w:rPr>
      </w:pPr>
      <w:r w:rsidRPr="00EB0539">
        <w:rPr>
          <w:b/>
          <w:bCs/>
        </w:rPr>
        <w:t>PRIHODKI DRŽAVNEGA PRORAČUNA 2022-2023</w:t>
      </w:r>
    </w:p>
    <w:p w14:paraId="656DF166" w14:textId="77777777" w:rsidR="00F021A5" w:rsidRPr="00EB0539" w:rsidRDefault="00F021A5" w:rsidP="00F021A5">
      <w:pPr>
        <w:jc w:val="both"/>
        <w:rPr>
          <w:b/>
          <w:bCs/>
        </w:rPr>
      </w:pPr>
    </w:p>
    <w:p w14:paraId="45D2B045" w14:textId="76A013FE" w:rsidR="00F021A5" w:rsidRPr="00434EDA" w:rsidRDefault="00F021A5" w:rsidP="00F021A5">
      <w:pPr>
        <w:tabs>
          <w:tab w:val="left" w:pos="4536"/>
        </w:tabs>
        <w:suppressAutoHyphens/>
        <w:jc w:val="both"/>
        <w:rPr>
          <w:rFonts w:cs="Arial"/>
          <w:b/>
          <w:color w:val="000000"/>
          <w:szCs w:val="20"/>
        </w:rPr>
      </w:pPr>
      <w:r w:rsidRPr="006E436A">
        <w:rPr>
          <w:rFonts w:cs="Arial"/>
          <w:bCs/>
          <w:color w:val="000000"/>
          <w:szCs w:val="20"/>
        </w:rPr>
        <w:t>Prihodki državnega proračuna</w:t>
      </w:r>
      <w:r>
        <w:rPr>
          <w:rFonts w:cs="Arial"/>
          <w:bCs/>
          <w:color w:val="000000"/>
          <w:szCs w:val="20"/>
        </w:rPr>
        <w:t xml:space="preserve"> so v scenariju za </w:t>
      </w:r>
      <w:r w:rsidRPr="006E436A">
        <w:rPr>
          <w:rFonts w:cs="Arial"/>
          <w:bCs/>
          <w:color w:val="000000"/>
          <w:szCs w:val="20"/>
        </w:rPr>
        <w:t>let</w:t>
      </w:r>
      <w:r>
        <w:rPr>
          <w:rFonts w:cs="Arial"/>
          <w:bCs/>
          <w:color w:val="000000"/>
          <w:szCs w:val="20"/>
        </w:rPr>
        <w:t>o</w:t>
      </w:r>
      <w:r w:rsidRPr="006E436A">
        <w:rPr>
          <w:rFonts w:cs="Arial"/>
          <w:bCs/>
          <w:color w:val="000000"/>
          <w:szCs w:val="20"/>
        </w:rPr>
        <w:t xml:space="preserve"> 2022 glede na načrtovane v sprejetem proračunu za 2021. Za leto 2023 </w:t>
      </w:r>
      <w:r>
        <w:rPr>
          <w:rFonts w:cs="Arial"/>
          <w:bCs/>
          <w:color w:val="000000"/>
          <w:szCs w:val="20"/>
        </w:rPr>
        <w:t>se</w:t>
      </w:r>
      <w:r w:rsidRPr="006E436A">
        <w:rPr>
          <w:rFonts w:cs="Arial"/>
          <w:bCs/>
          <w:color w:val="000000"/>
          <w:szCs w:val="20"/>
        </w:rPr>
        <w:t xml:space="preserve"> pričakuje 3,2 % rast prihodkov, predvsem na račun višjih davčnih prihodkov in prejetih sredstev iz proračuna EU. Projekcije kažejo, da</w:t>
      </w:r>
      <w:r>
        <w:rPr>
          <w:rFonts w:cs="Arial"/>
          <w:bCs/>
          <w:color w:val="000000"/>
          <w:szCs w:val="20"/>
        </w:rPr>
        <w:t xml:space="preserve"> se</w:t>
      </w:r>
      <w:r w:rsidRPr="006E436A">
        <w:rPr>
          <w:rFonts w:cs="Arial"/>
          <w:bCs/>
          <w:color w:val="000000"/>
          <w:szCs w:val="20"/>
        </w:rPr>
        <w:t xml:space="preserve"> z letom 2023 preseže raven davčnih prihodkov, </w:t>
      </w:r>
      <w:r>
        <w:rPr>
          <w:rFonts w:cs="Arial"/>
          <w:bCs/>
          <w:color w:val="000000"/>
          <w:szCs w:val="20"/>
        </w:rPr>
        <w:t>iz leta 2019, torej pred epidemijo.</w:t>
      </w:r>
      <w:r w:rsidRPr="006E436A">
        <w:rPr>
          <w:rFonts w:cs="Arial"/>
          <w:bCs/>
          <w:color w:val="000000"/>
          <w:szCs w:val="20"/>
        </w:rPr>
        <w:t xml:space="preserve"> </w:t>
      </w:r>
      <w:r w:rsidRPr="00434EDA">
        <w:rPr>
          <w:rFonts w:cs="Arial"/>
          <w:b/>
          <w:color w:val="000000"/>
          <w:szCs w:val="20"/>
        </w:rPr>
        <w:t xml:space="preserve">V teku proračunskih usklajevanj </w:t>
      </w:r>
      <w:r>
        <w:rPr>
          <w:rFonts w:cs="Arial"/>
          <w:b/>
          <w:color w:val="000000"/>
          <w:szCs w:val="20"/>
        </w:rPr>
        <w:t xml:space="preserve">bodo </w:t>
      </w:r>
      <w:r w:rsidRPr="00434EDA">
        <w:rPr>
          <w:rFonts w:cs="Arial"/>
          <w:b/>
          <w:color w:val="000000"/>
          <w:szCs w:val="20"/>
        </w:rPr>
        <w:t>ponovno pripravljene ocen</w:t>
      </w:r>
      <w:r>
        <w:rPr>
          <w:rFonts w:cs="Arial"/>
          <w:b/>
          <w:color w:val="000000"/>
          <w:szCs w:val="20"/>
        </w:rPr>
        <w:t>e</w:t>
      </w:r>
      <w:r w:rsidRPr="00434EDA">
        <w:rPr>
          <w:rFonts w:cs="Arial"/>
          <w:b/>
          <w:color w:val="000000"/>
          <w:szCs w:val="20"/>
        </w:rPr>
        <w:t xml:space="preserve"> prihodkov v kolikor bi prišlo do odstopanj od sedanje ocene, ki izhajajo iz tekoče realizacije ali novo sprejetih ukrepov. </w:t>
      </w:r>
    </w:p>
    <w:p w14:paraId="3EC11538" w14:textId="77777777" w:rsidR="00F021A5" w:rsidRPr="006E436A" w:rsidRDefault="00F021A5" w:rsidP="00F021A5">
      <w:pPr>
        <w:tabs>
          <w:tab w:val="left" w:pos="4536"/>
        </w:tabs>
        <w:suppressAutoHyphens/>
        <w:jc w:val="both"/>
        <w:rPr>
          <w:rFonts w:cs="Arial"/>
          <w:bCs/>
          <w:color w:val="000000"/>
          <w:szCs w:val="20"/>
        </w:rPr>
      </w:pPr>
    </w:p>
    <w:p w14:paraId="1057CA22" w14:textId="77777777" w:rsidR="00F021A5" w:rsidRPr="006E436A" w:rsidRDefault="00F021A5" w:rsidP="00F021A5">
      <w:pPr>
        <w:tabs>
          <w:tab w:val="left" w:pos="4536"/>
        </w:tabs>
        <w:suppressAutoHyphens/>
        <w:jc w:val="both"/>
        <w:rPr>
          <w:rFonts w:cs="Arial"/>
          <w:bCs/>
          <w:color w:val="000000"/>
          <w:szCs w:val="20"/>
        </w:rPr>
      </w:pPr>
      <w:r w:rsidRPr="006E436A">
        <w:rPr>
          <w:rFonts w:cs="Arial"/>
          <w:bCs/>
          <w:color w:val="000000"/>
          <w:szCs w:val="20"/>
        </w:rPr>
        <w:t xml:space="preserve">V bilanci prihodkov državnega proračuna </w:t>
      </w:r>
      <w:r>
        <w:rPr>
          <w:rFonts w:cs="Arial"/>
          <w:bCs/>
          <w:color w:val="000000"/>
          <w:szCs w:val="20"/>
        </w:rPr>
        <w:t xml:space="preserve">je v scenarijih </w:t>
      </w:r>
      <w:r w:rsidRPr="006E436A">
        <w:rPr>
          <w:rFonts w:cs="Arial"/>
          <w:bCs/>
          <w:color w:val="000000"/>
          <w:szCs w:val="20"/>
        </w:rPr>
        <w:t>za leto 2022skupaj načrtovanih 10,8 milijarde evrov prihodkov, od tega 8,4 milijarde evrov davčnih prihodkov, 404,3 milijonov evrov nedavčnih prihodkov in 1,9 milijarde evrov prejetih sredstev iz proračuna EU. Za leto 2023 pa je načrtovanih 11,1 milijarde evrov prihodkov, od tega 8,9 milijarde evrov davčnih prihodkov, 396,7 milijonov nedavčnih prihodkov in 1,7 milijarde evrov prejetih sredstev iz proračuna EU.</w:t>
      </w:r>
    </w:p>
    <w:p w14:paraId="12F22417" w14:textId="77777777" w:rsidR="00F021A5" w:rsidRPr="00EB0539" w:rsidRDefault="00F021A5" w:rsidP="00F021A5">
      <w:pPr>
        <w:keepNext/>
        <w:rPr>
          <w:rFonts w:cs="Arial"/>
          <w:b/>
          <w:color w:val="0D0D0D"/>
          <w:szCs w:val="20"/>
        </w:rPr>
      </w:pPr>
    </w:p>
    <w:p w14:paraId="6E5F407F" w14:textId="77777777" w:rsidR="00F021A5" w:rsidRPr="00EB0539" w:rsidRDefault="00F021A5" w:rsidP="00F021A5">
      <w:pPr>
        <w:keepNext/>
        <w:rPr>
          <w:rFonts w:cs="Arial"/>
          <w:b/>
          <w:color w:val="0D0D0D"/>
          <w:szCs w:val="20"/>
        </w:rPr>
      </w:pPr>
      <w:r w:rsidRPr="00EB0539">
        <w:rPr>
          <w:rFonts w:cs="Arial"/>
          <w:b/>
          <w:color w:val="0D0D0D"/>
          <w:szCs w:val="20"/>
        </w:rPr>
        <w:t>Slika 1: Gibanja prihodkov državnega proračuna 2016 - 2023</w:t>
      </w:r>
    </w:p>
    <w:p w14:paraId="573A468A" w14:textId="6CDFE212" w:rsidR="00F021A5" w:rsidRPr="00EB0539" w:rsidRDefault="00F021A5" w:rsidP="00F021A5">
      <w:pPr>
        <w:spacing w:line="240" w:lineRule="auto"/>
        <w:rPr>
          <w:rFonts w:ascii="Calibri" w:hAnsi="Calibri"/>
          <w:lang w:eastAsia="sl-SI"/>
        </w:rPr>
      </w:pPr>
      <w:r w:rsidRPr="00EB0539">
        <w:rPr>
          <w:rFonts w:ascii="Calibri" w:hAnsi="Calibri"/>
          <w:noProof/>
          <w:lang w:eastAsia="sl-SI"/>
        </w:rPr>
        <w:drawing>
          <wp:inline distT="0" distB="0" distL="0" distR="0" wp14:anchorId="6A5978C9" wp14:editId="6526DC29">
            <wp:extent cx="4294725" cy="23145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7" cy="2320278"/>
                    </a:xfrm>
                    <a:prstGeom prst="rect">
                      <a:avLst/>
                    </a:prstGeom>
                    <a:noFill/>
                    <a:ln>
                      <a:noFill/>
                    </a:ln>
                  </pic:spPr>
                </pic:pic>
              </a:graphicData>
            </a:graphic>
          </wp:inline>
        </w:drawing>
      </w:r>
    </w:p>
    <w:p w14:paraId="71B10674" w14:textId="77777777" w:rsidR="00F021A5" w:rsidRPr="00EB0539" w:rsidRDefault="00F021A5" w:rsidP="00F021A5">
      <w:pPr>
        <w:rPr>
          <w:rFonts w:cs="Arial"/>
          <w:color w:val="0D0D0D"/>
          <w:sz w:val="18"/>
          <w:szCs w:val="18"/>
        </w:rPr>
      </w:pPr>
      <w:r w:rsidRPr="00EB0539">
        <w:rPr>
          <w:rFonts w:cs="Arial"/>
          <w:color w:val="0D0D0D"/>
          <w:sz w:val="18"/>
          <w:szCs w:val="18"/>
        </w:rPr>
        <w:t>Vir: Ministrstvo za finance</w:t>
      </w:r>
    </w:p>
    <w:p w14:paraId="2F5186AE" w14:textId="77777777" w:rsidR="00F021A5" w:rsidRPr="00EB0539" w:rsidRDefault="00F021A5" w:rsidP="00F021A5">
      <w:pPr>
        <w:rPr>
          <w:rFonts w:cs="Arial"/>
        </w:rPr>
      </w:pPr>
    </w:p>
    <w:p w14:paraId="65A88279" w14:textId="762C00B0" w:rsidR="00F021A5" w:rsidRPr="00F92DFB" w:rsidRDefault="00F021A5" w:rsidP="00F021A5">
      <w:pPr>
        <w:jc w:val="both"/>
        <w:rPr>
          <w:rFonts w:cs="Arial"/>
        </w:rPr>
      </w:pPr>
      <w:r w:rsidRPr="00F92DFB">
        <w:rPr>
          <w:rFonts w:cs="Arial"/>
        </w:rPr>
        <w:t xml:space="preserve">Obsežni paketi interventnih ukrepov v letih 2020 in 2021 so občutno ublažili izpad prihodkov iz naslova </w:t>
      </w:r>
      <w:r w:rsidRPr="00F92DFB">
        <w:rPr>
          <w:rFonts w:cs="Arial"/>
          <w:b/>
          <w:bCs/>
        </w:rPr>
        <w:t>dohodnine.</w:t>
      </w:r>
      <w:r w:rsidRPr="00F92DFB">
        <w:rPr>
          <w:rFonts w:cs="Arial"/>
        </w:rPr>
        <w:t xml:space="preserve"> V letu 2022 bo ob predvidevanju prenehanja izplačevanja kriznih dodatkov teh prihodkov nekoliko manj, sočasno pa se bodo v letu 2021 in 2022 začasno povečala povračila preveč plačane dohodnine, ki so vključevala tudi COVID dodatke saj so ti izvzeti iz obdavčitve. Oba dejavnika bosta v letu 2021 in 2022 povzročila, da bo dohodnina rasla počasneje kot bi sicer, medtem ko za leto 2023 pričakujemo sunkovito rast v odsotnosti visokih vračil preplačanih COVID dodatkov ter postopni rasti mase plač, ki bo sledila gospodarskemu okrevanju in postopnemu izboljševanju razmer na trgu dela</w:t>
      </w:r>
      <w:r w:rsidR="001038B0">
        <w:rPr>
          <w:rFonts w:cs="Arial"/>
        </w:rPr>
        <w:t>.</w:t>
      </w:r>
    </w:p>
    <w:p w14:paraId="0CA23DD1" w14:textId="77777777" w:rsidR="00F021A5" w:rsidRPr="00EB0539" w:rsidRDefault="00F021A5" w:rsidP="00F021A5">
      <w:pPr>
        <w:tabs>
          <w:tab w:val="left" w:pos="4536"/>
        </w:tabs>
        <w:suppressAutoHyphens/>
        <w:spacing w:line="240" w:lineRule="auto"/>
        <w:jc w:val="both"/>
        <w:rPr>
          <w:rFonts w:cs="Arial"/>
          <w:bCs/>
          <w:color w:val="000000"/>
          <w:szCs w:val="20"/>
        </w:rPr>
      </w:pPr>
    </w:p>
    <w:p w14:paraId="472A36F1" w14:textId="77777777" w:rsidR="00F021A5" w:rsidRPr="00EB0539" w:rsidRDefault="00F021A5" w:rsidP="00F021A5">
      <w:pPr>
        <w:keepNext/>
        <w:rPr>
          <w:rFonts w:cs="Arial"/>
          <w:b/>
          <w:color w:val="0D0D0D"/>
          <w:szCs w:val="20"/>
        </w:rPr>
      </w:pPr>
      <w:r w:rsidRPr="00EB0539">
        <w:rPr>
          <w:rFonts w:cs="Arial"/>
          <w:b/>
          <w:color w:val="0D0D0D"/>
          <w:szCs w:val="20"/>
        </w:rPr>
        <w:t>Slika 2: Gibanje davčnih prihodov 2017-2023</w:t>
      </w:r>
    </w:p>
    <w:p w14:paraId="398AA859" w14:textId="1730262A" w:rsidR="00F021A5" w:rsidRPr="00EB0539" w:rsidRDefault="0018557E" w:rsidP="00F021A5">
      <w:pPr>
        <w:rPr>
          <w:rFonts w:cs="Arial"/>
        </w:rPr>
      </w:pPr>
      <w:r w:rsidRPr="00EB0539">
        <w:rPr>
          <w:rFonts w:cs="Arial"/>
          <w:noProof/>
        </w:rPr>
        <w:drawing>
          <wp:anchor distT="0" distB="0" distL="114300" distR="114300" simplePos="0" relativeHeight="251663360" behindDoc="0" locked="0" layoutInCell="1" allowOverlap="1" wp14:anchorId="7AD82DAB" wp14:editId="49A81024">
            <wp:simplePos x="0" y="0"/>
            <wp:positionH relativeFrom="margin">
              <wp:align>left</wp:align>
            </wp:positionH>
            <wp:positionV relativeFrom="paragraph">
              <wp:posOffset>97155</wp:posOffset>
            </wp:positionV>
            <wp:extent cx="4448175" cy="2595880"/>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3609" cy="2599254"/>
                    </a:xfrm>
                    <a:prstGeom prst="rect">
                      <a:avLst/>
                    </a:prstGeom>
                    <a:noFill/>
                  </pic:spPr>
                </pic:pic>
              </a:graphicData>
            </a:graphic>
            <wp14:sizeRelH relativeFrom="margin">
              <wp14:pctWidth>0</wp14:pctWidth>
            </wp14:sizeRelH>
            <wp14:sizeRelV relativeFrom="margin">
              <wp14:pctHeight>0</wp14:pctHeight>
            </wp14:sizeRelV>
          </wp:anchor>
        </w:drawing>
      </w:r>
    </w:p>
    <w:p w14:paraId="17692E49" w14:textId="77777777" w:rsidR="00F021A5" w:rsidRPr="00EB0539" w:rsidRDefault="00F021A5" w:rsidP="00F021A5">
      <w:pPr>
        <w:rPr>
          <w:rFonts w:cs="Arial"/>
        </w:rPr>
      </w:pPr>
    </w:p>
    <w:p w14:paraId="392152BA" w14:textId="77777777" w:rsidR="00F021A5" w:rsidRPr="00EB0539" w:rsidRDefault="00F021A5" w:rsidP="00F021A5">
      <w:pPr>
        <w:rPr>
          <w:rFonts w:cs="Arial"/>
        </w:rPr>
      </w:pPr>
    </w:p>
    <w:p w14:paraId="4E6F89DA" w14:textId="77777777" w:rsidR="00F021A5" w:rsidRPr="00EB0539" w:rsidRDefault="00F021A5" w:rsidP="00F021A5">
      <w:pPr>
        <w:rPr>
          <w:rFonts w:cs="Arial"/>
        </w:rPr>
      </w:pPr>
    </w:p>
    <w:p w14:paraId="280859B2" w14:textId="77777777" w:rsidR="00F021A5" w:rsidRPr="00EB0539" w:rsidRDefault="00F021A5" w:rsidP="00F021A5">
      <w:pPr>
        <w:rPr>
          <w:rFonts w:cs="Arial"/>
        </w:rPr>
      </w:pPr>
    </w:p>
    <w:p w14:paraId="6365D1E9" w14:textId="77777777" w:rsidR="00F021A5" w:rsidRPr="00EB0539" w:rsidRDefault="00F021A5" w:rsidP="00F021A5">
      <w:pPr>
        <w:rPr>
          <w:rFonts w:cs="Arial"/>
        </w:rPr>
      </w:pPr>
    </w:p>
    <w:p w14:paraId="5432C617" w14:textId="77777777" w:rsidR="00F021A5" w:rsidRPr="00EB0539" w:rsidRDefault="00F021A5" w:rsidP="00F021A5">
      <w:pPr>
        <w:rPr>
          <w:rFonts w:cs="Arial"/>
        </w:rPr>
      </w:pPr>
    </w:p>
    <w:p w14:paraId="3AE63028" w14:textId="77777777" w:rsidR="00F021A5" w:rsidRPr="00EB0539" w:rsidRDefault="00F021A5" w:rsidP="00F021A5">
      <w:pPr>
        <w:jc w:val="both"/>
        <w:rPr>
          <w:rFonts w:cs="Arial"/>
        </w:rPr>
      </w:pPr>
    </w:p>
    <w:p w14:paraId="2BD2332B" w14:textId="77777777" w:rsidR="00F021A5" w:rsidRPr="00EB0539" w:rsidRDefault="00F021A5" w:rsidP="00F021A5">
      <w:pPr>
        <w:jc w:val="both"/>
        <w:rPr>
          <w:rFonts w:cs="Arial"/>
        </w:rPr>
      </w:pPr>
    </w:p>
    <w:p w14:paraId="3A01BAC9" w14:textId="77777777" w:rsidR="00F021A5" w:rsidRPr="00EB0539" w:rsidRDefault="00F021A5" w:rsidP="00F021A5">
      <w:pPr>
        <w:jc w:val="both"/>
        <w:rPr>
          <w:rFonts w:cs="Arial"/>
        </w:rPr>
      </w:pPr>
    </w:p>
    <w:p w14:paraId="6F677367" w14:textId="77777777" w:rsidR="00F021A5" w:rsidRPr="00EB0539" w:rsidRDefault="00F021A5" w:rsidP="00F021A5">
      <w:pPr>
        <w:jc w:val="both"/>
        <w:rPr>
          <w:rFonts w:cs="Arial"/>
        </w:rPr>
      </w:pPr>
    </w:p>
    <w:p w14:paraId="6EC33412" w14:textId="77777777" w:rsidR="00F021A5" w:rsidRPr="00EB0539" w:rsidRDefault="00F021A5" w:rsidP="00F021A5">
      <w:pPr>
        <w:jc w:val="both"/>
        <w:rPr>
          <w:rFonts w:cs="Arial"/>
        </w:rPr>
      </w:pPr>
    </w:p>
    <w:p w14:paraId="51B187E8" w14:textId="77777777" w:rsidR="00F021A5" w:rsidRPr="00EB0539" w:rsidRDefault="00F021A5" w:rsidP="00F021A5">
      <w:pPr>
        <w:jc w:val="both"/>
        <w:rPr>
          <w:rFonts w:cs="Arial"/>
        </w:rPr>
      </w:pPr>
    </w:p>
    <w:p w14:paraId="22B7A261" w14:textId="77777777" w:rsidR="00F021A5" w:rsidRPr="00EB0539" w:rsidRDefault="00F021A5" w:rsidP="00F021A5">
      <w:pPr>
        <w:jc w:val="both"/>
        <w:rPr>
          <w:rFonts w:cs="Arial"/>
        </w:rPr>
      </w:pPr>
    </w:p>
    <w:p w14:paraId="79DD2792" w14:textId="77777777" w:rsidR="00F021A5" w:rsidRPr="00EB0539" w:rsidRDefault="00F021A5" w:rsidP="00F021A5">
      <w:pPr>
        <w:jc w:val="both"/>
        <w:rPr>
          <w:rFonts w:cs="Arial"/>
        </w:rPr>
      </w:pPr>
    </w:p>
    <w:p w14:paraId="3443FF0E" w14:textId="7FBD2B39" w:rsidR="00F021A5" w:rsidRPr="00EB0539" w:rsidRDefault="00F021A5" w:rsidP="00F021A5">
      <w:pPr>
        <w:jc w:val="both"/>
        <w:rPr>
          <w:rFonts w:cs="Arial"/>
        </w:rPr>
      </w:pPr>
    </w:p>
    <w:p w14:paraId="7DBAEB32" w14:textId="77777777" w:rsidR="0018557E" w:rsidRDefault="0018557E" w:rsidP="00F021A5">
      <w:pPr>
        <w:rPr>
          <w:rFonts w:cs="Arial"/>
          <w:color w:val="0D0D0D"/>
          <w:sz w:val="18"/>
          <w:szCs w:val="18"/>
        </w:rPr>
      </w:pPr>
    </w:p>
    <w:p w14:paraId="2F9C8F08" w14:textId="4F8007E0" w:rsidR="00F021A5" w:rsidRPr="00EB0539" w:rsidRDefault="00F021A5" w:rsidP="00F021A5">
      <w:pPr>
        <w:rPr>
          <w:rFonts w:cs="Arial"/>
          <w:color w:val="0D0D0D"/>
          <w:sz w:val="18"/>
          <w:szCs w:val="18"/>
        </w:rPr>
      </w:pPr>
      <w:r w:rsidRPr="00EB0539">
        <w:rPr>
          <w:rFonts w:cs="Arial"/>
          <w:color w:val="0D0D0D"/>
          <w:sz w:val="18"/>
          <w:szCs w:val="18"/>
        </w:rPr>
        <w:t>Vir: Ministrstvo za finance</w:t>
      </w:r>
    </w:p>
    <w:p w14:paraId="242802AB" w14:textId="77777777" w:rsidR="00F021A5" w:rsidRPr="00EB0539" w:rsidRDefault="00F021A5" w:rsidP="00F021A5">
      <w:pPr>
        <w:jc w:val="both"/>
        <w:rPr>
          <w:rFonts w:cs="Arial"/>
        </w:rPr>
      </w:pPr>
    </w:p>
    <w:p w14:paraId="2DFB2F04" w14:textId="77777777" w:rsidR="00F021A5" w:rsidRDefault="00F021A5" w:rsidP="00F021A5">
      <w:pPr>
        <w:jc w:val="both"/>
        <w:rPr>
          <w:rFonts w:cs="Arial"/>
        </w:rPr>
      </w:pPr>
      <w:r>
        <w:rPr>
          <w:rFonts w:cs="Arial"/>
        </w:rPr>
        <w:lastRenderedPageBreak/>
        <w:t xml:space="preserve">Zaradi upada gospodarske aktivnosti so številna podjetja v letih 2020 in 2021 že med letom zaprosila za znižanje akontacij </w:t>
      </w:r>
      <w:r w:rsidRPr="00257B80">
        <w:rPr>
          <w:rFonts w:cs="Arial"/>
          <w:b/>
          <w:bCs/>
        </w:rPr>
        <w:t>davka od dohodkov pravnih oseb</w:t>
      </w:r>
      <w:r>
        <w:rPr>
          <w:rFonts w:cs="Arial"/>
        </w:rPr>
        <w:t>. Pričakovati je bilo, da bodo podjetja po predložitvi obračunov za leto 2020 dosegla nevtralen učinek. Ob pregledu dosedanjih obračunov pa je zaznati pozitivna gibanja, ki kažejo, da so podjetja ob vrsti interventnih ukrepov in pomoči gospodarstvu poslovala bolje od pričakovanj oziroma so zaradi pomoči države in prilagoditve poslovanja drugačnim razmeram, poslovala na ravni blizu leta 2019. Do predložitve vseh obračunov podjetij za leto 2021 se iz previdnosti ostaja na oceni 3,6 odstotnega padca v primerjavi z letom 2020, ob izdatni rasti v letu 2022 v višini 14,6 odstotkov, ter kasneje umirjeni rasti v letu 2023.</w:t>
      </w:r>
    </w:p>
    <w:p w14:paraId="18477E94" w14:textId="77777777" w:rsidR="00F021A5" w:rsidRDefault="00F021A5" w:rsidP="00F021A5">
      <w:pPr>
        <w:rPr>
          <w:rFonts w:cs="Arial"/>
        </w:rPr>
      </w:pPr>
    </w:p>
    <w:p w14:paraId="09CFAA3E" w14:textId="77777777" w:rsidR="00F021A5" w:rsidRDefault="00F021A5" w:rsidP="00F021A5">
      <w:pPr>
        <w:jc w:val="both"/>
        <w:rPr>
          <w:rFonts w:cs="Arial"/>
        </w:rPr>
      </w:pPr>
      <w:r>
        <w:rPr>
          <w:rFonts w:cs="Arial"/>
        </w:rPr>
        <w:t xml:space="preserve">Ob 8,9-odstotnem padcu prihodkov iz naslova </w:t>
      </w:r>
      <w:r w:rsidRPr="00257B80">
        <w:rPr>
          <w:rFonts w:cs="Arial"/>
          <w:b/>
          <w:bCs/>
        </w:rPr>
        <w:t>davka na dodano vrednost</w:t>
      </w:r>
      <w:r>
        <w:rPr>
          <w:rFonts w:cs="Arial"/>
        </w:rPr>
        <w:t xml:space="preserve"> v lanskem letu zaradi ukrepov na področju obvladovanja epidemije ter sočasno odloženimi in obročno plačanimi obveznostmi plačila davka, se v letošnjem letu pričakuje visoko 8,1 odstotno rast, kot posledico sprostitve zadržane potrošnje prebivalstva ter plačila predhodno omenjenih doloženih plačil DDV. Za leto 2022, se kljub 4,7 odstotni rasti zasebne potrošnje, pričakuje rahlo umiritev zaradi odsotnosti odloženih plačil iz leta 2020, ki v plačilo v večjem delu zapadejo v letu 2021 in 2022. Posledično se v letu 2023 pričakuje rast prihodkov iz naslova DDV, rahlo pod rastjo zasebne potrošnje.</w:t>
      </w:r>
    </w:p>
    <w:p w14:paraId="7EC2C205" w14:textId="77777777" w:rsidR="00F021A5" w:rsidRDefault="00F021A5" w:rsidP="00F021A5">
      <w:pPr>
        <w:rPr>
          <w:rFonts w:cs="Arial"/>
        </w:rPr>
      </w:pPr>
    </w:p>
    <w:p w14:paraId="109A2E2F" w14:textId="1123653D" w:rsidR="00F021A5" w:rsidRDefault="00F021A5" w:rsidP="00F021A5">
      <w:pPr>
        <w:jc w:val="both"/>
        <w:rPr>
          <w:rFonts w:cs="Arial"/>
        </w:rPr>
      </w:pPr>
      <w:r>
        <w:rPr>
          <w:rFonts w:cs="Arial"/>
        </w:rPr>
        <w:t>P</w:t>
      </w:r>
      <w:r w:rsidRPr="00681FDB">
        <w:rPr>
          <w:rFonts w:cs="Arial"/>
        </w:rPr>
        <w:t xml:space="preserve">rojekcije </w:t>
      </w:r>
      <w:r w:rsidRPr="001E61FB">
        <w:rPr>
          <w:rFonts w:cs="Arial"/>
          <w:b/>
          <w:bCs/>
        </w:rPr>
        <w:t>nedavčnih prihodkov</w:t>
      </w:r>
      <w:r>
        <w:rPr>
          <w:rFonts w:cs="Arial"/>
        </w:rPr>
        <w:t xml:space="preserve"> v letu 2021 kažejo na 15,2 odstotno znižanje, do leta 2023 pa nadaljujejo negativen trend. Načrtovan upad prihodkov se delno nanaša na p</w:t>
      </w:r>
      <w:r w:rsidRPr="00F352EB">
        <w:rPr>
          <w:rFonts w:cs="Arial"/>
        </w:rPr>
        <w:t xml:space="preserve">redlog </w:t>
      </w:r>
      <w:r>
        <w:rPr>
          <w:rFonts w:cs="Arial"/>
        </w:rPr>
        <w:t>Z</w:t>
      </w:r>
      <w:r w:rsidRPr="00F352EB">
        <w:rPr>
          <w:rFonts w:cs="Arial"/>
        </w:rPr>
        <w:t>akona o nacionalnem demografskem skladu, ki predvideva prenos lastništva vseh kapitalskih naložb R</w:t>
      </w:r>
      <w:r>
        <w:rPr>
          <w:rFonts w:cs="Arial"/>
        </w:rPr>
        <w:t xml:space="preserve">epublike </w:t>
      </w:r>
      <w:r w:rsidRPr="00F352EB">
        <w:rPr>
          <w:rFonts w:cs="Arial"/>
        </w:rPr>
        <w:t>S</w:t>
      </w:r>
      <w:r>
        <w:rPr>
          <w:rFonts w:cs="Arial"/>
        </w:rPr>
        <w:t>lovenije</w:t>
      </w:r>
      <w:r w:rsidRPr="00F352EB">
        <w:rPr>
          <w:rFonts w:cs="Arial"/>
        </w:rPr>
        <w:t xml:space="preserve"> na demografski skla</w:t>
      </w:r>
      <w:r>
        <w:rPr>
          <w:rFonts w:cs="Arial"/>
        </w:rPr>
        <w:t xml:space="preserve">d. </w:t>
      </w:r>
      <w:r w:rsidRPr="00F352EB">
        <w:rPr>
          <w:rFonts w:cs="Arial"/>
        </w:rPr>
        <w:t xml:space="preserve">To pomeni, da </w:t>
      </w:r>
      <w:r>
        <w:rPr>
          <w:rFonts w:cs="Arial"/>
        </w:rPr>
        <w:t xml:space="preserve">državni </w:t>
      </w:r>
      <w:r w:rsidRPr="00F352EB">
        <w:rPr>
          <w:rFonts w:cs="Arial"/>
        </w:rPr>
        <w:t xml:space="preserve">proračun ne bo več prejemal dividend od </w:t>
      </w:r>
      <w:r>
        <w:rPr>
          <w:rFonts w:cs="Arial"/>
        </w:rPr>
        <w:t>teh</w:t>
      </w:r>
      <w:r w:rsidRPr="00F352EB">
        <w:rPr>
          <w:rFonts w:cs="Arial"/>
        </w:rPr>
        <w:t xml:space="preserve"> naložb</w:t>
      </w:r>
      <w:r>
        <w:rPr>
          <w:rFonts w:cs="Arial"/>
        </w:rPr>
        <w:t>. Iz naslova drugih nedavčnih prihodkov, na katerih rast so v letih 2020 in 2021 v večjem delu vplivali prilivi iz naslova zadolževanja, pa v prihodnjih dveh letih prihodkov v takem obsegu ni mogoče načrtovati. Z</w:t>
      </w:r>
      <w:r>
        <w:t>a potrebe servisiranja dolga Republike Slovenije in financiranja interventnih ukrepov za blažitev posledic epidemije COVID, se je Republika Slovenija dodatno zadolžila in je z raznimi finančnimi instrumenti, na podlagi razlike v ceni, realizirala</w:t>
      </w:r>
      <w:r w:rsidRPr="00530F05">
        <w:t xml:space="preserve"> </w:t>
      </w:r>
      <w:r>
        <w:t>dodatne prihodke.</w:t>
      </w:r>
      <w:r>
        <w:rPr>
          <w:rFonts w:cs="Arial"/>
        </w:rPr>
        <w:t xml:space="preserve"> Hkrati je napovedovanje prihodkov iz tega naslova nepredvidljivo, saj je odvisno od trenutnih razmer na finančnih trgih.</w:t>
      </w:r>
      <w:r w:rsidRPr="00F352EB">
        <w:t xml:space="preserve"> </w:t>
      </w:r>
    </w:p>
    <w:p w14:paraId="05EA7800" w14:textId="77777777" w:rsidR="00F021A5" w:rsidRDefault="00F021A5" w:rsidP="00F021A5">
      <w:pPr>
        <w:jc w:val="both"/>
        <w:rPr>
          <w:rFonts w:cs="Arial"/>
        </w:rPr>
      </w:pPr>
    </w:p>
    <w:p w14:paraId="0F0A50F3" w14:textId="77777777" w:rsidR="00F021A5" w:rsidRPr="00681FDB" w:rsidRDefault="00F021A5" w:rsidP="00F021A5">
      <w:pPr>
        <w:jc w:val="both"/>
        <w:rPr>
          <w:rFonts w:cs="Arial"/>
        </w:rPr>
      </w:pPr>
      <w:r w:rsidRPr="00681FDB">
        <w:rPr>
          <w:rFonts w:cs="Arial"/>
        </w:rPr>
        <w:t>V letih 202</w:t>
      </w:r>
      <w:r>
        <w:rPr>
          <w:rFonts w:cs="Arial"/>
        </w:rPr>
        <w:t>2</w:t>
      </w:r>
      <w:r w:rsidRPr="00681FDB">
        <w:rPr>
          <w:rFonts w:cs="Arial"/>
        </w:rPr>
        <w:t xml:space="preserve"> in 202</w:t>
      </w:r>
      <w:r>
        <w:rPr>
          <w:rFonts w:cs="Arial"/>
        </w:rPr>
        <w:t>3</w:t>
      </w:r>
      <w:r w:rsidRPr="00681FDB">
        <w:rPr>
          <w:rFonts w:cs="Arial"/>
        </w:rPr>
        <w:t xml:space="preserve"> </w:t>
      </w:r>
      <w:r>
        <w:rPr>
          <w:rFonts w:cs="Arial"/>
        </w:rPr>
        <w:t xml:space="preserve">v scenariju </w:t>
      </w:r>
      <w:r w:rsidRPr="00681FDB">
        <w:rPr>
          <w:rFonts w:cs="Arial"/>
        </w:rPr>
        <w:t xml:space="preserve">beležimo izrazito povečanje </w:t>
      </w:r>
      <w:r w:rsidRPr="001E61FB">
        <w:rPr>
          <w:rFonts w:cs="Arial"/>
          <w:b/>
          <w:bCs/>
        </w:rPr>
        <w:t>prihodkov iz proračuna EU</w:t>
      </w:r>
      <w:r w:rsidRPr="00681FDB">
        <w:rPr>
          <w:rFonts w:cs="Arial"/>
        </w:rPr>
        <w:t>. Slovenija je na EU ravni uspela doseči dogovor, ki bo omogočil dovolj velik obseg sredstev za učinkovit odgovor na krizo in učinkovito okrevanje. Slovenija ima na voljo ugoden delež sredstev v okviru Instrumenta za okrevanje in več kohezijskih sredstev, kar lahko izkoristi za ukrepe in projekte, ki bodo krepili zdravstveni sistem, ublažili posledice staranja prebivalstva, krepili d</w:t>
      </w:r>
      <w:r>
        <w:rPr>
          <w:rFonts w:cs="Arial"/>
        </w:rPr>
        <w:t xml:space="preserve">igitalizacijo in ozelenitev na </w:t>
      </w:r>
      <w:r w:rsidRPr="00681FDB">
        <w:rPr>
          <w:rFonts w:cs="Arial"/>
        </w:rPr>
        <w:t xml:space="preserve">vseh področjih.  </w:t>
      </w:r>
    </w:p>
    <w:p w14:paraId="19D02F8E" w14:textId="77777777" w:rsidR="00F021A5" w:rsidRPr="00681FDB" w:rsidRDefault="00F021A5" w:rsidP="00F021A5">
      <w:pPr>
        <w:jc w:val="both"/>
        <w:rPr>
          <w:color w:val="000000"/>
        </w:rPr>
      </w:pPr>
    </w:p>
    <w:p w14:paraId="62BD13AE" w14:textId="77777777" w:rsidR="00F021A5" w:rsidRDefault="00F021A5" w:rsidP="00F021A5">
      <w:pPr>
        <w:jc w:val="both"/>
      </w:pPr>
      <w:r w:rsidRPr="00681FDB">
        <w:t xml:space="preserve">Še naprej bodo vzporedno potekali ukrepi </w:t>
      </w:r>
      <w:r w:rsidRPr="00681FDB">
        <w:rPr>
          <w:iCs/>
        </w:rPr>
        <w:t>administrativne poenostavitve ter izboljšanja učinkovitosti pobiranja javnih dajatev</w:t>
      </w:r>
      <w:r w:rsidRPr="00681FDB">
        <w:t>, ukrepi v smeri večje stopnje digitalizacije.</w:t>
      </w:r>
    </w:p>
    <w:p w14:paraId="0AA8E3CA" w14:textId="77777777" w:rsidR="00F021A5" w:rsidRPr="00681FDB" w:rsidRDefault="00F021A5" w:rsidP="00F021A5">
      <w:pPr>
        <w:jc w:val="both"/>
      </w:pPr>
    </w:p>
    <w:p w14:paraId="0C376D3D" w14:textId="77777777" w:rsidR="00F021A5" w:rsidRPr="00EB0539" w:rsidRDefault="00F021A5" w:rsidP="00F021A5">
      <w:pPr>
        <w:jc w:val="both"/>
        <w:rPr>
          <w:b/>
          <w:bCs/>
        </w:rPr>
      </w:pPr>
    </w:p>
    <w:p w14:paraId="4566811F" w14:textId="77777777" w:rsidR="00F021A5" w:rsidRPr="00EB0539" w:rsidRDefault="00F021A5" w:rsidP="00F021A5">
      <w:pPr>
        <w:numPr>
          <w:ilvl w:val="0"/>
          <w:numId w:val="39"/>
        </w:numPr>
        <w:jc w:val="both"/>
        <w:rPr>
          <w:b/>
          <w:bCs/>
        </w:rPr>
      </w:pPr>
      <w:r w:rsidRPr="00EB0539">
        <w:rPr>
          <w:b/>
          <w:bCs/>
        </w:rPr>
        <w:t>EKONOMSKA STRUKTURA ODHODKOV DRŽAVNEGA PRORAČUNA 2022-2023</w:t>
      </w:r>
    </w:p>
    <w:p w14:paraId="08745270" w14:textId="77777777" w:rsidR="00F021A5" w:rsidRPr="00EB0539" w:rsidRDefault="00F021A5" w:rsidP="00F021A5">
      <w:pPr>
        <w:jc w:val="both"/>
        <w:rPr>
          <w:b/>
          <w:bCs/>
        </w:rPr>
      </w:pPr>
    </w:p>
    <w:p w14:paraId="718B53CC" w14:textId="77777777" w:rsidR="00F021A5" w:rsidRDefault="00F021A5" w:rsidP="00F021A5">
      <w:pPr>
        <w:jc w:val="both"/>
        <w:rPr>
          <w:b/>
          <w:bCs/>
        </w:rPr>
      </w:pPr>
    </w:p>
    <w:p w14:paraId="091AB365" w14:textId="15EF8E09" w:rsidR="00F021A5" w:rsidRPr="001226A4" w:rsidRDefault="00F021A5" w:rsidP="00F021A5">
      <w:pPr>
        <w:tabs>
          <w:tab w:val="left" w:pos="4536"/>
        </w:tabs>
        <w:suppressAutoHyphens/>
        <w:jc w:val="both"/>
        <w:rPr>
          <w:rFonts w:cs="Arial"/>
          <w:szCs w:val="20"/>
        </w:rPr>
      </w:pPr>
      <w:r w:rsidRPr="001226A4">
        <w:rPr>
          <w:rFonts w:cs="Arial"/>
          <w:szCs w:val="20"/>
        </w:rPr>
        <w:t xml:space="preserve">V letu 2022 </w:t>
      </w:r>
      <w:r>
        <w:rPr>
          <w:rFonts w:cs="Arial"/>
          <w:szCs w:val="20"/>
        </w:rPr>
        <w:t xml:space="preserve">se </w:t>
      </w:r>
      <w:r w:rsidRPr="001226A4">
        <w:rPr>
          <w:rFonts w:cs="Arial"/>
          <w:szCs w:val="20"/>
        </w:rPr>
        <w:t>v državnem proračunu načrtuje za 13,3 milijarde</w:t>
      </w:r>
      <w:r>
        <w:rPr>
          <w:rFonts w:cs="Arial"/>
          <w:szCs w:val="20"/>
        </w:rPr>
        <w:t xml:space="preserve"> evrov</w:t>
      </w:r>
      <w:r w:rsidRPr="001226A4">
        <w:rPr>
          <w:rFonts w:cs="Arial"/>
          <w:szCs w:val="20"/>
        </w:rPr>
        <w:t xml:space="preserve"> odhodkov</w:t>
      </w:r>
      <w:r>
        <w:rPr>
          <w:rFonts w:cs="Arial"/>
          <w:szCs w:val="20"/>
        </w:rPr>
        <w:t>,</w:t>
      </w:r>
      <w:r w:rsidRPr="001226A4">
        <w:rPr>
          <w:rFonts w:cs="Arial"/>
          <w:szCs w:val="20"/>
        </w:rPr>
        <w:t xml:space="preserve"> v letu 2023 pa 13,06 milijarde </w:t>
      </w:r>
      <w:r>
        <w:rPr>
          <w:rFonts w:cs="Arial"/>
          <w:szCs w:val="20"/>
        </w:rPr>
        <w:t xml:space="preserve">evrov </w:t>
      </w:r>
      <w:r w:rsidRPr="001226A4">
        <w:rPr>
          <w:rFonts w:cs="Arial"/>
          <w:szCs w:val="20"/>
        </w:rPr>
        <w:t>odhodkov, kar je</w:t>
      </w:r>
      <w:r>
        <w:rPr>
          <w:rFonts w:cs="Arial"/>
          <w:szCs w:val="20"/>
        </w:rPr>
        <w:t xml:space="preserve"> skladno z obsegom, ki je za državni proračun določen </w:t>
      </w:r>
      <w:r w:rsidRPr="001226A4">
        <w:rPr>
          <w:rFonts w:cs="Arial"/>
          <w:szCs w:val="20"/>
        </w:rPr>
        <w:t xml:space="preserve">z Odlokom. </w:t>
      </w:r>
      <w:r w:rsidRPr="00434EDA">
        <w:rPr>
          <w:rFonts w:cs="Arial"/>
          <w:b/>
          <w:color w:val="000000"/>
          <w:szCs w:val="20"/>
        </w:rPr>
        <w:t xml:space="preserve">V teku proračunskih usklajevanj </w:t>
      </w:r>
      <w:r>
        <w:rPr>
          <w:rFonts w:cs="Arial"/>
          <w:b/>
          <w:color w:val="000000"/>
          <w:szCs w:val="20"/>
        </w:rPr>
        <w:t xml:space="preserve">bo znotraj tako določenega obsega izdatkov lahko določena drugačna struktura odhodkov, </w:t>
      </w:r>
      <w:r w:rsidRPr="00434EDA">
        <w:rPr>
          <w:rFonts w:cs="Arial"/>
          <w:b/>
          <w:color w:val="000000"/>
          <w:szCs w:val="20"/>
        </w:rPr>
        <w:t xml:space="preserve">ki </w:t>
      </w:r>
      <w:r>
        <w:rPr>
          <w:rFonts w:cs="Arial"/>
          <w:b/>
          <w:color w:val="000000"/>
          <w:szCs w:val="20"/>
        </w:rPr>
        <w:t xml:space="preserve">bi </w:t>
      </w:r>
      <w:r w:rsidRPr="00434EDA">
        <w:rPr>
          <w:rFonts w:cs="Arial"/>
          <w:b/>
          <w:color w:val="000000"/>
          <w:szCs w:val="20"/>
        </w:rPr>
        <w:t>izhaja</w:t>
      </w:r>
      <w:r>
        <w:rPr>
          <w:rFonts w:cs="Arial"/>
          <w:b/>
          <w:color w:val="000000"/>
          <w:szCs w:val="20"/>
        </w:rPr>
        <w:t xml:space="preserve">la </w:t>
      </w:r>
      <w:r w:rsidRPr="00434EDA">
        <w:rPr>
          <w:rFonts w:cs="Arial"/>
          <w:b/>
          <w:color w:val="000000"/>
          <w:szCs w:val="20"/>
        </w:rPr>
        <w:t>iz tekoče realizacije</w:t>
      </w:r>
      <w:r>
        <w:rPr>
          <w:rFonts w:cs="Arial"/>
          <w:b/>
          <w:color w:val="000000"/>
          <w:szCs w:val="20"/>
        </w:rPr>
        <w:t>, sprememb politik</w:t>
      </w:r>
      <w:r w:rsidRPr="00434EDA">
        <w:rPr>
          <w:rFonts w:cs="Arial"/>
          <w:b/>
          <w:color w:val="000000"/>
          <w:szCs w:val="20"/>
        </w:rPr>
        <w:t xml:space="preserve"> ali novo sprejetih ukrepov.</w:t>
      </w:r>
    </w:p>
    <w:p w14:paraId="6060EDF3" w14:textId="77777777" w:rsidR="00F021A5" w:rsidRPr="00EB0539" w:rsidRDefault="00F021A5" w:rsidP="00F021A5">
      <w:pPr>
        <w:jc w:val="both"/>
      </w:pPr>
    </w:p>
    <w:p w14:paraId="01956F54" w14:textId="22289D94" w:rsidR="00F021A5" w:rsidRPr="00434EDA" w:rsidRDefault="00F021A5" w:rsidP="00F021A5">
      <w:pPr>
        <w:tabs>
          <w:tab w:val="left" w:pos="4536"/>
        </w:tabs>
        <w:suppressAutoHyphens/>
        <w:jc w:val="both"/>
        <w:rPr>
          <w:rFonts w:cs="Arial"/>
          <w:b/>
          <w:color w:val="000000"/>
          <w:szCs w:val="20"/>
        </w:rPr>
      </w:pPr>
      <w:r w:rsidRPr="00EB0539">
        <w:t>Zaradi pričakovanega okrevanja in postopnega umika začasnih ukrepov povezanih z epidemijo COVID-19 se odhodki v letu 2022 v primerjavi s preteklim letom znižujejo za 7,1% v letu 2023 pa še za 3% glede na leto pred tem.</w:t>
      </w:r>
      <w:r>
        <w:t xml:space="preserve"> </w:t>
      </w:r>
    </w:p>
    <w:p w14:paraId="5CDC9A25" w14:textId="77777777" w:rsidR="00F021A5" w:rsidRPr="00EB0539" w:rsidRDefault="00F021A5" w:rsidP="00F021A5">
      <w:pPr>
        <w:jc w:val="both"/>
      </w:pPr>
    </w:p>
    <w:p w14:paraId="161252DD" w14:textId="0B31F3FC" w:rsidR="00F021A5" w:rsidRPr="00DE6B55" w:rsidRDefault="00F021A5" w:rsidP="00F021A5">
      <w:pPr>
        <w:jc w:val="both"/>
      </w:pPr>
      <w:r>
        <w:t xml:space="preserve">Na področju </w:t>
      </w:r>
      <w:r w:rsidRPr="00DE6B55">
        <w:rPr>
          <w:b/>
          <w:bCs/>
        </w:rPr>
        <w:t>plač in drugih stroškov dela</w:t>
      </w:r>
      <w:r>
        <w:t xml:space="preserve"> za leto 2022 in 2023 posebnih dogovorov, ki bi vplivali na gibanje mase sredstev za navedene odhodke, med sindikalnimi partnerji ni dogovorjenih. Zato je v </w:t>
      </w:r>
      <w:r>
        <w:lastRenderedPageBreak/>
        <w:t>projekcijah rasti odhodkov na segmentu stroškov dela upoštevana zgolj rast z naslova rednega napredovanja. Poleg tega pa se v rasti odraža tudi znižanje odhodkov v letu 2022 glede na leto 2021 zaradi prenehanja projekta predsedovanja Slovenije EU.</w:t>
      </w:r>
    </w:p>
    <w:p w14:paraId="5801A9EC" w14:textId="77777777" w:rsidR="00F021A5" w:rsidRDefault="00F021A5" w:rsidP="00F021A5"/>
    <w:p w14:paraId="52E0A111" w14:textId="77777777" w:rsidR="00F021A5" w:rsidRPr="009376B4" w:rsidRDefault="00F021A5" w:rsidP="00F021A5">
      <w:pPr>
        <w:jc w:val="both"/>
      </w:pPr>
      <w:bookmarkStart w:id="0" w:name="_Hlk71277199"/>
      <w:r w:rsidRPr="009376B4">
        <w:t>Državna aktivno upravlja z javnim dolgom</w:t>
      </w:r>
      <w:r>
        <w:t xml:space="preserve"> in to se odraža tudi v zniževanju </w:t>
      </w:r>
      <w:r w:rsidRPr="0083772C">
        <w:rPr>
          <w:b/>
          <w:bCs/>
        </w:rPr>
        <w:t>obresti.</w:t>
      </w:r>
      <w:r>
        <w:t xml:space="preserve"> Ocenjuje se, da bodo obresti v letu 2022 za 78,9 mio EUR nižje od tistih v sprejetem proračunu za leto 2021. Tudi za leto 2023 se ocenjuje zniževanje obresti in sicer iz 683,4 mio EUR za leto 2022 na 653,8 mio EUR za leto 2023.</w:t>
      </w:r>
    </w:p>
    <w:p w14:paraId="0E8FFD51" w14:textId="77777777" w:rsidR="00F021A5" w:rsidRPr="009376B4" w:rsidRDefault="00F021A5" w:rsidP="00F021A5">
      <w:pPr>
        <w:jc w:val="both"/>
      </w:pPr>
    </w:p>
    <w:p w14:paraId="44F5D4BB" w14:textId="1669CD63" w:rsidR="00F021A5" w:rsidRPr="003F3FE4" w:rsidRDefault="00F021A5" w:rsidP="00F021A5">
      <w:pPr>
        <w:jc w:val="both"/>
      </w:pPr>
      <w:bookmarkStart w:id="1" w:name="_Hlk71277062"/>
      <w:r w:rsidRPr="003F3FE4">
        <w:t xml:space="preserve">Med </w:t>
      </w:r>
      <w:r w:rsidRPr="0083772C">
        <w:rPr>
          <w:b/>
          <w:bCs/>
        </w:rPr>
        <w:t xml:space="preserve">subvencijami </w:t>
      </w:r>
      <w:r w:rsidRPr="003F3FE4">
        <w:t>se načrtuje subvencioniranje privatnih podjetij in zasebnikov ter subvencije javnim podjetjem. Subvencije privatnim podjetjem in zasebnikom se povečujejo</w:t>
      </w:r>
      <w:r>
        <w:t xml:space="preserve"> predvsem na področju </w:t>
      </w:r>
      <w:r w:rsidRPr="003F3FE4">
        <w:t>razvoj</w:t>
      </w:r>
      <w:r>
        <w:t>a</w:t>
      </w:r>
      <w:r w:rsidRPr="003F3FE4">
        <w:t xml:space="preserve"> podeželja. </w:t>
      </w:r>
      <w:r>
        <w:t>S</w:t>
      </w:r>
      <w:r w:rsidRPr="003F3FE4">
        <w:t xml:space="preserve">ubvencije se </w:t>
      </w:r>
      <w:r>
        <w:t xml:space="preserve">bodo zagotavljale </w:t>
      </w:r>
      <w:r w:rsidRPr="003F3FE4">
        <w:t xml:space="preserve">tudi </w:t>
      </w:r>
      <w:r>
        <w:t>iz sredstev</w:t>
      </w:r>
      <w:r w:rsidRPr="003F3FE4">
        <w:t xml:space="preserve"> </w:t>
      </w:r>
      <w:r>
        <w:t>sklada</w:t>
      </w:r>
      <w:r w:rsidRPr="003F3FE4">
        <w:t xml:space="preserve"> za okrevanje in odpornost, namenjene </w:t>
      </w:r>
      <w:r>
        <w:t xml:space="preserve">pa bodo predvsem </w:t>
      </w:r>
      <w:r w:rsidRPr="003F3FE4">
        <w:t xml:space="preserve">tehnološko razvojnim projektom, spodbudam za novonastala podjetja in njihovo rast ter razvoju turizma. </w:t>
      </w:r>
    </w:p>
    <w:bookmarkEnd w:id="1"/>
    <w:p w14:paraId="25EEEEA4" w14:textId="3B0DB61C" w:rsidR="00F021A5" w:rsidRDefault="00F021A5" w:rsidP="00F021A5">
      <w:pPr>
        <w:jc w:val="both"/>
        <w:rPr>
          <w:b/>
          <w:bCs/>
        </w:rPr>
      </w:pPr>
    </w:p>
    <w:p w14:paraId="5A45C1D9" w14:textId="028B434D" w:rsidR="00F021A5" w:rsidRPr="003F3FE4" w:rsidRDefault="00F021A5" w:rsidP="00F021A5">
      <w:pPr>
        <w:jc w:val="both"/>
      </w:pPr>
      <w:r>
        <w:t xml:space="preserve">Odhodki, ki so načrtovani za </w:t>
      </w:r>
      <w:r w:rsidRPr="0083772C">
        <w:rPr>
          <w:b/>
          <w:bCs/>
        </w:rPr>
        <w:t>transfere posameznikom in gospodinjstvom</w:t>
      </w:r>
      <w:r>
        <w:t xml:space="preserve"> upoštevajo veljavne politike na tem področju</w:t>
      </w:r>
      <w:r w:rsidRPr="003F3FE4">
        <w:t>, gibanje števila upravičencev</w:t>
      </w:r>
      <w:r>
        <w:t xml:space="preserve">, </w:t>
      </w:r>
      <w:r w:rsidRPr="003F3FE4">
        <w:t>predviden</w:t>
      </w:r>
      <w:r>
        <w:t>e</w:t>
      </w:r>
      <w:r w:rsidRPr="003F3FE4">
        <w:t xml:space="preserve"> </w:t>
      </w:r>
      <w:r>
        <w:t>trende</w:t>
      </w:r>
      <w:r w:rsidRPr="003F3FE4">
        <w:t>, ki jih narekujejo demografski</w:t>
      </w:r>
      <w:r>
        <w:t xml:space="preserve"> </w:t>
      </w:r>
      <w:r w:rsidRPr="003F3FE4">
        <w:t>dejavniki, razmere na trgu dela ter usklajevanja transferov</w:t>
      </w:r>
      <w:r>
        <w:t xml:space="preserve"> </w:t>
      </w:r>
      <w:r w:rsidRPr="003F3FE4">
        <w:t>posameznikom in gospodinjstvom, osebne asistence in socialno varstvenih prejemkov.</w:t>
      </w:r>
      <w:r>
        <w:t xml:space="preserve"> V tem sklopu so načrtovana tudi sredstva</w:t>
      </w:r>
      <w:r w:rsidRPr="003F3FE4">
        <w:t xml:space="preserve"> za regresiranje</w:t>
      </w:r>
      <w:r>
        <w:t xml:space="preserve"> </w:t>
      </w:r>
      <w:r w:rsidRPr="003F3FE4">
        <w:t>prehrane za učence in dijake, subvencioniranje študentske prehrane, financiranje</w:t>
      </w:r>
      <w:r>
        <w:t xml:space="preserve"> </w:t>
      </w:r>
      <w:r w:rsidRPr="003F3FE4">
        <w:t>brezplačnega vrtca za družine, ki imajo v vrtcu več otrok, sofinanciranje razvojnih oddelkov v</w:t>
      </w:r>
      <w:r>
        <w:t xml:space="preserve"> </w:t>
      </w:r>
      <w:r w:rsidRPr="003F3FE4">
        <w:t>vrtcu, subvencioniranje šole v naravi, subvencioniranje prevoza dijakov in študentov ter za</w:t>
      </w:r>
      <w:r>
        <w:t xml:space="preserve"> </w:t>
      </w:r>
      <w:r w:rsidRPr="003F3FE4">
        <w:t>nezgodno in invalidsko zdravstveno zavarovanje vrhunskih športnikov ter prispevki</w:t>
      </w:r>
      <w:r>
        <w:t xml:space="preserve"> </w:t>
      </w:r>
      <w:r w:rsidRPr="003F3FE4">
        <w:t>vrhunskim športnikom.</w:t>
      </w:r>
    </w:p>
    <w:p w14:paraId="412A8B7B" w14:textId="43CC05A3" w:rsidR="00F021A5" w:rsidRDefault="00F021A5" w:rsidP="00F021A5">
      <w:pPr>
        <w:jc w:val="both"/>
        <w:rPr>
          <w:b/>
          <w:bCs/>
        </w:rPr>
      </w:pPr>
    </w:p>
    <w:p w14:paraId="1835CBDF" w14:textId="47EC437D" w:rsidR="00F021A5" w:rsidRPr="008F259A" w:rsidRDefault="00F021A5" w:rsidP="00F021A5">
      <w:pPr>
        <w:jc w:val="both"/>
      </w:pPr>
      <w:r w:rsidRPr="008F259A">
        <w:t xml:space="preserve">V okviru </w:t>
      </w:r>
      <w:r w:rsidRPr="0083772C">
        <w:rPr>
          <w:b/>
          <w:bCs/>
        </w:rPr>
        <w:t>tekočih transferov občinam</w:t>
      </w:r>
      <w:r w:rsidRPr="008F259A">
        <w:t xml:space="preserve"> niso načrtovana do</w:t>
      </w:r>
      <w:r>
        <w:t>datna</w:t>
      </w:r>
      <w:r w:rsidRPr="008F259A">
        <w:t xml:space="preserve"> sredstva občinam, ker višina razpoložljive</w:t>
      </w:r>
      <w:r>
        <w:t xml:space="preserve"> </w:t>
      </w:r>
      <w:r w:rsidRPr="008F259A">
        <w:t xml:space="preserve">dohodnine predvidoma zadostuje za financiranje primerne porabe. </w:t>
      </w:r>
      <w:r>
        <w:t>Se pa za leti 2022 in 2023 v višini 72,8 mio EUR načrtujejo sredstva za uravnoteženje razvitosti občin, podlaga za financiranje izhaja iz  v letu 2021 sprejetega Zakona o finančni razbremenitvi občin.</w:t>
      </w:r>
    </w:p>
    <w:p w14:paraId="62DAE9D9" w14:textId="0440757B" w:rsidR="00F021A5" w:rsidRDefault="00F021A5" w:rsidP="00F021A5">
      <w:pPr>
        <w:jc w:val="both"/>
        <w:rPr>
          <w:b/>
          <w:bCs/>
        </w:rPr>
      </w:pPr>
    </w:p>
    <w:bookmarkEnd w:id="0"/>
    <w:p w14:paraId="225F5805" w14:textId="77777777" w:rsidR="00AA343E" w:rsidRDefault="00AA343E" w:rsidP="00F021A5">
      <w:pPr>
        <w:autoSpaceDE w:val="0"/>
        <w:autoSpaceDN w:val="0"/>
        <w:adjustRightInd w:val="0"/>
        <w:jc w:val="both"/>
        <w:rPr>
          <w:b/>
          <w:bCs/>
        </w:rPr>
      </w:pPr>
    </w:p>
    <w:p w14:paraId="034A20BF" w14:textId="73F90356" w:rsidR="00F021A5" w:rsidRDefault="00102584" w:rsidP="00F021A5">
      <w:pPr>
        <w:autoSpaceDE w:val="0"/>
        <w:autoSpaceDN w:val="0"/>
        <w:adjustRightInd w:val="0"/>
        <w:jc w:val="both"/>
        <w:rPr>
          <w:b/>
          <w:bCs/>
        </w:rPr>
      </w:pPr>
      <w:r>
        <w:rPr>
          <w:noProof/>
        </w:rPr>
        <w:drawing>
          <wp:anchor distT="0" distB="0" distL="114300" distR="114300" simplePos="0" relativeHeight="251666432" behindDoc="0" locked="0" layoutInCell="1" allowOverlap="1" wp14:anchorId="0D22D8EE" wp14:editId="2740FB8D">
            <wp:simplePos x="0" y="0"/>
            <wp:positionH relativeFrom="margin">
              <wp:align>center</wp:align>
            </wp:positionH>
            <wp:positionV relativeFrom="paragraph">
              <wp:posOffset>214078</wp:posOffset>
            </wp:positionV>
            <wp:extent cx="5760720" cy="3259455"/>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3259455"/>
                    </a:xfrm>
                    <a:prstGeom prst="rect">
                      <a:avLst/>
                    </a:prstGeom>
                    <a:noFill/>
                    <a:ln>
                      <a:noFill/>
                    </a:ln>
                  </pic:spPr>
                </pic:pic>
              </a:graphicData>
            </a:graphic>
          </wp:anchor>
        </w:drawing>
      </w:r>
      <w:r w:rsidR="00F021A5" w:rsidRPr="00EB0539">
        <w:rPr>
          <w:b/>
          <w:bCs/>
        </w:rPr>
        <w:t>Slika 3: Ekonomska struktura odhodkov predloga državnega proračuna 2022</w:t>
      </w:r>
    </w:p>
    <w:p w14:paraId="4DD6FCFA" w14:textId="77777777" w:rsidR="00F021A5" w:rsidRPr="00EB0539" w:rsidRDefault="00F021A5" w:rsidP="00F021A5">
      <w:pPr>
        <w:autoSpaceDE w:val="0"/>
        <w:autoSpaceDN w:val="0"/>
        <w:adjustRightInd w:val="0"/>
        <w:jc w:val="both"/>
        <w:rPr>
          <w:b/>
          <w:bCs/>
        </w:rPr>
      </w:pPr>
    </w:p>
    <w:p w14:paraId="4BB3E880" w14:textId="3EC071E3" w:rsidR="00F021A5" w:rsidRPr="00AA343E" w:rsidRDefault="00102584" w:rsidP="00AA343E">
      <w:pPr>
        <w:rPr>
          <w:rFonts w:cs="Arial"/>
          <w:color w:val="0D0D0D"/>
          <w:sz w:val="18"/>
          <w:szCs w:val="18"/>
        </w:rPr>
      </w:pPr>
      <w:r w:rsidRPr="00EB0539">
        <w:rPr>
          <w:rFonts w:cs="Arial"/>
          <w:color w:val="0D0D0D"/>
          <w:sz w:val="18"/>
          <w:szCs w:val="18"/>
        </w:rPr>
        <w:t>Vir: Ministrstvo za finance</w:t>
      </w:r>
    </w:p>
    <w:p w14:paraId="4FEB53A3" w14:textId="6484E146" w:rsidR="00F021A5" w:rsidRPr="00EB0539" w:rsidRDefault="00F021A5" w:rsidP="00F021A5">
      <w:pPr>
        <w:autoSpaceDE w:val="0"/>
        <w:autoSpaceDN w:val="0"/>
        <w:adjustRightInd w:val="0"/>
        <w:jc w:val="both"/>
      </w:pPr>
      <w:r w:rsidRPr="00EB0539">
        <w:lastRenderedPageBreak/>
        <w:t xml:space="preserve">Pri </w:t>
      </w:r>
      <w:r w:rsidRPr="00EB0539">
        <w:rPr>
          <w:b/>
          <w:bCs/>
        </w:rPr>
        <w:t>tekočih transferih v sklade socialnega</w:t>
      </w:r>
      <w:r w:rsidRPr="00EB0539">
        <w:t xml:space="preserve"> se načrtujejo sredstva za financiranje obveznosti države do ZPIZ (tekoče in dodatne obveznosti države do ZPIZ) ter obveznosti države do SOP. Republika Slovenija iz državnega proračuna ali drugih virov zagotavlja sredstva za pokrivanje razlike med prihodki ZPIZ in njegovimi odhodki, oz. se iz državnega proračuna zagotavljajo manjkajoča likvidna sredstva za izplačilo pokojnin in drugih obveznosti. Tekoči transferi se načrtujejo tudi za ZZZS, pri za pripravništvo in specializacije zdravstvenih delavcev v letih 2022 in 2023.</w:t>
      </w:r>
    </w:p>
    <w:p w14:paraId="6DC0DB6F" w14:textId="77777777" w:rsidR="001038B0" w:rsidRDefault="001038B0" w:rsidP="00F021A5">
      <w:pPr>
        <w:jc w:val="both"/>
        <w:rPr>
          <w:b/>
          <w:bCs/>
        </w:rPr>
      </w:pPr>
    </w:p>
    <w:p w14:paraId="11F46597" w14:textId="3301F92C" w:rsidR="00F021A5" w:rsidRPr="00F014C9" w:rsidRDefault="00F021A5" w:rsidP="00F021A5">
      <w:pPr>
        <w:jc w:val="both"/>
      </w:pPr>
      <w:r w:rsidRPr="00F014C9">
        <w:rPr>
          <w:b/>
          <w:bCs/>
        </w:rPr>
        <w:t>Investicijski izdatki</w:t>
      </w:r>
      <w:r w:rsidRPr="00F014C9">
        <w:t xml:space="preserve"> se v letih 2022 in 2023 </w:t>
      </w:r>
      <w:r>
        <w:t>znatno</w:t>
      </w:r>
      <w:r w:rsidRPr="00F014C9">
        <w:t xml:space="preserve"> povečujejo. Za investicijske transfere je  v letu 2022 namenjenih 53% več</w:t>
      </w:r>
      <w:r>
        <w:t xml:space="preserve"> sredstev</w:t>
      </w:r>
      <w:r w:rsidRPr="00F014C9">
        <w:t xml:space="preserve"> kot leto pred tem, za investicijske odhodke pa 22% več, podobne ravni naj bi se ohranjale tudi v letu 2023. Poleg integralnih sredstev</w:t>
      </w:r>
      <w:r>
        <w:t xml:space="preserve">, v tem delu predstavljajo </w:t>
      </w:r>
      <w:r w:rsidRPr="00F014C9">
        <w:t>pomem</w:t>
      </w:r>
      <w:r>
        <w:t>ben delež</w:t>
      </w:r>
      <w:r w:rsidRPr="00F014C9">
        <w:t xml:space="preserve"> tudi sredstva </w:t>
      </w:r>
      <w:r>
        <w:t>i</w:t>
      </w:r>
      <w:r w:rsidRPr="00F014C9">
        <w:t>z EU virov, predvsem iz sklada za okrevanje in odpornost, s katerim bo usklajen tudi končen predlog proračunov za obe</w:t>
      </w:r>
      <w:r>
        <w:t xml:space="preserve"> naslednji </w:t>
      </w:r>
      <w:r w:rsidRPr="00F014C9">
        <w:t xml:space="preserve"> leti.  </w:t>
      </w:r>
    </w:p>
    <w:p w14:paraId="67EA0F5F" w14:textId="77777777" w:rsidR="00F021A5" w:rsidRDefault="00F021A5" w:rsidP="00F021A5">
      <w:pPr>
        <w:jc w:val="both"/>
        <w:rPr>
          <w:b/>
          <w:bCs/>
        </w:rPr>
      </w:pPr>
    </w:p>
    <w:p w14:paraId="195C8E39" w14:textId="5539C280" w:rsidR="00F021A5" w:rsidRPr="00EB0539" w:rsidRDefault="00F021A5" w:rsidP="00F021A5">
      <w:pPr>
        <w:jc w:val="both"/>
      </w:pPr>
      <w:bookmarkStart w:id="2" w:name="_Hlk71274212"/>
      <w:r w:rsidRPr="00EB0539">
        <w:rPr>
          <w:b/>
          <w:bCs/>
        </w:rPr>
        <w:t>Plačila sredstev v proračun EU</w:t>
      </w:r>
      <w:r w:rsidRPr="00EB0539">
        <w:t xml:space="preserve"> zajemajo plačila iz naslova tradicionalnih lastnih sredstev (carinske dajatve pri uvozu), davka na dodano vrednost in bruto nacionalnega dohodka. Med plačila bo potrebno vključiti tudi novi vir financiranja proračuna EU in sicer vir iz naslova </w:t>
      </w:r>
      <w:proofErr w:type="spellStart"/>
      <w:r w:rsidRPr="00EB0539">
        <w:t>nereciklirane</w:t>
      </w:r>
      <w:proofErr w:type="spellEnd"/>
      <w:r w:rsidRPr="00EB0539">
        <w:t xml:space="preserve"> plastike. Plačila sredstev v proračun EU v projekcijah temeljijo na ekstrapolaciji BDP in pomladanski napovedi UMAR. Višina dejanskih vplačil Slovenije v proračun EU pa je odvisna od višine sprejetega proračuna EU za posamezno proračunsko leto. </w:t>
      </w:r>
    </w:p>
    <w:bookmarkEnd w:id="2"/>
    <w:p w14:paraId="4CEAB96E" w14:textId="77777777" w:rsidR="00F021A5" w:rsidRPr="00EB0539" w:rsidRDefault="00F021A5" w:rsidP="00F021A5">
      <w:pPr>
        <w:jc w:val="both"/>
        <w:rPr>
          <w:b/>
          <w:bCs/>
        </w:rPr>
      </w:pPr>
      <w:r w:rsidRPr="00EB0539">
        <w:rPr>
          <w:b/>
          <w:bCs/>
        </w:rPr>
        <w:tab/>
      </w:r>
    </w:p>
    <w:p w14:paraId="63D89789" w14:textId="458DA7D5" w:rsidR="00F021A5" w:rsidRPr="00EB0539" w:rsidRDefault="00F021A5" w:rsidP="00F021A5">
      <w:pPr>
        <w:numPr>
          <w:ilvl w:val="0"/>
          <w:numId w:val="39"/>
        </w:numPr>
        <w:jc w:val="both"/>
        <w:rPr>
          <w:b/>
          <w:bCs/>
        </w:rPr>
      </w:pPr>
      <w:r w:rsidRPr="00EB0539">
        <w:rPr>
          <w:b/>
          <w:bCs/>
        </w:rPr>
        <w:t>PROGRAMSKA STRUKTURA DRŽAVNEGA PRORAČUNA 2022-2023</w:t>
      </w:r>
    </w:p>
    <w:p w14:paraId="073A562A" w14:textId="75645A6B" w:rsidR="00F021A5" w:rsidRPr="00EB0539" w:rsidRDefault="00F021A5" w:rsidP="00F021A5">
      <w:pPr>
        <w:ind w:left="360"/>
        <w:jc w:val="both"/>
        <w:rPr>
          <w:b/>
          <w:bCs/>
        </w:rPr>
      </w:pPr>
    </w:p>
    <w:p w14:paraId="6408323E" w14:textId="16F96AF6" w:rsidR="00F021A5" w:rsidRPr="00EB0539" w:rsidRDefault="00F021A5" w:rsidP="00F021A5">
      <w:pPr>
        <w:tabs>
          <w:tab w:val="left" w:pos="4536"/>
        </w:tabs>
        <w:suppressAutoHyphens/>
        <w:jc w:val="both"/>
        <w:rPr>
          <w:rFonts w:cs="Arial"/>
          <w:szCs w:val="20"/>
        </w:rPr>
      </w:pPr>
      <w:r w:rsidRPr="00EB0539">
        <w:rPr>
          <w:rFonts w:cs="Arial"/>
          <w:szCs w:val="20"/>
        </w:rPr>
        <w:t xml:space="preserve">V scenarijih se v programski strukturi državnega proračuna v letu 2022 krepijo predvsem programi povezani z izvajanjem Načrta za okrevanje in odpornost. Tako se povečujejo sredstva na politikah varovanje okolja in </w:t>
      </w:r>
      <w:proofErr w:type="spellStart"/>
      <w:r w:rsidRPr="00EB0539">
        <w:rPr>
          <w:rFonts w:cs="Arial"/>
          <w:szCs w:val="20"/>
        </w:rPr>
        <w:t>okoljska</w:t>
      </w:r>
      <w:proofErr w:type="spellEnd"/>
      <w:r w:rsidRPr="00EB0539">
        <w:rPr>
          <w:rFonts w:cs="Arial"/>
          <w:szCs w:val="20"/>
        </w:rPr>
        <w:t xml:space="preserve"> infrastruktura, znanost in informacijska družba, podjetništvo in konkurenčnost ter promet in prometna infrastruktura.</w:t>
      </w:r>
    </w:p>
    <w:p w14:paraId="297C5C13" w14:textId="572B4BCE" w:rsidR="00F021A5" w:rsidRPr="00EB0539" w:rsidRDefault="00F021A5" w:rsidP="00F021A5">
      <w:pPr>
        <w:tabs>
          <w:tab w:val="left" w:pos="4536"/>
        </w:tabs>
        <w:suppressAutoHyphens/>
        <w:jc w:val="both"/>
        <w:rPr>
          <w:rFonts w:cs="Arial"/>
          <w:szCs w:val="20"/>
        </w:rPr>
      </w:pPr>
    </w:p>
    <w:p w14:paraId="22E51FCB" w14:textId="05599DCC" w:rsidR="00F021A5" w:rsidRPr="00EB0539" w:rsidRDefault="00F021A5" w:rsidP="00F021A5">
      <w:pPr>
        <w:tabs>
          <w:tab w:val="left" w:pos="4536"/>
        </w:tabs>
        <w:suppressAutoHyphens/>
        <w:jc w:val="both"/>
        <w:rPr>
          <w:rFonts w:cs="Arial"/>
          <w:szCs w:val="20"/>
        </w:rPr>
      </w:pPr>
      <w:r w:rsidRPr="00EB0539">
        <w:rPr>
          <w:rFonts w:cs="Arial"/>
          <w:szCs w:val="20"/>
        </w:rPr>
        <w:t xml:space="preserve">Bistveno pa se znižujejo odhodki na politiki intervencijski programi in obveznosti, servisiranje javnega dolga in upravljanje z denarnimi sredstvi, pa tudi splošne javne storitve in administrativne službe. Zaradi izteka predsedovanja Slovenije EU se v letih 2022 in 2023 znižujejo tudi odhodki na zunanji politiki in mednarodnem razvojnem sodelovanju. </w:t>
      </w:r>
    </w:p>
    <w:p w14:paraId="4B016EE2" w14:textId="6C5CEAAE" w:rsidR="00F021A5" w:rsidRPr="00EB0539" w:rsidRDefault="00F021A5" w:rsidP="00F021A5">
      <w:pPr>
        <w:tabs>
          <w:tab w:val="left" w:pos="4536"/>
        </w:tabs>
        <w:suppressAutoHyphens/>
        <w:jc w:val="both"/>
        <w:rPr>
          <w:rFonts w:cs="Arial"/>
          <w:szCs w:val="20"/>
        </w:rPr>
      </w:pPr>
    </w:p>
    <w:p w14:paraId="1107C087" w14:textId="79892738" w:rsidR="00F021A5" w:rsidRDefault="00102584" w:rsidP="00F021A5">
      <w:pPr>
        <w:autoSpaceDE w:val="0"/>
        <w:autoSpaceDN w:val="0"/>
        <w:adjustRightInd w:val="0"/>
        <w:jc w:val="both"/>
        <w:rPr>
          <w:b/>
          <w:bCs/>
        </w:rPr>
      </w:pPr>
      <w:r>
        <w:rPr>
          <w:noProof/>
        </w:rPr>
        <w:drawing>
          <wp:anchor distT="0" distB="0" distL="114300" distR="114300" simplePos="0" relativeHeight="251665408" behindDoc="1" locked="0" layoutInCell="1" allowOverlap="1" wp14:anchorId="3844A124" wp14:editId="0FA262E9">
            <wp:simplePos x="0" y="0"/>
            <wp:positionH relativeFrom="margin">
              <wp:align>center</wp:align>
            </wp:positionH>
            <wp:positionV relativeFrom="paragraph">
              <wp:posOffset>250850</wp:posOffset>
            </wp:positionV>
            <wp:extent cx="5760720" cy="2976880"/>
            <wp:effectExtent l="0" t="0" r="0" b="0"/>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60720" cy="297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1A5" w:rsidRPr="00EB0539">
        <w:rPr>
          <w:b/>
          <w:bCs/>
        </w:rPr>
        <w:t>Slika 4: Programska struktura odhodkov predloga državnega proračuna 2022</w:t>
      </w:r>
    </w:p>
    <w:p w14:paraId="7171A826" w14:textId="3244F82D" w:rsidR="00F021A5" w:rsidRPr="00E80B24" w:rsidRDefault="00F021A5" w:rsidP="00F021A5">
      <w:pPr>
        <w:autoSpaceDE w:val="0"/>
        <w:autoSpaceDN w:val="0"/>
        <w:adjustRightInd w:val="0"/>
        <w:jc w:val="both"/>
        <w:rPr>
          <w:b/>
          <w:bCs/>
        </w:rPr>
      </w:pPr>
      <w:r w:rsidRPr="00434EDA">
        <w:rPr>
          <w:rFonts w:cs="Arial"/>
          <w:sz w:val="16"/>
          <w:szCs w:val="16"/>
        </w:rPr>
        <w:t xml:space="preserve">Vir: Ministrstvo za finance </w:t>
      </w:r>
    </w:p>
    <w:p w14:paraId="304CA0FB" w14:textId="4401BBB3" w:rsidR="00F021A5" w:rsidRDefault="00F021A5" w:rsidP="00F021A5">
      <w:pPr>
        <w:tabs>
          <w:tab w:val="left" w:pos="4536"/>
        </w:tabs>
        <w:suppressAutoHyphens/>
        <w:jc w:val="both"/>
        <w:rPr>
          <w:rFonts w:cs="Arial"/>
          <w:sz w:val="16"/>
          <w:szCs w:val="16"/>
        </w:rPr>
      </w:pPr>
      <w:r w:rsidRPr="00434EDA">
        <w:rPr>
          <w:rFonts w:cs="Arial"/>
          <w:sz w:val="16"/>
          <w:szCs w:val="16"/>
        </w:rPr>
        <w:lastRenderedPageBreak/>
        <w:t xml:space="preserve">Opomba: </w:t>
      </w:r>
      <w:r>
        <w:rPr>
          <w:rFonts w:cs="Arial"/>
          <w:sz w:val="16"/>
          <w:szCs w:val="16"/>
        </w:rPr>
        <w:t>Politika »Zdravje« v državnem proračunu pomeni 2% (258 milijonov) pri čemer je potrebno upoštevati da se zdravstvo pretežno financira iz blagajne ZZZS, ki letno pomeni 3,7 milijarde evrov.</w:t>
      </w:r>
    </w:p>
    <w:p w14:paraId="06C89BAC" w14:textId="77777777" w:rsidR="00F021A5" w:rsidRPr="00434EDA" w:rsidRDefault="00F021A5" w:rsidP="00F021A5">
      <w:pPr>
        <w:tabs>
          <w:tab w:val="left" w:pos="4536"/>
        </w:tabs>
        <w:suppressAutoHyphens/>
        <w:jc w:val="both"/>
        <w:rPr>
          <w:rFonts w:cs="Arial"/>
          <w:sz w:val="16"/>
          <w:szCs w:val="16"/>
        </w:rPr>
      </w:pPr>
      <w:r>
        <w:rPr>
          <w:rFonts w:cs="Arial"/>
          <w:sz w:val="16"/>
          <w:szCs w:val="16"/>
        </w:rPr>
        <w:t xml:space="preserve">Politika »Pokojninsko varstvo« obsega 9% državnega proračuna kar je transfer </w:t>
      </w:r>
      <w:proofErr w:type="spellStart"/>
      <w:r>
        <w:rPr>
          <w:rFonts w:cs="Arial"/>
          <w:sz w:val="16"/>
          <w:szCs w:val="16"/>
        </w:rPr>
        <w:t>ZPIZu</w:t>
      </w:r>
      <w:proofErr w:type="spellEnd"/>
      <w:r>
        <w:rPr>
          <w:rFonts w:cs="Arial"/>
          <w:sz w:val="16"/>
          <w:szCs w:val="16"/>
        </w:rPr>
        <w:t xml:space="preserve">, pri čemer celotna pokojninska blagajna ZPIZ za leto 2022 obsega letno 6,5 milijarde evrov. </w:t>
      </w:r>
    </w:p>
    <w:p w14:paraId="415A33CE" w14:textId="5ABBD7C0" w:rsidR="00F021A5" w:rsidRPr="00EB0539" w:rsidRDefault="00F021A5" w:rsidP="00F021A5">
      <w:pPr>
        <w:tabs>
          <w:tab w:val="left" w:pos="4536"/>
        </w:tabs>
        <w:suppressAutoHyphens/>
        <w:jc w:val="both"/>
        <w:rPr>
          <w:rFonts w:cs="Arial"/>
          <w:szCs w:val="20"/>
        </w:rPr>
      </w:pPr>
    </w:p>
    <w:p w14:paraId="3C824B4A" w14:textId="77777777" w:rsidR="00F021A5" w:rsidRPr="00EB0539" w:rsidRDefault="00F021A5" w:rsidP="00F021A5">
      <w:pPr>
        <w:numPr>
          <w:ilvl w:val="0"/>
          <w:numId w:val="39"/>
        </w:numPr>
        <w:jc w:val="both"/>
        <w:rPr>
          <w:b/>
          <w:bCs/>
        </w:rPr>
      </w:pPr>
      <w:r w:rsidRPr="00EB0539">
        <w:rPr>
          <w:b/>
          <w:bCs/>
        </w:rPr>
        <w:t xml:space="preserve">SREDSTVA EVROPSKE UNIJE </w:t>
      </w:r>
    </w:p>
    <w:p w14:paraId="6D8F2D79" w14:textId="77777777" w:rsidR="00F021A5" w:rsidRPr="00EB0539" w:rsidRDefault="00F021A5" w:rsidP="00F021A5">
      <w:pPr>
        <w:jc w:val="both"/>
        <w:rPr>
          <w:b/>
          <w:bCs/>
        </w:rPr>
      </w:pPr>
    </w:p>
    <w:p w14:paraId="28D061C3" w14:textId="77777777" w:rsidR="00F021A5" w:rsidRPr="00EB0539" w:rsidRDefault="00F021A5" w:rsidP="00F021A5">
      <w:pPr>
        <w:jc w:val="both"/>
        <w:rPr>
          <w:rFonts w:cs="Arial"/>
          <w:szCs w:val="20"/>
        </w:rPr>
      </w:pPr>
      <w:r w:rsidRPr="00EB0539">
        <w:rPr>
          <w:rFonts w:cs="Arial"/>
          <w:szCs w:val="20"/>
        </w:rPr>
        <w:t>V prihodnjih letih se pričakuje rast izdatkov državnega proračuna, kot posledic</w:t>
      </w:r>
      <w:r>
        <w:rPr>
          <w:rFonts w:cs="Arial"/>
          <w:szCs w:val="20"/>
        </w:rPr>
        <w:t>o</w:t>
      </w:r>
      <w:r w:rsidRPr="00EB0539">
        <w:rPr>
          <w:rFonts w:cs="Arial"/>
          <w:szCs w:val="20"/>
        </w:rPr>
        <w:t xml:space="preserve"> zaključevanja evropske finančne perspektive na področju kohezijske in kmetijske politike  ter črpanja sredstev na podlagi Načrta za okrevanje in odpornost (NOO). </w:t>
      </w:r>
    </w:p>
    <w:p w14:paraId="5D433168" w14:textId="77777777" w:rsidR="00F021A5" w:rsidRPr="00EB0539" w:rsidRDefault="00F021A5" w:rsidP="00F021A5">
      <w:pPr>
        <w:tabs>
          <w:tab w:val="left" w:pos="4536"/>
        </w:tabs>
        <w:suppressAutoHyphens/>
        <w:spacing w:line="240" w:lineRule="auto"/>
        <w:jc w:val="both"/>
        <w:rPr>
          <w:rFonts w:cs="Arial"/>
          <w:b/>
          <w:bCs/>
          <w:szCs w:val="20"/>
        </w:rPr>
      </w:pPr>
    </w:p>
    <w:p w14:paraId="75CB4C21" w14:textId="77777777" w:rsidR="00F021A5" w:rsidRPr="00EB0539" w:rsidRDefault="00F021A5" w:rsidP="00F021A5">
      <w:pPr>
        <w:tabs>
          <w:tab w:val="left" w:pos="4536"/>
        </w:tabs>
        <w:suppressAutoHyphens/>
        <w:spacing w:line="240" w:lineRule="auto"/>
        <w:jc w:val="both"/>
        <w:rPr>
          <w:rFonts w:cs="Arial"/>
          <w:b/>
          <w:bCs/>
          <w:szCs w:val="20"/>
        </w:rPr>
      </w:pPr>
      <w:r w:rsidRPr="00EB0539">
        <w:rPr>
          <w:rFonts w:cs="Arial"/>
          <w:b/>
          <w:bCs/>
          <w:szCs w:val="20"/>
        </w:rPr>
        <w:t xml:space="preserve">Evropska kohezijska politika </w:t>
      </w:r>
    </w:p>
    <w:p w14:paraId="133476AB" w14:textId="77777777" w:rsidR="00F021A5" w:rsidRPr="00EB0539" w:rsidRDefault="00F021A5" w:rsidP="00F021A5">
      <w:pPr>
        <w:tabs>
          <w:tab w:val="left" w:pos="4536"/>
        </w:tabs>
        <w:suppressAutoHyphens/>
        <w:spacing w:line="240" w:lineRule="auto"/>
        <w:jc w:val="both"/>
        <w:rPr>
          <w:rFonts w:cs="Arial"/>
          <w:szCs w:val="20"/>
        </w:rPr>
      </w:pPr>
    </w:p>
    <w:p w14:paraId="5EB92828" w14:textId="77777777" w:rsidR="00F021A5" w:rsidRPr="00EB0539" w:rsidRDefault="00F021A5" w:rsidP="00F021A5">
      <w:pPr>
        <w:tabs>
          <w:tab w:val="left" w:pos="4536"/>
        </w:tabs>
        <w:suppressAutoHyphens/>
        <w:spacing w:line="240" w:lineRule="auto"/>
        <w:jc w:val="both"/>
      </w:pPr>
      <w:r w:rsidRPr="00EB0539">
        <w:rPr>
          <w:rFonts w:cs="Arial"/>
          <w:szCs w:val="20"/>
        </w:rPr>
        <w:t xml:space="preserve">Črpanje evropskih kohezijskih sredstev bo začrtano v </w:t>
      </w:r>
      <w:r w:rsidRPr="00EB0539">
        <w:t>Izvedbenem načrtu Operativnega programa za izvajanje evropske kohezijske politike za programsko obdobje 2014-2020 (INOP), ki ga je Služba Vlade za razvoj in evropsko kohezijsko politiko objavila 30. 4. 2021.</w:t>
      </w:r>
      <w:r>
        <w:t xml:space="preserve">, s katerim bodo predlogi proračunov še usklajeni do dokončnega razreza. </w:t>
      </w:r>
      <w:r w:rsidRPr="00EB0539">
        <w:t xml:space="preserve"> </w:t>
      </w:r>
    </w:p>
    <w:p w14:paraId="00465C8E" w14:textId="77777777" w:rsidR="00F021A5" w:rsidRPr="00EB0539" w:rsidRDefault="00F021A5" w:rsidP="00F021A5">
      <w:pPr>
        <w:tabs>
          <w:tab w:val="left" w:pos="4536"/>
        </w:tabs>
        <w:suppressAutoHyphens/>
        <w:spacing w:line="240" w:lineRule="auto"/>
        <w:jc w:val="both"/>
      </w:pPr>
    </w:p>
    <w:p w14:paraId="265954C8" w14:textId="77777777" w:rsidR="00F021A5" w:rsidRPr="00EB0539" w:rsidRDefault="00F021A5" w:rsidP="00F021A5">
      <w:pPr>
        <w:tabs>
          <w:tab w:val="left" w:pos="4536"/>
        </w:tabs>
        <w:suppressAutoHyphens/>
        <w:jc w:val="both"/>
      </w:pPr>
      <w:r w:rsidRPr="00EB0539">
        <w:rPr>
          <w:rFonts w:cs="Arial"/>
        </w:rPr>
        <w:t>Slovenija je v obdobju iztekajoče se finančne perspektive 2014-2020 upravičena do 3,068 milijarde evrov sredstev iz evropske kohezijske politike naknadno pa je bila upravičena še do 333 milijonov</w:t>
      </w:r>
      <w:r w:rsidRPr="00EB0539">
        <w:t xml:space="preserve"> evrov kohezijskih sredstev iz naslova REACT-EU, zaradi obvladovanja posledic epidemije COVID-19.</w:t>
      </w:r>
    </w:p>
    <w:p w14:paraId="4C16420A" w14:textId="77777777" w:rsidR="00F021A5" w:rsidRPr="00EB0539" w:rsidRDefault="00F021A5" w:rsidP="00F021A5">
      <w:pPr>
        <w:tabs>
          <w:tab w:val="left" w:pos="4536"/>
        </w:tabs>
        <w:suppressAutoHyphens/>
        <w:jc w:val="both"/>
      </w:pPr>
    </w:p>
    <w:p w14:paraId="0CF06981" w14:textId="1DB296F7" w:rsidR="00F021A5" w:rsidRPr="00EB0539" w:rsidRDefault="00F021A5" w:rsidP="00F021A5">
      <w:pPr>
        <w:tabs>
          <w:tab w:val="left" w:pos="4536"/>
        </w:tabs>
        <w:suppressAutoHyphens/>
        <w:jc w:val="both"/>
      </w:pPr>
      <w:r w:rsidRPr="00EB0539">
        <w:t xml:space="preserve">Po ocenah je pričakovati, da bi Slovenija v letu 2021 lahko porabila 856,7 milijona evrov vseh kohezijskih sredstev (ocena SVRK, 5.5. 2021). S tem bi se, ob upoštevanju financiranja finančnih </w:t>
      </w:r>
      <w:r w:rsidRPr="00FF44AE">
        <w:t>instrumentov, delež črpanja dvignil na blizu 80% ovojnice, v kolikor bodo pravočasno izvedeni tudi postopki za povrnitev sredstev v državni proračun. Do 10. maja 2021  je bilo namreč s strani Evropske komisije v državni proračun povrnjenih 1.366 milijarde evrov ali 44,5% upravičenih sredstev.</w:t>
      </w:r>
      <w:r>
        <w:t xml:space="preserve"> Skupaj s finančnimi instrumenti, pa je bilo črpanja za 1.589 milijarde evrov ali 51,8% upravičenih sredstev.</w:t>
      </w:r>
      <w:r w:rsidRPr="00EB0539">
        <w:t xml:space="preserve"> Torej, je za Slovenijo zelo pomembno, da se za načrtovane kohezijske projekte in ukrepe izvajajo izplačila iz državnega proračuna, kakor tudi da se ažurno pripravi dokumentacija potrebna  za pripravo zahtevkov za povračila. </w:t>
      </w:r>
    </w:p>
    <w:p w14:paraId="7E0C349B" w14:textId="77777777" w:rsidR="00F021A5" w:rsidRPr="00EB0539" w:rsidRDefault="00F021A5" w:rsidP="00F021A5">
      <w:pPr>
        <w:tabs>
          <w:tab w:val="left" w:pos="4536"/>
        </w:tabs>
        <w:suppressAutoHyphens/>
        <w:jc w:val="both"/>
      </w:pPr>
    </w:p>
    <w:p w14:paraId="354B07BC" w14:textId="675652E0" w:rsidR="00F021A5" w:rsidRPr="0018557E" w:rsidRDefault="00F021A5" w:rsidP="00F021A5">
      <w:pPr>
        <w:tabs>
          <w:tab w:val="left" w:pos="4536"/>
        </w:tabs>
        <w:suppressAutoHyphens/>
        <w:jc w:val="both"/>
      </w:pPr>
      <w:r w:rsidRPr="00EB0539">
        <w:t xml:space="preserve">V sprejetem državnem proračunu je bilo za leto 2022 načrtovano za 653,6 milijona evrov odhodkov iz </w:t>
      </w:r>
      <w:r w:rsidRPr="0018557E">
        <w:t xml:space="preserve">kohezijske in strukturne politike, od tega 138,9 milijonov evrov iz naslova REACT. Zaradi prilagoditev dinamike črpanja bodo v spremembi proračuna za leto 2022 in v predlogu proračuna za leto 2023 ta sredstva načrtovana tako, da bo doseženo črpanje, skupaj s finančnimi instrumenti, v celotni perspektivi 2014-2020 na ravni celotne ovojnice 3,068 milijarde evrov. </w:t>
      </w:r>
    </w:p>
    <w:p w14:paraId="1A7480A7" w14:textId="77777777" w:rsidR="00F021A5" w:rsidRPr="00324412" w:rsidRDefault="00F021A5" w:rsidP="00F021A5">
      <w:pPr>
        <w:tabs>
          <w:tab w:val="left" w:pos="4536"/>
        </w:tabs>
        <w:suppressAutoHyphens/>
        <w:spacing w:line="240" w:lineRule="auto"/>
        <w:jc w:val="both"/>
        <w:rPr>
          <w:highlight w:val="yellow"/>
        </w:rPr>
      </w:pPr>
    </w:p>
    <w:p w14:paraId="027859D8" w14:textId="77777777" w:rsidR="00F021A5" w:rsidRPr="00EB0539" w:rsidRDefault="00F021A5" w:rsidP="00F021A5">
      <w:pPr>
        <w:tabs>
          <w:tab w:val="left" w:pos="4536"/>
        </w:tabs>
        <w:suppressAutoHyphens/>
        <w:spacing w:line="240" w:lineRule="auto"/>
        <w:jc w:val="both"/>
        <w:rPr>
          <w:rFonts w:cs="Arial"/>
          <w:szCs w:val="20"/>
        </w:rPr>
      </w:pPr>
    </w:p>
    <w:p w14:paraId="5E1B5868" w14:textId="77777777" w:rsidR="00F021A5" w:rsidRPr="00EB0539" w:rsidRDefault="00F021A5" w:rsidP="00F021A5">
      <w:pPr>
        <w:tabs>
          <w:tab w:val="left" w:pos="4536"/>
        </w:tabs>
        <w:suppressAutoHyphens/>
        <w:spacing w:line="240" w:lineRule="auto"/>
        <w:jc w:val="both"/>
        <w:rPr>
          <w:rFonts w:cs="Arial"/>
          <w:b/>
          <w:bCs/>
          <w:szCs w:val="20"/>
        </w:rPr>
      </w:pPr>
      <w:r w:rsidRPr="00EB0539">
        <w:rPr>
          <w:rFonts w:cs="Arial"/>
          <w:b/>
          <w:bCs/>
          <w:szCs w:val="20"/>
        </w:rPr>
        <w:t xml:space="preserve">Evropska kmetijska politika </w:t>
      </w:r>
    </w:p>
    <w:p w14:paraId="5A1B7CAD" w14:textId="77777777" w:rsidR="00F021A5" w:rsidRPr="00EB0539" w:rsidRDefault="00F021A5" w:rsidP="00F021A5">
      <w:pPr>
        <w:tabs>
          <w:tab w:val="left" w:pos="4536"/>
        </w:tabs>
        <w:suppressAutoHyphens/>
        <w:spacing w:line="240" w:lineRule="auto"/>
        <w:jc w:val="both"/>
        <w:rPr>
          <w:rFonts w:cs="Arial"/>
          <w:szCs w:val="20"/>
        </w:rPr>
      </w:pPr>
    </w:p>
    <w:p w14:paraId="6B8AE318" w14:textId="77777777" w:rsidR="00F021A5" w:rsidRPr="00EB0539" w:rsidRDefault="00F021A5" w:rsidP="00F021A5">
      <w:pPr>
        <w:tabs>
          <w:tab w:val="left" w:pos="4536"/>
        </w:tabs>
        <w:suppressAutoHyphens/>
        <w:jc w:val="both"/>
      </w:pPr>
      <w:r w:rsidRPr="00EB0539">
        <w:t>Za izvajanje skupne kmetijske in ribiške politike je v letu 2022 načrtovano 372,6 milijonov evrov in v letu 2023 414,1 milijonov evrov. Glavnina sredstev je namenjena za ukrepe programa razvoja podeželja 2014-2020 ter neposredna plačila v kmetijstvu.</w:t>
      </w:r>
    </w:p>
    <w:p w14:paraId="4A36FF49" w14:textId="77777777" w:rsidR="00F021A5" w:rsidRPr="00EB0539" w:rsidRDefault="00F021A5" w:rsidP="00F021A5">
      <w:pPr>
        <w:tabs>
          <w:tab w:val="left" w:pos="4536"/>
        </w:tabs>
        <w:suppressAutoHyphens/>
        <w:jc w:val="both"/>
      </w:pPr>
    </w:p>
    <w:p w14:paraId="3AEC7F31" w14:textId="77777777" w:rsidR="00F021A5" w:rsidRPr="00EB0539" w:rsidRDefault="00F021A5" w:rsidP="00F021A5">
      <w:pPr>
        <w:tabs>
          <w:tab w:val="left" w:pos="4536"/>
        </w:tabs>
        <w:suppressAutoHyphens/>
        <w:jc w:val="both"/>
      </w:pPr>
      <w:r w:rsidRPr="00EB0539">
        <w:t xml:space="preserve">Evropska komisija je za izvedbo nemotenega prehoda v novo programsko obdobje omogočila, da se v letih 2021 in 2022 kmetom in drugim upravičencem podpora iz Evropskega kmetijskega jamstvenega sklada in Evropskega kmetijskega sklada za razvoj podeželja lahko odobri pod pogoji sedanjega pravnega okvira z dodelitvijo dodatnih sredstev za leto 2021 in 2022. </w:t>
      </w:r>
    </w:p>
    <w:p w14:paraId="1DD85551" w14:textId="77777777" w:rsidR="00F021A5" w:rsidRPr="00EB0539" w:rsidRDefault="00F021A5" w:rsidP="00F021A5">
      <w:pPr>
        <w:tabs>
          <w:tab w:val="left" w:pos="4536"/>
        </w:tabs>
        <w:suppressAutoHyphens/>
        <w:jc w:val="both"/>
      </w:pPr>
    </w:p>
    <w:p w14:paraId="0F4DC817" w14:textId="75B650B6" w:rsidR="00F021A5" w:rsidRPr="00EB0539" w:rsidRDefault="00F021A5" w:rsidP="00F021A5">
      <w:pPr>
        <w:tabs>
          <w:tab w:val="left" w:pos="4536"/>
        </w:tabs>
        <w:suppressAutoHyphens/>
        <w:jc w:val="both"/>
      </w:pPr>
      <w:r w:rsidRPr="00EB0539">
        <w:t xml:space="preserve">Za program razvoja podeželja je v predlogu proračuna za leto 2022 predvideno 223,1 milijonov evrov in v letu 2023 261,7 milijonov evrov. V projekciji je upoštevana dinamika plačil za projekte iz programskega obdobja 2014-2020, ki bodo izplačani do konca 2023, dinamika plačil za projekte, ki se bodo izvajali v okviru prehodne ureditve ter za projekte, ki se bodo v skladu z novim zakonodajnim okvirom EU izvajali </w:t>
      </w:r>
      <w:r w:rsidRPr="00EB0539">
        <w:lastRenderedPageBreak/>
        <w:t>v okviru Strateškega načrta programa razvoja podeželja od leta 2023 dalje. V okviru programa razvoja podeželja so upoštevana tudi sredstva, namenjena blažitvi posledic epidemije COVID-19.</w:t>
      </w:r>
    </w:p>
    <w:p w14:paraId="3601CEA8" w14:textId="77777777" w:rsidR="00F021A5" w:rsidRPr="00EB0539" w:rsidRDefault="00F021A5" w:rsidP="00F021A5">
      <w:pPr>
        <w:tabs>
          <w:tab w:val="left" w:pos="4536"/>
        </w:tabs>
        <w:suppressAutoHyphens/>
        <w:jc w:val="both"/>
      </w:pPr>
    </w:p>
    <w:p w14:paraId="7E61D4A0" w14:textId="77777777" w:rsidR="00F021A5" w:rsidRPr="00EB0539" w:rsidRDefault="00F021A5" w:rsidP="00F021A5">
      <w:pPr>
        <w:tabs>
          <w:tab w:val="left" w:pos="4536"/>
        </w:tabs>
        <w:suppressAutoHyphens/>
        <w:jc w:val="both"/>
      </w:pPr>
      <w:r w:rsidRPr="00EB0539">
        <w:t>Za neposredna plačila v kmetijstvu, ki se v celoti financirajo iz Evropskega kmetijskega jamstvenega sklada, predvidena letna nacionalna ovojnica v višini 131,5 milijonov evrov. Sredstva za navedene ukrepe, z izjemo ukrepov v čebelarstvu, so v predlogu proračuna načrtovana v skladu z dinamiko porabe v preteklih letih. Za ukrepe v čebelarstvu je v novem programskem obdobju iz proračuna EU predvideno več sredstev, zato se v skladu s tem načrtuje tudi več sredstev slovenske udeležbe. Skupaj je za te ukrepe v letu 2022 načrtovano 9,7 milijonov evrov in v letu 2023 9,5 milijonov evrov.</w:t>
      </w:r>
    </w:p>
    <w:p w14:paraId="0A26F6EA" w14:textId="77777777" w:rsidR="00F021A5" w:rsidRPr="00EB0539" w:rsidRDefault="00F021A5" w:rsidP="00F021A5">
      <w:pPr>
        <w:tabs>
          <w:tab w:val="left" w:pos="4536"/>
        </w:tabs>
        <w:suppressAutoHyphens/>
        <w:jc w:val="both"/>
      </w:pPr>
    </w:p>
    <w:p w14:paraId="13DB1AFE" w14:textId="77777777" w:rsidR="00F021A5" w:rsidRPr="00EB0539" w:rsidRDefault="00F021A5" w:rsidP="00F021A5">
      <w:pPr>
        <w:tabs>
          <w:tab w:val="left" w:pos="4536"/>
        </w:tabs>
        <w:suppressAutoHyphens/>
        <w:jc w:val="both"/>
      </w:pPr>
      <w:r w:rsidRPr="00EB0539">
        <w:t>Za izvajanje skupne ribiške politike je v letu 2022 načrtovano 8,3 milijonov evrov in v letu 2023 11,4 milijonov evrov. V projekciji je upoštevana dinamika plačil za projekte, ki se sofinancirajo iz Evropskega sklada za pomorstvo in ribištvo v okviru Operativnega programa za izvajanje Evropskega sklada za pomorstvo in ribištvo v Republiki Sloveniji za obdobje 2014-2020 ter dinamika plačil za projekte, ki se bodo izvajali že v novem programskem obdobju 2021-2027.</w:t>
      </w:r>
    </w:p>
    <w:p w14:paraId="57A74DA6" w14:textId="77777777" w:rsidR="00F021A5" w:rsidRPr="00EB0539" w:rsidRDefault="00F021A5" w:rsidP="00F021A5">
      <w:pPr>
        <w:tabs>
          <w:tab w:val="left" w:pos="4536"/>
        </w:tabs>
        <w:suppressAutoHyphens/>
        <w:jc w:val="both"/>
      </w:pPr>
    </w:p>
    <w:p w14:paraId="5ECA73BE" w14:textId="77777777" w:rsidR="00F021A5" w:rsidRPr="00EB0539" w:rsidRDefault="00F021A5" w:rsidP="00F021A5">
      <w:pPr>
        <w:tabs>
          <w:tab w:val="left" w:pos="4536"/>
        </w:tabs>
        <w:suppressAutoHyphens/>
        <w:spacing w:line="240" w:lineRule="auto"/>
        <w:jc w:val="both"/>
        <w:rPr>
          <w:rFonts w:cs="Arial"/>
          <w:b/>
          <w:bCs/>
          <w:szCs w:val="20"/>
        </w:rPr>
      </w:pPr>
      <w:r w:rsidRPr="00EB0539">
        <w:rPr>
          <w:rFonts w:cs="Arial"/>
          <w:b/>
          <w:bCs/>
          <w:szCs w:val="20"/>
        </w:rPr>
        <w:t>Izvajanje načrta za okrevanje in odpornost</w:t>
      </w:r>
    </w:p>
    <w:p w14:paraId="17C73909" w14:textId="77777777" w:rsidR="00F021A5" w:rsidRPr="00EB0539" w:rsidRDefault="00F021A5" w:rsidP="00F021A5">
      <w:pPr>
        <w:tabs>
          <w:tab w:val="left" w:pos="4536"/>
        </w:tabs>
        <w:suppressAutoHyphens/>
        <w:spacing w:line="240" w:lineRule="auto"/>
        <w:jc w:val="both"/>
        <w:rPr>
          <w:rFonts w:cs="Arial"/>
          <w:szCs w:val="20"/>
        </w:rPr>
      </w:pPr>
    </w:p>
    <w:p w14:paraId="50E3CF28" w14:textId="2528BE02" w:rsidR="00F021A5" w:rsidRPr="00EB0539" w:rsidRDefault="00F021A5" w:rsidP="00F021A5">
      <w:pPr>
        <w:tabs>
          <w:tab w:val="left" w:pos="4536"/>
        </w:tabs>
        <w:suppressAutoHyphens/>
        <w:jc w:val="both"/>
        <w:rPr>
          <w:rFonts w:cs="Arial"/>
          <w:szCs w:val="20"/>
        </w:rPr>
      </w:pPr>
      <w:r w:rsidRPr="00EB0539">
        <w:rPr>
          <w:rFonts w:cs="Arial"/>
          <w:szCs w:val="20"/>
        </w:rPr>
        <w:t xml:space="preserve">V okviru programa </w:t>
      </w:r>
      <w:proofErr w:type="spellStart"/>
      <w:r w:rsidRPr="00EB0539">
        <w:rPr>
          <w:rFonts w:cs="Arial"/>
          <w:szCs w:val="20"/>
        </w:rPr>
        <w:t>Next</w:t>
      </w:r>
      <w:proofErr w:type="spellEnd"/>
      <w:r w:rsidRPr="00EB0539">
        <w:rPr>
          <w:rFonts w:cs="Arial"/>
          <w:szCs w:val="20"/>
        </w:rPr>
        <w:t xml:space="preserve"> </w:t>
      </w:r>
      <w:proofErr w:type="spellStart"/>
      <w:r w:rsidRPr="00EB0539">
        <w:rPr>
          <w:rFonts w:cs="Arial"/>
          <w:szCs w:val="20"/>
        </w:rPr>
        <w:t>generation</w:t>
      </w:r>
      <w:proofErr w:type="spellEnd"/>
      <w:r w:rsidRPr="00EB0539">
        <w:rPr>
          <w:rFonts w:cs="Arial"/>
          <w:szCs w:val="20"/>
        </w:rPr>
        <w:t xml:space="preserve"> EU Slovenija lahko v letih 2021 -2026 črpa sredstva EU iz Sklada za okrevanje in odpornost (RRF). Podlaga za koriščenje teh sredstev je </w:t>
      </w:r>
      <w:r w:rsidRPr="00EB0539">
        <w:rPr>
          <w:rFonts w:cs="Arial"/>
          <w:i/>
          <w:iCs/>
          <w:szCs w:val="20"/>
        </w:rPr>
        <w:t>Načrt za okrevanje in odpornost (NOO)</w:t>
      </w:r>
      <w:r w:rsidRPr="00EB0539">
        <w:rPr>
          <w:rFonts w:cs="Arial"/>
          <w:szCs w:val="20"/>
        </w:rPr>
        <w:t xml:space="preserve">, ki ga je Slovenija, po sprejemu na vladi 30. aprila 2021, posredovala Evropski komisiji (EK). </w:t>
      </w:r>
    </w:p>
    <w:p w14:paraId="4E8F16E9" w14:textId="77777777" w:rsidR="00F021A5" w:rsidRPr="00EB0539" w:rsidRDefault="00F021A5" w:rsidP="00F021A5">
      <w:pPr>
        <w:tabs>
          <w:tab w:val="left" w:pos="4536"/>
        </w:tabs>
        <w:suppressAutoHyphens/>
        <w:jc w:val="both"/>
        <w:rPr>
          <w:rFonts w:cs="Arial"/>
          <w:szCs w:val="20"/>
        </w:rPr>
      </w:pPr>
    </w:p>
    <w:p w14:paraId="626EB944" w14:textId="77777777" w:rsidR="00F021A5" w:rsidRPr="00EB0539" w:rsidRDefault="00F021A5" w:rsidP="00F021A5">
      <w:pPr>
        <w:tabs>
          <w:tab w:val="left" w:pos="4536"/>
        </w:tabs>
        <w:suppressAutoHyphens/>
        <w:jc w:val="both"/>
        <w:rPr>
          <w:rFonts w:cs="Arial"/>
          <w:szCs w:val="20"/>
        </w:rPr>
      </w:pPr>
      <w:r w:rsidRPr="00EB0539">
        <w:rPr>
          <w:rFonts w:cs="Arial"/>
          <w:szCs w:val="20"/>
        </w:rPr>
        <w:t>Slovenija je v NOO opredelila razvojna področja s pripadajočimi reformami in naložbami, ki bodo prispevale k blaženju negativnih gospodarskih in socialnih učinkov epidemije ter pripravile državo na izzive, ki jih predstavljata zeleni in digitalni prehod. Vsaka komponenta znotraj posameznega razvojnega področja vključujejo vsebinsko povezane reforme in naložbe. Pri vsakem ukrepu so opredeljeni tudi relevantni mejniki in cilji. Na ta način bo mogoče spremljati njihovo izvajanje. V luči prizadevanj za zeleni prehod noben od ukrepov ne sme bistveno/pomembno škodovati okolju.</w:t>
      </w:r>
    </w:p>
    <w:p w14:paraId="4CC650A0" w14:textId="77777777" w:rsidR="00F021A5" w:rsidRPr="00EB0539" w:rsidRDefault="00F021A5" w:rsidP="00F021A5">
      <w:pPr>
        <w:tabs>
          <w:tab w:val="left" w:pos="4536"/>
        </w:tabs>
        <w:suppressAutoHyphens/>
        <w:jc w:val="both"/>
        <w:rPr>
          <w:rFonts w:cs="Arial"/>
          <w:szCs w:val="20"/>
        </w:rPr>
      </w:pPr>
    </w:p>
    <w:p w14:paraId="6F0FEBAE" w14:textId="77777777" w:rsidR="00F021A5" w:rsidRPr="00EB0539" w:rsidRDefault="00F021A5" w:rsidP="00F021A5">
      <w:pPr>
        <w:tabs>
          <w:tab w:val="left" w:pos="4536"/>
        </w:tabs>
        <w:suppressAutoHyphens/>
        <w:jc w:val="both"/>
        <w:rPr>
          <w:rFonts w:cs="Arial"/>
          <w:szCs w:val="20"/>
        </w:rPr>
      </w:pPr>
      <w:r w:rsidRPr="00EB0539">
        <w:rPr>
          <w:rFonts w:cs="Arial"/>
          <w:szCs w:val="20"/>
        </w:rPr>
        <w:t>NOO predvideva koriščenje 1,8 milijarde EUR razpoložljivih nepovratnih sredstev in dobrih 666 milijonov EUR posojil do leta 2026. Obseg koriščenja povratnih sredstev bo mogoče povečati, v kolikor bodo za to izkazane potrebe in v kolikor bodo pogoji ustrezni. Slovenija se glede na odlično bonitetno oceno namreč zadolžuje po ugodnih obrestnih merah. Države članice lahko dopolnjen Načrt za okrevanje in odpornost predložijo EK do avgusta 2023.</w:t>
      </w:r>
    </w:p>
    <w:p w14:paraId="50D15F15" w14:textId="77777777" w:rsidR="00F021A5" w:rsidRPr="00EB0539" w:rsidRDefault="00F021A5" w:rsidP="00F021A5">
      <w:pPr>
        <w:tabs>
          <w:tab w:val="left" w:pos="4536"/>
        </w:tabs>
        <w:suppressAutoHyphens/>
        <w:jc w:val="both"/>
        <w:rPr>
          <w:rFonts w:cs="Arial"/>
          <w:szCs w:val="20"/>
        </w:rPr>
      </w:pPr>
    </w:p>
    <w:p w14:paraId="0B397FA0" w14:textId="77777777" w:rsidR="00F021A5" w:rsidRPr="00EB0539" w:rsidRDefault="00F021A5" w:rsidP="00F021A5">
      <w:pPr>
        <w:tabs>
          <w:tab w:val="left" w:pos="4536"/>
        </w:tabs>
        <w:suppressAutoHyphens/>
        <w:jc w:val="both"/>
        <w:rPr>
          <w:rFonts w:cs="Arial"/>
          <w:szCs w:val="20"/>
        </w:rPr>
      </w:pPr>
      <w:r w:rsidRPr="00EB0539">
        <w:rPr>
          <w:rFonts w:cs="Arial"/>
          <w:szCs w:val="20"/>
        </w:rPr>
        <w:t xml:space="preserve">V predlogu sprememb proračuna za leto 2022 in predlogu državnega proračuna za leto 2023 bodo načrtovana sredstva za koriščenje sklada RRF skladna z načrtovano dinamiko in po vsebinah kot so </w:t>
      </w:r>
      <w:r w:rsidRPr="0018557E">
        <w:rPr>
          <w:rFonts w:cs="Arial"/>
          <w:szCs w:val="20"/>
        </w:rPr>
        <w:t>opredeljena v NOO. Pred črpanjem jih mora potrditi tudi EK in Svet EU za finančne zadeve.</w:t>
      </w:r>
      <w:r w:rsidRPr="00EB0539">
        <w:rPr>
          <w:rFonts w:cs="Arial"/>
          <w:szCs w:val="20"/>
        </w:rPr>
        <w:t xml:space="preserve"> </w:t>
      </w:r>
    </w:p>
    <w:p w14:paraId="37E1CC2E" w14:textId="77777777" w:rsidR="00F021A5" w:rsidRPr="00EB0539" w:rsidRDefault="00F021A5" w:rsidP="00F021A5">
      <w:pPr>
        <w:tabs>
          <w:tab w:val="left" w:pos="4536"/>
        </w:tabs>
        <w:suppressAutoHyphens/>
        <w:spacing w:line="240" w:lineRule="auto"/>
        <w:jc w:val="both"/>
        <w:rPr>
          <w:rFonts w:cs="Arial"/>
          <w:szCs w:val="20"/>
        </w:rPr>
      </w:pPr>
    </w:p>
    <w:p w14:paraId="6C62DD3F" w14:textId="77777777" w:rsidR="00F021A5" w:rsidRPr="00EB0539" w:rsidRDefault="00F021A5" w:rsidP="00F021A5">
      <w:pPr>
        <w:tabs>
          <w:tab w:val="left" w:pos="4536"/>
        </w:tabs>
        <w:suppressAutoHyphens/>
        <w:spacing w:line="240" w:lineRule="auto"/>
        <w:jc w:val="both"/>
        <w:rPr>
          <w:rFonts w:cs="Arial"/>
          <w:b/>
          <w:bCs/>
          <w:szCs w:val="20"/>
        </w:rPr>
      </w:pPr>
      <w:r w:rsidRPr="00EB0539">
        <w:rPr>
          <w:rFonts w:cs="Arial"/>
          <w:b/>
          <w:bCs/>
          <w:szCs w:val="20"/>
        </w:rPr>
        <w:t>Tabela 2: Dinamika črpanja sredstev RRF (nepovratni del in posojila)</w:t>
      </w:r>
    </w:p>
    <w:p w14:paraId="27CEA03E" w14:textId="77777777" w:rsidR="00F021A5" w:rsidRPr="00EB0539" w:rsidRDefault="00F021A5" w:rsidP="00F021A5">
      <w:pPr>
        <w:tabs>
          <w:tab w:val="left" w:pos="4536"/>
        </w:tabs>
        <w:suppressAutoHyphens/>
        <w:spacing w:line="240" w:lineRule="auto"/>
        <w:jc w:val="both"/>
        <w:rPr>
          <w:rFonts w:cs="Arial"/>
          <w:szCs w:val="20"/>
        </w:rPr>
      </w:pPr>
    </w:p>
    <w:tbl>
      <w:tblPr>
        <w:tblW w:w="89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960"/>
        <w:gridCol w:w="960"/>
        <w:gridCol w:w="960"/>
        <w:gridCol w:w="960"/>
        <w:gridCol w:w="960"/>
        <w:gridCol w:w="960"/>
        <w:gridCol w:w="960"/>
      </w:tblGrid>
      <w:tr w:rsidR="00F021A5" w:rsidRPr="00EB0539" w14:paraId="694D157C" w14:textId="77777777" w:rsidTr="006C35C5">
        <w:trPr>
          <w:trHeight w:val="300"/>
        </w:trPr>
        <w:tc>
          <w:tcPr>
            <w:tcW w:w="2268" w:type="dxa"/>
            <w:shd w:val="clear" w:color="auto" w:fill="auto"/>
            <w:noWrap/>
            <w:vAlign w:val="bottom"/>
            <w:hideMark/>
          </w:tcPr>
          <w:p w14:paraId="3CE622CC" w14:textId="77777777" w:rsidR="00F021A5" w:rsidRPr="00EB0539" w:rsidRDefault="00F021A5" w:rsidP="006C35C5">
            <w:pPr>
              <w:spacing w:line="240" w:lineRule="auto"/>
              <w:rPr>
                <w:rFonts w:cs="Arial"/>
                <w:sz w:val="18"/>
                <w:szCs w:val="18"/>
                <w:lang w:eastAsia="sl-SI"/>
              </w:rPr>
            </w:pPr>
          </w:p>
        </w:tc>
        <w:tc>
          <w:tcPr>
            <w:tcW w:w="960" w:type="dxa"/>
            <w:shd w:val="clear" w:color="auto" w:fill="auto"/>
            <w:noWrap/>
            <w:vAlign w:val="bottom"/>
            <w:hideMark/>
          </w:tcPr>
          <w:p w14:paraId="63D1AF65" w14:textId="77777777" w:rsidR="00F021A5" w:rsidRPr="00EB0539" w:rsidRDefault="00F021A5" w:rsidP="006C35C5">
            <w:pPr>
              <w:spacing w:line="240" w:lineRule="auto"/>
              <w:jc w:val="center"/>
              <w:rPr>
                <w:rFonts w:cs="Arial"/>
                <w:color w:val="000000"/>
                <w:sz w:val="18"/>
                <w:szCs w:val="18"/>
                <w:lang w:eastAsia="sl-SI"/>
              </w:rPr>
            </w:pPr>
            <w:r w:rsidRPr="00EB0539">
              <w:rPr>
                <w:rFonts w:cs="Arial"/>
                <w:color w:val="000000"/>
                <w:sz w:val="18"/>
                <w:szCs w:val="18"/>
                <w:lang w:eastAsia="sl-SI"/>
              </w:rPr>
              <w:t>2021</w:t>
            </w:r>
          </w:p>
        </w:tc>
        <w:tc>
          <w:tcPr>
            <w:tcW w:w="960" w:type="dxa"/>
            <w:shd w:val="clear" w:color="auto" w:fill="auto"/>
            <w:noWrap/>
            <w:vAlign w:val="bottom"/>
            <w:hideMark/>
          </w:tcPr>
          <w:p w14:paraId="7E4293DF" w14:textId="77777777" w:rsidR="00F021A5" w:rsidRPr="00EB0539" w:rsidRDefault="00F021A5" w:rsidP="006C35C5">
            <w:pPr>
              <w:spacing w:line="240" w:lineRule="auto"/>
              <w:jc w:val="center"/>
              <w:rPr>
                <w:rFonts w:cs="Arial"/>
                <w:color w:val="000000"/>
                <w:sz w:val="18"/>
                <w:szCs w:val="18"/>
                <w:lang w:eastAsia="sl-SI"/>
              </w:rPr>
            </w:pPr>
            <w:r w:rsidRPr="00EB0539">
              <w:rPr>
                <w:rFonts w:cs="Arial"/>
                <w:color w:val="000000"/>
                <w:sz w:val="18"/>
                <w:szCs w:val="18"/>
                <w:lang w:eastAsia="sl-SI"/>
              </w:rPr>
              <w:t>2022</w:t>
            </w:r>
          </w:p>
        </w:tc>
        <w:tc>
          <w:tcPr>
            <w:tcW w:w="960" w:type="dxa"/>
            <w:shd w:val="clear" w:color="auto" w:fill="auto"/>
            <w:noWrap/>
            <w:vAlign w:val="bottom"/>
            <w:hideMark/>
          </w:tcPr>
          <w:p w14:paraId="5B2FDE93" w14:textId="77777777" w:rsidR="00F021A5" w:rsidRPr="00EB0539" w:rsidRDefault="00F021A5" w:rsidP="006C35C5">
            <w:pPr>
              <w:spacing w:line="240" w:lineRule="auto"/>
              <w:jc w:val="center"/>
              <w:rPr>
                <w:rFonts w:cs="Arial"/>
                <w:color w:val="000000"/>
                <w:sz w:val="18"/>
                <w:szCs w:val="18"/>
                <w:lang w:eastAsia="sl-SI"/>
              </w:rPr>
            </w:pPr>
            <w:r w:rsidRPr="00EB0539">
              <w:rPr>
                <w:rFonts w:cs="Arial"/>
                <w:color w:val="000000"/>
                <w:sz w:val="18"/>
                <w:szCs w:val="18"/>
                <w:lang w:eastAsia="sl-SI"/>
              </w:rPr>
              <w:t>2023</w:t>
            </w:r>
          </w:p>
        </w:tc>
        <w:tc>
          <w:tcPr>
            <w:tcW w:w="960" w:type="dxa"/>
            <w:shd w:val="clear" w:color="auto" w:fill="auto"/>
            <w:noWrap/>
            <w:vAlign w:val="bottom"/>
            <w:hideMark/>
          </w:tcPr>
          <w:p w14:paraId="567AA450" w14:textId="77777777" w:rsidR="00F021A5" w:rsidRPr="00EB0539" w:rsidRDefault="00F021A5" w:rsidP="006C35C5">
            <w:pPr>
              <w:spacing w:line="240" w:lineRule="auto"/>
              <w:jc w:val="center"/>
              <w:rPr>
                <w:rFonts w:cs="Arial"/>
                <w:color w:val="000000"/>
                <w:sz w:val="18"/>
                <w:szCs w:val="18"/>
                <w:lang w:eastAsia="sl-SI"/>
              </w:rPr>
            </w:pPr>
            <w:r w:rsidRPr="00EB0539">
              <w:rPr>
                <w:rFonts w:cs="Arial"/>
                <w:color w:val="000000"/>
                <w:sz w:val="18"/>
                <w:szCs w:val="18"/>
                <w:lang w:eastAsia="sl-SI"/>
              </w:rPr>
              <w:t>2024</w:t>
            </w:r>
          </w:p>
        </w:tc>
        <w:tc>
          <w:tcPr>
            <w:tcW w:w="960" w:type="dxa"/>
            <w:shd w:val="clear" w:color="auto" w:fill="auto"/>
            <w:noWrap/>
            <w:vAlign w:val="bottom"/>
            <w:hideMark/>
          </w:tcPr>
          <w:p w14:paraId="39FE7504" w14:textId="77777777" w:rsidR="00F021A5" w:rsidRPr="00EB0539" w:rsidRDefault="00F021A5" w:rsidP="006C35C5">
            <w:pPr>
              <w:spacing w:line="240" w:lineRule="auto"/>
              <w:jc w:val="center"/>
              <w:rPr>
                <w:rFonts w:cs="Arial"/>
                <w:color w:val="000000"/>
                <w:sz w:val="18"/>
                <w:szCs w:val="18"/>
                <w:lang w:eastAsia="sl-SI"/>
              </w:rPr>
            </w:pPr>
            <w:r w:rsidRPr="00EB0539">
              <w:rPr>
                <w:rFonts w:cs="Arial"/>
                <w:color w:val="000000"/>
                <w:sz w:val="18"/>
                <w:szCs w:val="18"/>
                <w:lang w:eastAsia="sl-SI"/>
              </w:rPr>
              <w:t>2025</w:t>
            </w:r>
          </w:p>
        </w:tc>
        <w:tc>
          <w:tcPr>
            <w:tcW w:w="960" w:type="dxa"/>
            <w:shd w:val="clear" w:color="auto" w:fill="auto"/>
            <w:noWrap/>
            <w:vAlign w:val="bottom"/>
            <w:hideMark/>
          </w:tcPr>
          <w:p w14:paraId="71DC0021" w14:textId="77777777" w:rsidR="00F021A5" w:rsidRPr="00EB0539" w:rsidRDefault="00F021A5" w:rsidP="006C35C5">
            <w:pPr>
              <w:spacing w:line="240" w:lineRule="auto"/>
              <w:jc w:val="center"/>
              <w:rPr>
                <w:rFonts w:cs="Arial"/>
                <w:color w:val="000000"/>
                <w:sz w:val="18"/>
                <w:szCs w:val="18"/>
                <w:lang w:eastAsia="sl-SI"/>
              </w:rPr>
            </w:pPr>
            <w:r w:rsidRPr="00EB0539">
              <w:rPr>
                <w:rFonts w:cs="Arial"/>
                <w:color w:val="000000"/>
                <w:sz w:val="18"/>
                <w:szCs w:val="18"/>
                <w:lang w:eastAsia="sl-SI"/>
              </w:rPr>
              <w:t>2026</w:t>
            </w:r>
          </w:p>
        </w:tc>
        <w:tc>
          <w:tcPr>
            <w:tcW w:w="960" w:type="dxa"/>
            <w:shd w:val="clear" w:color="auto" w:fill="auto"/>
            <w:noWrap/>
            <w:vAlign w:val="bottom"/>
            <w:hideMark/>
          </w:tcPr>
          <w:p w14:paraId="1FFDDE7D" w14:textId="77777777" w:rsidR="00F021A5" w:rsidRPr="00EB0539" w:rsidRDefault="00F021A5" w:rsidP="006C35C5">
            <w:pPr>
              <w:spacing w:line="240" w:lineRule="auto"/>
              <w:jc w:val="center"/>
              <w:rPr>
                <w:rFonts w:cs="Arial"/>
                <w:b/>
                <w:bCs/>
                <w:color w:val="000000"/>
                <w:sz w:val="18"/>
                <w:szCs w:val="18"/>
                <w:lang w:eastAsia="sl-SI"/>
              </w:rPr>
            </w:pPr>
            <w:r w:rsidRPr="00EB0539">
              <w:rPr>
                <w:rFonts w:cs="Arial"/>
                <w:b/>
                <w:bCs/>
                <w:color w:val="000000"/>
                <w:sz w:val="18"/>
                <w:szCs w:val="18"/>
                <w:lang w:eastAsia="sl-SI"/>
              </w:rPr>
              <w:t>Skupaj</w:t>
            </w:r>
          </w:p>
        </w:tc>
      </w:tr>
      <w:tr w:rsidR="00F021A5" w:rsidRPr="00EB0539" w14:paraId="1707B366" w14:textId="77777777" w:rsidTr="006C35C5">
        <w:trPr>
          <w:trHeight w:val="300"/>
        </w:trPr>
        <w:tc>
          <w:tcPr>
            <w:tcW w:w="2268" w:type="dxa"/>
            <w:shd w:val="clear" w:color="auto" w:fill="auto"/>
            <w:noWrap/>
            <w:vAlign w:val="bottom"/>
            <w:hideMark/>
          </w:tcPr>
          <w:p w14:paraId="4D3E191A" w14:textId="77777777" w:rsidR="00F021A5" w:rsidRPr="00EB0539" w:rsidRDefault="00F021A5" w:rsidP="006C35C5">
            <w:pPr>
              <w:spacing w:line="240" w:lineRule="auto"/>
              <w:rPr>
                <w:rFonts w:cs="Arial"/>
                <w:color w:val="000000"/>
                <w:sz w:val="18"/>
                <w:szCs w:val="18"/>
                <w:lang w:eastAsia="sl-SI"/>
              </w:rPr>
            </w:pPr>
            <w:r w:rsidRPr="00EB0539">
              <w:rPr>
                <w:rFonts w:cs="Arial"/>
                <w:color w:val="000000"/>
                <w:sz w:val="18"/>
                <w:szCs w:val="18"/>
                <w:lang w:eastAsia="sl-SI"/>
              </w:rPr>
              <w:t>Zeleni Prehod</w:t>
            </w:r>
          </w:p>
        </w:tc>
        <w:tc>
          <w:tcPr>
            <w:tcW w:w="960" w:type="dxa"/>
            <w:shd w:val="clear" w:color="auto" w:fill="auto"/>
            <w:noWrap/>
            <w:vAlign w:val="bottom"/>
            <w:hideMark/>
          </w:tcPr>
          <w:p w14:paraId="6255D93A"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100,0</w:t>
            </w:r>
          </w:p>
        </w:tc>
        <w:tc>
          <w:tcPr>
            <w:tcW w:w="960" w:type="dxa"/>
            <w:shd w:val="clear" w:color="auto" w:fill="auto"/>
            <w:noWrap/>
            <w:vAlign w:val="bottom"/>
            <w:hideMark/>
          </w:tcPr>
          <w:p w14:paraId="127B7DA9"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153,4</w:t>
            </w:r>
          </w:p>
        </w:tc>
        <w:tc>
          <w:tcPr>
            <w:tcW w:w="960" w:type="dxa"/>
            <w:shd w:val="clear" w:color="auto" w:fill="auto"/>
            <w:noWrap/>
            <w:vAlign w:val="bottom"/>
            <w:hideMark/>
          </w:tcPr>
          <w:p w14:paraId="26906BFA"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159,5</w:t>
            </w:r>
          </w:p>
        </w:tc>
        <w:tc>
          <w:tcPr>
            <w:tcW w:w="960" w:type="dxa"/>
            <w:shd w:val="clear" w:color="auto" w:fill="auto"/>
            <w:noWrap/>
            <w:vAlign w:val="bottom"/>
            <w:hideMark/>
          </w:tcPr>
          <w:p w14:paraId="0D8B1669"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212,0</w:t>
            </w:r>
          </w:p>
        </w:tc>
        <w:tc>
          <w:tcPr>
            <w:tcW w:w="960" w:type="dxa"/>
            <w:shd w:val="clear" w:color="auto" w:fill="auto"/>
            <w:noWrap/>
            <w:vAlign w:val="bottom"/>
            <w:hideMark/>
          </w:tcPr>
          <w:p w14:paraId="2BE783A7"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279,8</w:t>
            </w:r>
          </w:p>
        </w:tc>
        <w:tc>
          <w:tcPr>
            <w:tcW w:w="960" w:type="dxa"/>
            <w:shd w:val="clear" w:color="auto" w:fill="auto"/>
            <w:noWrap/>
            <w:vAlign w:val="bottom"/>
            <w:hideMark/>
          </w:tcPr>
          <w:p w14:paraId="6BB25869"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160,0</w:t>
            </w:r>
          </w:p>
        </w:tc>
        <w:tc>
          <w:tcPr>
            <w:tcW w:w="960" w:type="dxa"/>
            <w:shd w:val="clear" w:color="auto" w:fill="auto"/>
            <w:noWrap/>
            <w:vAlign w:val="bottom"/>
            <w:hideMark/>
          </w:tcPr>
          <w:p w14:paraId="33F69D92" w14:textId="77777777" w:rsidR="00F021A5" w:rsidRPr="00EB0539" w:rsidRDefault="00F021A5" w:rsidP="006C35C5">
            <w:pPr>
              <w:spacing w:line="240" w:lineRule="auto"/>
              <w:jc w:val="right"/>
              <w:rPr>
                <w:rFonts w:cs="Arial"/>
                <w:b/>
                <w:bCs/>
                <w:color w:val="000000"/>
                <w:sz w:val="18"/>
                <w:szCs w:val="18"/>
                <w:lang w:eastAsia="sl-SI"/>
              </w:rPr>
            </w:pPr>
            <w:r w:rsidRPr="00EB0539">
              <w:rPr>
                <w:rFonts w:cs="Arial"/>
                <w:b/>
                <w:bCs/>
                <w:color w:val="000000"/>
                <w:sz w:val="18"/>
                <w:szCs w:val="18"/>
                <w:lang w:eastAsia="sl-SI"/>
              </w:rPr>
              <w:t>1.064,7</w:t>
            </w:r>
          </w:p>
        </w:tc>
      </w:tr>
      <w:tr w:rsidR="00F021A5" w:rsidRPr="00EB0539" w14:paraId="19420733" w14:textId="77777777" w:rsidTr="006C35C5">
        <w:trPr>
          <w:trHeight w:val="300"/>
        </w:trPr>
        <w:tc>
          <w:tcPr>
            <w:tcW w:w="2268" w:type="dxa"/>
            <w:shd w:val="clear" w:color="auto" w:fill="auto"/>
            <w:noWrap/>
            <w:vAlign w:val="bottom"/>
            <w:hideMark/>
          </w:tcPr>
          <w:p w14:paraId="1D79FCDD" w14:textId="77777777" w:rsidR="00F021A5" w:rsidRPr="00EB0539" w:rsidRDefault="00F021A5" w:rsidP="006C35C5">
            <w:pPr>
              <w:spacing w:line="240" w:lineRule="auto"/>
              <w:rPr>
                <w:rFonts w:cs="Arial"/>
                <w:color w:val="000000"/>
                <w:sz w:val="18"/>
                <w:szCs w:val="18"/>
                <w:lang w:eastAsia="sl-SI"/>
              </w:rPr>
            </w:pPr>
            <w:r w:rsidRPr="00EB0539">
              <w:rPr>
                <w:rFonts w:cs="Arial"/>
                <w:color w:val="000000"/>
                <w:sz w:val="18"/>
                <w:szCs w:val="18"/>
                <w:lang w:eastAsia="sl-SI"/>
              </w:rPr>
              <w:t>Digitalna Preobrazba</w:t>
            </w:r>
          </w:p>
        </w:tc>
        <w:tc>
          <w:tcPr>
            <w:tcW w:w="960" w:type="dxa"/>
            <w:shd w:val="clear" w:color="auto" w:fill="auto"/>
            <w:noWrap/>
            <w:vAlign w:val="bottom"/>
            <w:hideMark/>
          </w:tcPr>
          <w:p w14:paraId="6BE67596"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10,4</w:t>
            </w:r>
          </w:p>
        </w:tc>
        <w:tc>
          <w:tcPr>
            <w:tcW w:w="960" w:type="dxa"/>
            <w:shd w:val="clear" w:color="auto" w:fill="auto"/>
            <w:noWrap/>
            <w:vAlign w:val="bottom"/>
            <w:hideMark/>
          </w:tcPr>
          <w:p w14:paraId="0339EA64"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87,6</w:t>
            </w:r>
          </w:p>
        </w:tc>
        <w:tc>
          <w:tcPr>
            <w:tcW w:w="960" w:type="dxa"/>
            <w:shd w:val="clear" w:color="auto" w:fill="auto"/>
            <w:noWrap/>
            <w:vAlign w:val="bottom"/>
            <w:hideMark/>
          </w:tcPr>
          <w:p w14:paraId="5FE1AB35"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84,2</w:t>
            </w:r>
          </w:p>
        </w:tc>
        <w:tc>
          <w:tcPr>
            <w:tcW w:w="960" w:type="dxa"/>
            <w:shd w:val="clear" w:color="auto" w:fill="auto"/>
            <w:noWrap/>
            <w:vAlign w:val="bottom"/>
            <w:hideMark/>
          </w:tcPr>
          <w:p w14:paraId="6F7208E3"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64,2</w:t>
            </w:r>
          </w:p>
        </w:tc>
        <w:tc>
          <w:tcPr>
            <w:tcW w:w="960" w:type="dxa"/>
            <w:shd w:val="clear" w:color="auto" w:fill="auto"/>
            <w:noWrap/>
            <w:vAlign w:val="bottom"/>
            <w:hideMark/>
          </w:tcPr>
          <w:p w14:paraId="04CBEE3F"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43,6</w:t>
            </w:r>
          </w:p>
        </w:tc>
        <w:tc>
          <w:tcPr>
            <w:tcW w:w="960" w:type="dxa"/>
            <w:shd w:val="clear" w:color="auto" w:fill="auto"/>
            <w:noWrap/>
            <w:vAlign w:val="bottom"/>
            <w:hideMark/>
          </w:tcPr>
          <w:p w14:paraId="1E7F8B14"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26,8</w:t>
            </w:r>
          </w:p>
        </w:tc>
        <w:tc>
          <w:tcPr>
            <w:tcW w:w="960" w:type="dxa"/>
            <w:shd w:val="clear" w:color="auto" w:fill="auto"/>
            <w:noWrap/>
            <w:vAlign w:val="bottom"/>
            <w:hideMark/>
          </w:tcPr>
          <w:p w14:paraId="1E074DD8" w14:textId="77777777" w:rsidR="00F021A5" w:rsidRPr="00EB0539" w:rsidRDefault="00F021A5" w:rsidP="006C35C5">
            <w:pPr>
              <w:spacing w:line="240" w:lineRule="auto"/>
              <w:jc w:val="right"/>
              <w:rPr>
                <w:rFonts w:cs="Arial"/>
                <w:b/>
                <w:bCs/>
                <w:color w:val="000000"/>
                <w:sz w:val="18"/>
                <w:szCs w:val="18"/>
                <w:lang w:eastAsia="sl-SI"/>
              </w:rPr>
            </w:pPr>
            <w:r w:rsidRPr="00EB0539">
              <w:rPr>
                <w:rFonts w:cs="Arial"/>
                <w:b/>
                <w:bCs/>
                <w:color w:val="000000"/>
                <w:sz w:val="18"/>
                <w:szCs w:val="18"/>
                <w:lang w:eastAsia="sl-SI"/>
              </w:rPr>
              <w:t>316,7</w:t>
            </w:r>
          </w:p>
        </w:tc>
      </w:tr>
      <w:tr w:rsidR="00F021A5" w:rsidRPr="00EB0539" w14:paraId="371BD6F6" w14:textId="77777777" w:rsidTr="006C35C5">
        <w:trPr>
          <w:trHeight w:val="300"/>
        </w:trPr>
        <w:tc>
          <w:tcPr>
            <w:tcW w:w="2268" w:type="dxa"/>
            <w:shd w:val="clear" w:color="auto" w:fill="auto"/>
            <w:noWrap/>
            <w:vAlign w:val="bottom"/>
            <w:hideMark/>
          </w:tcPr>
          <w:p w14:paraId="151AFE0E" w14:textId="77777777" w:rsidR="00F021A5" w:rsidRPr="00EB0539" w:rsidRDefault="00F021A5" w:rsidP="006C35C5">
            <w:pPr>
              <w:spacing w:line="240" w:lineRule="auto"/>
              <w:rPr>
                <w:rFonts w:cs="Arial"/>
                <w:color w:val="000000"/>
                <w:sz w:val="18"/>
                <w:szCs w:val="18"/>
                <w:lang w:eastAsia="sl-SI"/>
              </w:rPr>
            </w:pPr>
            <w:r w:rsidRPr="00EB0539">
              <w:rPr>
                <w:rFonts w:cs="Arial"/>
                <w:color w:val="000000"/>
                <w:sz w:val="18"/>
                <w:szCs w:val="18"/>
                <w:lang w:eastAsia="sl-SI"/>
              </w:rPr>
              <w:t>Pametna, trajnostna in vključujoča rast</w:t>
            </w:r>
          </w:p>
        </w:tc>
        <w:tc>
          <w:tcPr>
            <w:tcW w:w="960" w:type="dxa"/>
            <w:shd w:val="clear" w:color="auto" w:fill="auto"/>
            <w:noWrap/>
            <w:vAlign w:val="bottom"/>
            <w:hideMark/>
          </w:tcPr>
          <w:p w14:paraId="47912059"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4,2</w:t>
            </w:r>
          </w:p>
        </w:tc>
        <w:tc>
          <w:tcPr>
            <w:tcW w:w="960" w:type="dxa"/>
            <w:shd w:val="clear" w:color="auto" w:fill="auto"/>
            <w:noWrap/>
            <w:vAlign w:val="bottom"/>
            <w:hideMark/>
          </w:tcPr>
          <w:p w14:paraId="2592D831"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69,5</w:t>
            </w:r>
          </w:p>
        </w:tc>
        <w:tc>
          <w:tcPr>
            <w:tcW w:w="960" w:type="dxa"/>
            <w:shd w:val="clear" w:color="auto" w:fill="auto"/>
            <w:noWrap/>
            <w:vAlign w:val="bottom"/>
            <w:hideMark/>
          </w:tcPr>
          <w:p w14:paraId="0D7C8BD2"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156,7</w:t>
            </w:r>
          </w:p>
        </w:tc>
        <w:tc>
          <w:tcPr>
            <w:tcW w:w="960" w:type="dxa"/>
            <w:shd w:val="clear" w:color="auto" w:fill="auto"/>
            <w:noWrap/>
            <w:vAlign w:val="bottom"/>
            <w:hideMark/>
          </w:tcPr>
          <w:p w14:paraId="7E0CBDB8"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184,8</w:t>
            </w:r>
          </w:p>
        </w:tc>
        <w:tc>
          <w:tcPr>
            <w:tcW w:w="960" w:type="dxa"/>
            <w:shd w:val="clear" w:color="auto" w:fill="auto"/>
            <w:noWrap/>
            <w:vAlign w:val="bottom"/>
            <w:hideMark/>
          </w:tcPr>
          <w:p w14:paraId="49D73228"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213,9</w:t>
            </w:r>
          </w:p>
        </w:tc>
        <w:tc>
          <w:tcPr>
            <w:tcW w:w="960" w:type="dxa"/>
            <w:shd w:val="clear" w:color="auto" w:fill="auto"/>
            <w:noWrap/>
            <w:vAlign w:val="bottom"/>
            <w:hideMark/>
          </w:tcPr>
          <w:p w14:paraId="5FABFB2D"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108,4</w:t>
            </w:r>
          </w:p>
        </w:tc>
        <w:tc>
          <w:tcPr>
            <w:tcW w:w="960" w:type="dxa"/>
            <w:shd w:val="clear" w:color="auto" w:fill="auto"/>
            <w:noWrap/>
            <w:vAlign w:val="bottom"/>
            <w:hideMark/>
          </w:tcPr>
          <w:p w14:paraId="63CFD499" w14:textId="77777777" w:rsidR="00F021A5" w:rsidRPr="00EB0539" w:rsidRDefault="00F021A5" w:rsidP="006C35C5">
            <w:pPr>
              <w:spacing w:line="240" w:lineRule="auto"/>
              <w:jc w:val="right"/>
              <w:rPr>
                <w:rFonts w:cs="Arial"/>
                <w:b/>
                <w:bCs/>
                <w:color w:val="000000"/>
                <w:sz w:val="18"/>
                <w:szCs w:val="18"/>
                <w:lang w:eastAsia="sl-SI"/>
              </w:rPr>
            </w:pPr>
            <w:r w:rsidRPr="00EB0539">
              <w:rPr>
                <w:rFonts w:cs="Arial"/>
                <w:b/>
                <w:bCs/>
                <w:color w:val="000000"/>
                <w:sz w:val="18"/>
                <w:szCs w:val="18"/>
                <w:lang w:eastAsia="sl-SI"/>
              </w:rPr>
              <w:t>737,4</w:t>
            </w:r>
          </w:p>
        </w:tc>
      </w:tr>
      <w:tr w:rsidR="00F021A5" w:rsidRPr="00EB0539" w14:paraId="045B895E" w14:textId="77777777" w:rsidTr="006C35C5">
        <w:trPr>
          <w:trHeight w:val="300"/>
        </w:trPr>
        <w:tc>
          <w:tcPr>
            <w:tcW w:w="2268" w:type="dxa"/>
            <w:shd w:val="clear" w:color="auto" w:fill="auto"/>
            <w:noWrap/>
            <w:vAlign w:val="bottom"/>
            <w:hideMark/>
          </w:tcPr>
          <w:p w14:paraId="42126BFD" w14:textId="77777777" w:rsidR="00F021A5" w:rsidRPr="00EB0539" w:rsidRDefault="00F021A5" w:rsidP="006C35C5">
            <w:pPr>
              <w:spacing w:line="240" w:lineRule="auto"/>
              <w:rPr>
                <w:rFonts w:cs="Arial"/>
                <w:color w:val="000000"/>
                <w:sz w:val="18"/>
                <w:szCs w:val="18"/>
                <w:lang w:eastAsia="sl-SI"/>
              </w:rPr>
            </w:pPr>
            <w:r w:rsidRPr="00EB0539">
              <w:rPr>
                <w:rFonts w:cs="Arial"/>
                <w:color w:val="000000"/>
                <w:sz w:val="18"/>
                <w:szCs w:val="18"/>
                <w:lang w:eastAsia="sl-SI"/>
              </w:rPr>
              <w:t>Zdravstvo in socialna varnost</w:t>
            </w:r>
          </w:p>
        </w:tc>
        <w:tc>
          <w:tcPr>
            <w:tcW w:w="960" w:type="dxa"/>
            <w:shd w:val="clear" w:color="auto" w:fill="auto"/>
            <w:noWrap/>
            <w:vAlign w:val="bottom"/>
            <w:hideMark/>
          </w:tcPr>
          <w:p w14:paraId="57C5B3D5"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0,9</w:t>
            </w:r>
          </w:p>
        </w:tc>
        <w:tc>
          <w:tcPr>
            <w:tcW w:w="960" w:type="dxa"/>
            <w:shd w:val="clear" w:color="auto" w:fill="auto"/>
            <w:noWrap/>
            <w:vAlign w:val="bottom"/>
            <w:hideMark/>
          </w:tcPr>
          <w:p w14:paraId="5690D3EF"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20,3</w:t>
            </w:r>
          </w:p>
        </w:tc>
        <w:tc>
          <w:tcPr>
            <w:tcW w:w="960" w:type="dxa"/>
            <w:shd w:val="clear" w:color="auto" w:fill="auto"/>
            <w:noWrap/>
            <w:vAlign w:val="bottom"/>
            <w:hideMark/>
          </w:tcPr>
          <w:p w14:paraId="0D1F64B3"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53,3</w:t>
            </w:r>
          </w:p>
        </w:tc>
        <w:tc>
          <w:tcPr>
            <w:tcW w:w="960" w:type="dxa"/>
            <w:shd w:val="clear" w:color="auto" w:fill="auto"/>
            <w:noWrap/>
            <w:vAlign w:val="bottom"/>
            <w:hideMark/>
          </w:tcPr>
          <w:p w14:paraId="0866D796"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110,1</w:t>
            </w:r>
          </w:p>
        </w:tc>
        <w:tc>
          <w:tcPr>
            <w:tcW w:w="960" w:type="dxa"/>
            <w:shd w:val="clear" w:color="auto" w:fill="auto"/>
            <w:noWrap/>
            <w:vAlign w:val="bottom"/>
            <w:hideMark/>
          </w:tcPr>
          <w:p w14:paraId="6C693D94"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100,3</w:t>
            </w:r>
          </w:p>
        </w:tc>
        <w:tc>
          <w:tcPr>
            <w:tcW w:w="960" w:type="dxa"/>
            <w:shd w:val="clear" w:color="auto" w:fill="auto"/>
            <w:noWrap/>
            <w:vAlign w:val="bottom"/>
            <w:hideMark/>
          </w:tcPr>
          <w:p w14:paraId="1C6C376D" w14:textId="77777777" w:rsidR="00F021A5" w:rsidRPr="00EB0539" w:rsidRDefault="00F021A5" w:rsidP="006C35C5">
            <w:pPr>
              <w:spacing w:line="240" w:lineRule="auto"/>
              <w:jc w:val="right"/>
              <w:rPr>
                <w:rFonts w:cs="Arial"/>
                <w:color w:val="000000"/>
                <w:sz w:val="18"/>
                <w:szCs w:val="18"/>
                <w:lang w:eastAsia="sl-SI"/>
              </w:rPr>
            </w:pPr>
            <w:r w:rsidRPr="00EB0539">
              <w:rPr>
                <w:rFonts w:cs="Arial"/>
                <w:color w:val="000000"/>
                <w:sz w:val="18"/>
                <w:szCs w:val="18"/>
                <w:lang w:eastAsia="sl-SI"/>
              </w:rPr>
              <w:t>79,0</w:t>
            </w:r>
          </w:p>
        </w:tc>
        <w:tc>
          <w:tcPr>
            <w:tcW w:w="960" w:type="dxa"/>
            <w:shd w:val="clear" w:color="auto" w:fill="auto"/>
            <w:noWrap/>
            <w:vAlign w:val="bottom"/>
            <w:hideMark/>
          </w:tcPr>
          <w:p w14:paraId="7E97105C" w14:textId="77777777" w:rsidR="00F021A5" w:rsidRPr="00EB0539" w:rsidRDefault="00F021A5" w:rsidP="006C35C5">
            <w:pPr>
              <w:spacing w:line="240" w:lineRule="auto"/>
              <w:jc w:val="right"/>
              <w:rPr>
                <w:rFonts w:cs="Arial"/>
                <w:b/>
                <w:bCs/>
                <w:color w:val="000000"/>
                <w:sz w:val="18"/>
                <w:szCs w:val="18"/>
                <w:lang w:eastAsia="sl-SI"/>
              </w:rPr>
            </w:pPr>
            <w:r w:rsidRPr="00EB0539">
              <w:rPr>
                <w:rFonts w:cs="Arial"/>
                <w:b/>
                <w:bCs/>
                <w:color w:val="000000"/>
                <w:sz w:val="18"/>
                <w:szCs w:val="18"/>
                <w:lang w:eastAsia="sl-SI"/>
              </w:rPr>
              <w:t>363,9</w:t>
            </w:r>
          </w:p>
        </w:tc>
      </w:tr>
      <w:tr w:rsidR="00F021A5" w:rsidRPr="00EB0539" w14:paraId="72A5206F" w14:textId="77777777" w:rsidTr="006C35C5">
        <w:trPr>
          <w:trHeight w:val="300"/>
        </w:trPr>
        <w:tc>
          <w:tcPr>
            <w:tcW w:w="2268" w:type="dxa"/>
            <w:shd w:val="clear" w:color="auto" w:fill="auto"/>
            <w:noWrap/>
            <w:vAlign w:val="bottom"/>
            <w:hideMark/>
          </w:tcPr>
          <w:p w14:paraId="46B19D03" w14:textId="77777777" w:rsidR="00F021A5" w:rsidRPr="00EB0539" w:rsidRDefault="00F021A5" w:rsidP="006C35C5">
            <w:pPr>
              <w:spacing w:line="240" w:lineRule="auto"/>
              <w:rPr>
                <w:rFonts w:cs="Arial"/>
                <w:b/>
                <w:bCs/>
                <w:color w:val="000000"/>
                <w:sz w:val="18"/>
                <w:szCs w:val="18"/>
                <w:lang w:eastAsia="sl-SI"/>
              </w:rPr>
            </w:pPr>
            <w:r w:rsidRPr="00EB0539">
              <w:rPr>
                <w:rFonts w:cs="Arial"/>
                <w:b/>
                <w:bCs/>
                <w:color w:val="000000"/>
                <w:sz w:val="18"/>
                <w:szCs w:val="18"/>
                <w:lang w:eastAsia="sl-SI"/>
              </w:rPr>
              <w:t>Skupaj</w:t>
            </w:r>
          </w:p>
        </w:tc>
        <w:tc>
          <w:tcPr>
            <w:tcW w:w="960" w:type="dxa"/>
            <w:shd w:val="clear" w:color="auto" w:fill="auto"/>
            <w:noWrap/>
            <w:vAlign w:val="bottom"/>
            <w:hideMark/>
          </w:tcPr>
          <w:p w14:paraId="26E148F8" w14:textId="77777777" w:rsidR="00F021A5" w:rsidRPr="00EB0539" w:rsidRDefault="00F021A5" w:rsidP="006C35C5">
            <w:pPr>
              <w:spacing w:line="240" w:lineRule="auto"/>
              <w:jc w:val="right"/>
              <w:rPr>
                <w:rFonts w:cs="Arial"/>
                <w:b/>
                <w:bCs/>
                <w:color w:val="000000"/>
                <w:sz w:val="18"/>
                <w:szCs w:val="18"/>
                <w:lang w:eastAsia="sl-SI"/>
              </w:rPr>
            </w:pPr>
            <w:r w:rsidRPr="00EB0539">
              <w:rPr>
                <w:rFonts w:cs="Arial"/>
                <w:b/>
                <w:bCs/>
                <w:color w:val="000000"/>
                <w:sz w:val="18"/>
                <w:szCs w:val="18"/>
                <w:lang w:eastAsia="sl-SI"/>
              </w:rPr>
              <w:t>115,4</w:t>
            </w:r>
          </w:p>
        </w:tc>
        <w:tc>
          <w:tcPr>
            <w:tcW w:w="960" w:type="dxa"/>
            <w:shd w:val="clear" w:color="auto" w:fill="auto"/>
            <w:noWrap/>
            <w:vAlign w:val="bottom"/>
            <w:hideMark/>
          </w:tcPr>
          <w:p w14:paraId="2BB91382" w14:textId="77777777" w:rsidR="00F021A5" w:rsidRPr="00EB0539" w:rsidRDefault="00F021A5" w:rsidP="006C35C5">
            <w:pPr>
              <w:spacing w:line="240" w:lineRule="auto"/>
              <w:jc w:val="right"/>
              <w:rPr>
                <w:rFonts w:cs="Arial"/>
                <w:b/>
                <w:bCs/>
                <w:color w:val="000000"/>
                <w:sz w:val="18"/>
                <w:szCs w:val="18"/>
                <w:lang w:eastAsia="sl-SI"/>
              </w:rPr>
            </w:pPr>
            <w:r w:rsidRPr="00EB0539">
              <w:rPr>
                <w:rFonts w:cs="Arial"/>
                <w:b/>
                <w:bCs/>
                <w:color w:val="000000"/>
                <w:sz w:val="18"/>
                <w:szCs w:val="18"/>
                <w:lang w:eastAsia="sl-SI"/>
              </w:rPr>
              <w:t>330,8</w:t>
            </w:r>
          </w:p>
        </w:tc>
        <w:tc>
          <w:tcPr>
            <w:tcW w:w="960" w:type="dxa"/>
            <w:shd w:val="clear" w:color="auto" w:fill="auto"/>
            <w:noWrap/>
            <w:vAlign w:val="bottom"/>
            <w:hideMark/>
          </w:tcPr>
          <w:p w14:paraId="762E2BA7" w14:textId="77777777" w:rsidR="00F021A5" w:rsidRPr="00EB0539" w:rsidRDefault="00F021A5" w:rsidP="006C35C5">
            <w:pPr>
              <w:spacing w:line="240" w:lineRule="auto"/>
              <w:jc w:val="right"/>
              <w:rPr>
                <w:rFonts w:cs="Arial"/>
                <w:b/>
                <w:bCs/>
                <w:color w:val="000000"/>
                <w:sz w:val="18"/>
                <w:szCs w:val="18"/>
                <w:lang w:eastAsia="sl-SI"/>
              </w:rPr>
            </w:pPr>
            <w:r w:rsidRPr="00EB0539">
              <w:rPr>
                <w:rFonts w:cs="Arial"/>
                <w:b/>
                <w:bCs/>
                <w:color w:val="000000"/>
                <w:sz w:val="18"/>
                <w:szCs w:val="18"/>
                <w:lang w:eastAsia="sl-SI"/>
              </w:rPr>
              <w:t>453,7</w:t>
            </w:r>
          </w:p>
        </w:tc>
        <w:tc>
          <w:tcPr>
            <w:tcW w:w="960" w:type="dxa"/>
            <w:shd w:val="clear" w:color="auto" w:fill="auto"/>
            <w:noWrap/>
            <w:vAlign w:val="bottom"/>
            <w:hideMark/>
          </w:tcPr>
          <w:p w14:paraId="644DA62B" w14:textId="77777777" w:rsidR="00F021A5" w:rsidRPr="00EB0539" w:rsidRDefault="00F021A5" w:rsidP="006C35C5">
            <w:pPr>
              <w:spacing w:line="240" w:lineRule="auto"/>
              <w:jc w:val="right"/>
              <w:rPr>
                <w:rFonts w:cs="Arial"/>
                <w:b/>
                <w:bCs/>
                <w:color w:val="000000"/>
                <w:sz w:val="18"/>
                <w:szCs w:val="18"/>
                <w:lang w:eastAsia="sl-SI"/>
              </w:rPr>
            </w:pPr>
            <w:r w:rsidRPr="00EB0539">
              <w:rPr>
                <w:rFonts w:cs="Arial"/>
                <w:b/>
                <w:bCs/>
                <w:color w:val="000000"/>
                <w:sz w:val="18"/>
                <w:szCs w:val="18"/>
                <w:lang w:eastAsia="sl-SI"/>
              </w:rPr>
              <w:t>571,0</w:t>
            </w:r>
          </w:p>
        </w:tc>
        <w:tc>
          <w:tcPr>
            <w:tcW w:w="960" w:type="dxa"/>
            <w:shd w:val="clear" w:color="auto" w:fill="auto"/>
            <w:noWrap/>
            <w:vAlign w:val="bottom"/>
            <w:hideMark/>
          </w:tcPr>
          <w:p w14:paraId="11ECAD3F" w14:textId="77777777" w:rsidR="00F021A5" w:rsidRPr="00EB0539" w:rsidRDefault="00F021A5" w:rsidP="006C35C5">
            <w:pPr>
              <w:spacing w:line="240" w:lineRule="auto"/>
              <w:jc w:val="right"/>
              <w:rPr>
                <w:rFonts w:cs="Arial"/>
                <w:b/>
                <w:bCs/>
                <w:color w:val="000000"/>
                <w:sz w:val="18"/>
                <w:szCs w:val="18"/>
                <w:lang w:eastAsia="sl-SI"/>
              </w:rPr>
            </w:pPr>
            <w:r w:rsidRPr="00EB0539">
              <w:rPr>
                <w:rFonts w:cs="Arial"/>
                <w:b/>
                <w:bCs/>
                <w:color w:val="000000"/>
                <w:sz w:val="18"/>
                <w:szCs w:val="18"/>
                <w:lang w:eastAsia="sl-SI"/>
              </w:rPr>
              <w:t>637,6</w:t>
            </w:r>
          </w:p>
        </w:tc>
        <w:tc>
          <w:tcPr>
            <w:tcW w:w="960" w:type="dxa"/>
            <w:shd w:val="clear" w:color="auto" w:fill="auto"/>
            <w:noWrap/>
            <w:vAlign w:val="bottom"/>
            <w:hideMark/>
          </w:tcPr>
          <w:p w14:paraId="3FBEF366" w14:textId="77777777" w:rsidR="00F021A5" w:rsidRPr="00EB0539" w:rsidRDefault="00F021A5" w:rsidP="006C35C5">
            <w:pPr>
              <w:spacing w:line="240" w:lineRule="auto"/>
              <w:jc w:val="right"/>
              <w:rPr>
                <w:rFonts w:cs="Arial"/>
                <w:b/>
                <w:bCs/>
                <w:color w:val="000000"/>
                <w:sz w:val="18"/>
                <w:szCs w:val="18"/>
                <w:lang w:eastAsia="sl-SI"/>
              </w:rPr>
            </w:pPr>
            <w:r w:rsidRPr="00EB0539">
              <w:rPr>
                <w:rFonts w:cs="Arial"/>
                <w:b/>
                <w:bCs/>
                <w:color w:val="000000"/>
                <w:sz w:val="18"/>
                <w:szCs w:val="18"/>
                <w:lang w:eastAsia="sl-SI"/>
              </w:rPr>
              <w:t>374,2</w:t>
            </w:r>
          </w:p>
        </w:tc>
        <w:tc>
          <w:tcPr>
            <w:tcW w:w="960" w:type="dxa"/>
            <w:shd w:val="clear" w:color="auto" w:fill="auto"/>
            <w:noWrap/>
            <w:vAlign w:val="bottom"/>
            <w:hideMark/>
          </w:tcPr>
          <w:p w14:paraId="1B8C5BA9" w14:textId="77777777" w:rsidR="00F021A5" w:rsidRPr="00EB0539" w:rsidRDefault="00F021A5" w:rsidP="006C35C5">
            <w:pPr>
              <w:spacing w:line="240" w:lineRule="auto"/>
              <w:jc w:val="right"/>
              <w:rPr>
                <w:rFonts w:cs="Arial"/>
                <w:b/>
                <w:bCs/>
                <w:color w:val="000000"/>
                <w:sz w:val="18"/>
                <w:szCs w:val="18"/>
                <w:lang w:eastAsia="sl-SI"/>
              </w:rPr>
            </w:pPr>
            <w:r w:rsidRPr="00EB0539">
              <w:rPr>
                <w:rFonts w:cs="Arial"/>
                <w:b/>
                <w:bCs/>
                <w:color w:val="000000"/>
                <w:sz w:val="18"/>
                <w:szCs w:val="18"/>
                <w:lang w:eastAsia="sl-SI"/>
              </w:rPr>
              <w:t>2.482,7</w:t>
            </w:r>
          </w:p>
        </w:tc>
      </w:tr>
    </w:tbl>
    <w:p w14:paraId="43DA2B73" w14:textId="77777777" w:rsidR="00F021A5" w:rsidRPr="00EB0539" w:rsidRDefault="00F021A5" w:rsidP="00F021A5">
      <w:pPr>
        <w:tabs>
          <w:tab w:val="left" w:pos="4536"/>
        </w:tabs>
        <w:suppressAutoHyphens/>
        <w:spacing w:line="240" w:lineRule="auto"/>
        <w:jc w:val="both"/>
        <w:rPr>
          <w:rFonts w:cs="Arial"/>
          <w:sz w:val="16"/>
          <w:szCs w:val="16"/>
        </w:rPr>
      </w:pPr>
      <w:r w:rsidRPr="00EB0539">
        <w:rPr>
          <w:rFonts w:cs="Arial"/>
          <w:sz w:val="16"/>
          <w:szCs w:val="16"/>
        </w:rPr>
        <w:t>Vir: NOO</w:t>
      </w:r>
    </w:p>
    <w:p w14:paraId="23C1AEA0" w14:textId="77777777" w:rsidR="00F021A5" w:rsidRPr="00EB0539" w:rsidRDefault="00F021A5" w:rsidP="00F021A5">
      <w:pPr>
        <w:tabs>
          <w:tab w:val="left" w:pos="4536"/>
        </w:tabs>
        <w:suppressAutoHyphens/>
        <w:spacing w:line="240" w:lineRule="auto"/>
        <w:jc w:val="both"/>
        <w:rPr>
          <w:rFonts w:cs="Arial"/>
          <w:szCs w:val="20"/>
        </w:rPr>
      </w:pPr>
    </w:p>
    <w:p w14:paraId="5854ED6A" w14:textId="77777777" w:rsidR="00F021A5" w:rsidRPr="00EB0539" w:rsidRDefault="00F021A5" w:rsidP="00F021A5">
      <w:pPr>
        <w:tabs>
          <w:tab w:val="left" w:pos="4536"/>
        </w:tabs>
        <w:suppressAutoHyphens/>
        <w:jc w:val="both"/>
        <w:rPr>
          <w:rFonts w:cs="Arial"/>
          <w:szCs w:val="20"/>
        </w:rPr>
      </w:pPr>
      <w:r w:rsidRPr="00EB0539">
        <w:rPr>
          <w:rFonts w:cs="Arial"/>
          <w:szCs w:val="20"/>
        </w:rPr>
        <w:t xml:space="preserve">Za financiranje NOO bo ustanovljen proračunski sklad, katerega skrbnik bo Ministrstvo za finance, ki bo odgovorno tudi za pregledno in transparentno poslovanje sklada. Posebni proračunski sklad NOO bo pripoznan v letnem zakonu o izvrševanju proračunov za čas izvajanja NOO. Sredstva, izplačana v </w:t>
      </w:r>
      <w:r w:rsidRPr="00EB0539">
        <w:rPr>
          <w:rFonts w:cs="Arial"/>
          <w:szCs w:val="20"/>
        </w:rPr>
        <w:lastRenderedPageBreak/>
        <w:t>proračunski sklad iz državnega proračuna, se po koncu ukrepa in likvidaciji proračunskega sklada vrnejo v proračun države kot izredni prihodek proračuna.</w:t>
      </w:r>
    </w:p>
    <w:p w14:paraId="4D24EBAD" w14:textId="77777777" w:rsidR="00F021A5" w:rsidRPr="00EB0539" w:rsidRDefault="00F021A5" w:rsidP="00F021A5">
      <w:pPr>
        <w:tabs>
          <w:tab w:val="left" w:pos="4536"/>
        </w:tabs>
        <w:suppressAutoHyphens/>
        <w:jc w:val="both"/>
        <w:rPr>
          <w:rFonts w:cs="Arial"/>
          <w:szCs w:val="20"/>
        </w:rPr>
      </w:pPr>
    </w:p>
    <w:p w14:paraId="1C722278" w14:textId="77777777" w:rsidR="00F021A5" w:rsidRDefault="00F021A5" w:rsidP="00F021A5">
      <w:pPr>
        <w:tabs>
          <w:tab w:val="left" w:pos="4536"/>
        </w:tabs>
        <w:suppressAutoHyphens/>
        <w:jc w:val="both"/>
        <w:rPr>
          <w:rFonts w:cs="Arial"/>
          <w:szCs w:val="20"/>
        </w:rPr>
      </w:pPr>
      <w:r w:rsidRPr="00EB0539">
        <w:rPr>
          <w:rFonts w:cs="Arial"/>
          <w:szCs w:val="20"/>
        </w:rPr>
        <w:t xml:space="preserve">Zaradi zagotavljanja transparentnosti delovanja proračunskih skladov, se bo oblikoval poseben pregled, ki bo omogočal spremljanje porabe proračunskih skladov. Zaradi izkazovanja prihodkov in odhodkov državnega proračuna po denarnem toku so namreč v </w:t>
      </w:r>
      <w:proofErr w:type="spellStart"/>
      <w:r w:rsidRPr="00EB0539">
        <w:rPr>
          <w:rFonts w:cs="Arial"/>
          <w:szCs w:val="20"/>
        </w:rPr>
        <w:t>t.i</w:t>
      </w:r>
      <w:proofErr w:type="spellEnd"/>
      <w:r w:rsidRPr="00EB0539">
        <w:rPr>
          <w:rFonts w:cs="Arial"/>
          <w:szCs w:val="20"/>
        </w:rPr>
        <w:t>. A bilanci državnega proračuna prikazani prihodki in odhodki le za del, ki se bo v posameznem letu izločil na proračunske sklade. Dejanske porabe in stanja sredstev proračunskih skladov brez posebnega prikaza ni možno spremljati oz. izkazovati.</w:t>
      </w:r>
    </w:p>
    <w:p w14:paraId="61A1082B" w14:textId="77777777" w:rsidR="00F021A5" w:rsidRPr="00EB0539" w:rsidRDefault="00F021A5" w:rsidP="00F021A5">
      <w:pPr>
        <w:tabs>
          <w:tab w:val="left" w:pos="4536"/>
        </w:tabs>
        <w:suppressAutoHyphens/>
        <w:jc w:val="both"/>
        <w:rPr>
          <w:rFonts w:cs="Arial"/>
          <w:szCs w:val="20"/>
        </w:rPr>
      </w:pPr>
    </w:p>
    <w:p w14:paraId="79C34AC2" w14:textId="77777777" w:rsidR="00F021A5" w:rsidRDefault="00F021A5" w:rsidP="00F021A5">
      <w:pPr>
        <w:jc w:val="both"/>
        <w:rPr>
          <w:b/>
          <w:bCs/>
        </w:rPr>
      </w:pPr>
    </w:p>
    <w:p w14:paraId="5417FF51" w14:textId="77777777" w:rsidR="00F021A5" w:rsidRPr="00EB0539" w:rsidRDefault="00F021A5" w:rsidP="00F021A5">
      <w:pPr>
        <w:numPr>
          <w:ilvl w:val="0"/>
          <w:numId w:val="39"/>
        </w:numPr>
        <w:jc w:val="both"/>
        <w:rPr>
          <w:b/>
          <w:bCs/>
        </w:rPr>
      </w:pPr>
      <w:r w:rsidRPr="00EB0539">
        <w:rPr>
          <w:b/>
          <w:bCs/>
        </w:rPr>
        <w:t>POLITIKA UPRAVLJANJA DOLGA DRŽAVNEGA PRORAČUNA</w:t>
      </w:r>
      <w:r w:rsidRPr="00EB0539">
        <w:rPr>
          <w:b/>
          <w:bCs/>
        </w:rPr>
        <w:tab/>
      </w:r>
    </w:p>
    <w:p w14:paraId="37AAB698" w14:textId="77777777" w:rsidR="00F021A5" w:rsidRPr="00EB0539" w:rsidRDefault="00F021A5" w:rsidP="00F021A5">
      <w:pPr>
        <w:jc w:val="both"/>
        <w:rPr>
          <w:b/>
          <w:bCs/>
        </w:rPr>
      </w:pPr>
    </w:p>
    <w:p w14:paraId="2B2BBBD6" w14:textId="77777777" w:rsidR="00F021A5" w:rsidRPr="00EB0539" w:rsidRDefault="00F021A5" w:rsidP="00F021A5">
      <w:pPr>
        <w:jc w:val="both"/>
        <w:rPr>
          <w:rFonts w:cs="Arial"/>
          <w:szCs w:val="20"/>
          <w:lang w:eastAsia="sl-SI"/>
        </w:rPr>
      </w:pPr>
      <w:r w:rsidRPr="00EB0539">
        <w:rPr>
          <w:rFonts w:cs="Arial"/>
          <w:szCs w:val="20"/>
          <w:lang w:eastAsia="sl-SI"/>
        </w:rPr>
        <w:t>Ključni strateški cilji upravljanja z državnim dolgom, ki se jim bo sledilo v proračunskih letih 2021-2022 na domačih evrskih dolžniških kapitalskih trgih, so naslednji:</w:t>
      </w:r>
    </w:p>
    <w:p w14:paraId="47D1D9AF" w14:textId="77777777" w:rsidR="00F021A5" w:rsidRPr="00EB0539" w:rsidRDefault="00F021A5" w:rsidP="00F021A5">
      <w:pPr>
        <w:pStyle w:val="Odstavekseznama"/>
        <w:numPr>
          <w:ilvl w:val="0"/>
          <w:numId w:val="40"/>
        </w:numPr>
        <w:suppressAutoHyphens w:val="0"/>
        <w:spacing w:after="0" w:line="260" w:lineRule="exact"/>
        <w:ind w:left="284" w:hanging="284"/>
        <w:contextualSpacing/>
        <w:jc w:val="both"/>
        <w:rPr>
          <w:rFonts w:ascii="Arial" w:hAnsi="Arial" w:cs="Arial"/>
          <w:sz w:val="20"/>
          <w:szCs w:val="20"/>
          <w:lang w:val="sl-SI" w:eastAsia="sl-SI"/>
        </w:rPr>
      </w:pPr>
      <w:r w:rsidRPr="00EB0539">
        <w:rPr>
          <w:rFonts w:ascii="Arial" w:hAnsi="Arial" w:cs="Arial"/>
          <w:sz w:val="20"/>
          <w:szCs w:val="20"/>
          <w:lang w:val="sl-SI" w:eastAsia="sl-SI"/>
        </w:rPr>
        <w:t xml:space="preserve">Nadaljnje zniževanje obrestnih izdatkov državnega proračuna preko tekočega refinanciranja dospelih dražjih obveznic v obstoječem okolju izrazito nižjih obrestnih mer in na osnovi izboljšane kreditne ocene RS: S&amp;P (AA-), </w:t>
      </w:r>
      <w:proofErr w:type="spellStart"/>
      <w:r w:rsidRPr="00EB0539">
        <w:rPr>
          <w:rFonts w:ascii="Arial" w:hAnsi="Arial" w:cs="Arial"/>
          <w:sz w:val="20"/>
          <w:szCs w:val="20"/>
          <w:lang w:val="sl-SI" w:eastAsia="sl-SI"/>
        </w:rPr>
        <w:t>Fitch</w:t>
      </w:r>
      <w:proofErr w:type="spellEnd"/>
      <w:r w:rsidRPr="00EB0539">
        <w:rPr>
          <w:rFonts w:ascii="Arial" w:hAnsi="Arial" w:cs="Arial"/>
          <w:sz w:val="20"/>
          <w:szCs w:val="20"/>
          <w:lang w:val="sl-SI" w:eastAsia="sl-SI"/>
        </w:rPr>
        <w:t xml:space="preserve"> (A), </w:t>
      </w:r>
      <w:proofErr w:type="spellStart"/>
      <w:r w:rsidRPr="00EB0539">
        <w:rPr>
          <w:rFonts w:ascii="Arial" w:hAnsi="Arial" w:cs="Arial"/>
          <w:sz w:val="20"/>
          <w:szCs w:val="20"/>
          <w:lang w:val="sl-SI" w:eastAsia="sl-SI"/>
        </w:rPr>
        <w:t>Moody's</w:t>
      </w:r>
      <w:proofErr w:type="spellEnd"/>
      <w:r w:rsidRPr="00EB0539">
        <w:rPr>
          <w:rFonts w:ascii="Arial" w:hAnsi="Arial" w:cs="Arial"/>
          <w:sz w:val="20"/>
          <w:szCs w:val="20"/>
          <w:lang w:val="sl-SI" w:eastAsia="sl-SI"/>
        </w:rPr>
        <w:t xml:space="preserve"> (A3) in DBRS (AH);</w:t>
      </w:r>
    </w:p>
    <w:p w14:paraId="5898D95A" w14:textId="77777777" w:rsidR="00F021A5" w:rsidRPr="00EB0539" w:rsidRDefault="00F021A5" w:rsidP="00F021A5">
      <w:pPr>
        <w:pStyle w:val="Odstavekseznama"/>
        <w:numPr>
          <w:ilvl w:val="0"/>
          <w:numId w:val="40"/>
        </w:numPr>
        <w:suppressAutoHyphens w:val="0"/>
        <w:spacing w:after="0" w:line="260" w:lineRule="exact"/>
        <w:ind w:left="284" w:hanging="284"/>
        <w:contextualSpacing/>
        <w:jc w:val="both"/>
        <w:rPr>
          <w:rFonts w:ascii="Arial" w:hAnsi="Arial" w:cs="Arial"/>
          <w:sz w:val="20"/>
          <w:szCs w:val="20"/>
          <w:lang w:val="sl-SI" w:eastAsia="sl-SI"/>
        </w:rPr>
      </w:pPr>
      <w:r w:rsidRPr="00EB0539">
        <w:rPr>
          <w:rFonts w:ascii="Arial" w:hAnsi="Arial" w:cs="Arial"/>
          <w:sz w:val="20"/>
          <w:szCs w:val="20"/>
          <w:lang w:val="sl-SI" w:eastAsia="sl-SI"/>
        </w:rPr>
        <w:t xml:space="preserve">Učinkovito upravljanje z </w:t>
      </w:r>
      <w:proofErr w:type="spellStart"/>
      <w:r w:rsidRPr="00EB0539">
        <w:rPr>
          <w:rFonts w:ascii="Arial" w:hAnsi="Arial" w:cs="Arial"/>
          <w:sz w:val="20"/>
          <w:szCs w:val="20"/>
          <w:lang w:val="sl-SI" w:eastAsia="sl-SI"/>
        </w:rPr>
        <w:t>ročnostnim</w:t>
      </w:r>
      <w:proofErr w:type="spellEnd"/>
      <w:r w:rsidRPr="00EB0539">
        <w:rPr>
          <w:rFonts w:ascii="Arial" w:hAnsi="Arial" w:cs="Arial"/>
          <w:sz w:val="20"/>
          <w:szCs w:val="20"/>
          <w:lang w:val="sl-SI" w:eastAsia="sl-SI"/>
        </w:rPr>
        <w:t xml:space="preserve"> profilom dolga z vidika razmerja med stroški financiranja in tveganjem refinanciranja dolga državnega proračuna;</w:t>
      </w:r>
    </w:p>
    <w:p w14:paraId="7AD7362C" w14:textId="77777777" w:rsidR="00F021A5" w:rsidRPr="00EB0539" w:rsidRDefault="00F021A5" w:rsidP="00F021A5">
      <w:pPr>
        <w:pStyle w:val="Odstavekseznama"/>
        <w:numPr>
          <w:ilvl w:val="0"/>
          <w:numId w:val="40"/>
        </w:numPr>
        <w:suppressAutoHyphens w:val="0"/>
        <w:spacing w:after="0" w:line="260" w:lineRule="exact"/>
        <w:ind w:left="284" w:hanging="284"/>
        <w:contextualSpacing/>
        <w:jc w:val="both"/>
        <w:rPr>
          <w:rFonts w:ascii="Arial" w:hAnsi="Arial" w:cs="Arial"/>
          <w:sz w:val="20"/>
          <w:szCs w:val="20"/>
          <w:lang w:val="sl-SI" w:eastAsia="sl-SI"/>
        </w:rPr>
      </w:pPr>
      <w:r w:rsidRPr="00EB0539">
        <w:rPr>
          <w:rFonts w:ascii="Arial" w:hAnsi="Arial" w:cs="Arial"/>
          <w:sz w:val="20"/>
          <w:szCs w:val="20"/>
          <w:lang w:val="sl-SI" w:eastAsia="sl-SI"/>
        </w:rPr>
        <w:t>Širitev in krepitev investicijskega zaledja, tako po tipu investitorja kot geografsko, kot tudi z dodatno diverzifikacijo instrumentov financiranja (ESG – zelena obveznica) in</w:t>
      </w:r>
    </w:p>
    <w:p w14:paraId="2D462614" w14:textId="77777777" w:rsidR="00F021A5" w:rsidRPr="00EB0539" w:rsidRDefault="00F021A5" w:rsidP="00F021A5">
      <w:pPr>
        <w:pStyle w:val="Odstavekseznama"/>
        <w:numPr>
          <w:ilvl w:val="0"/>
          <w:numId w:val="40"/>
        </w:numPr>
        <w:suppressAutoHyphens w:val="0"/>
        <w:spacing w:after="0" w:line="260" w:lineRule="exact"/>
        <w:ind w:left="284" w:hanging="284"/>
        <w:contextualSpacing/>
        <w:jc w:val="both"/>
        <w:rPr>
          <w:rFonts w:ascii="Arial" w:hAnsi="Arial" w:cs="Arial"/>
          <w:sz w:val="20"/>
          <w:szCs w:val="20"/>
          <w:lang w:val="sl-SI" w:eastAsia="sl-SI"/>
        </w:rPr>
      </w:pPr>
      <w:r w:rsidRPr="00EB0539">
        <w:rPr>
          <w:rFonts w:ascii="Arial" w:hAnsi="Arial" w:cs="Arial"/>
          <w:sz w:val="20"/>
          <w:szCs w:val="20"/>
          <w:lang w:val="sl-SI" w:eastAsia="sl-SI"/>
        </w:rPr>
        <w:t>Upravljanje z dolgom državnega proračuna znotraj ciljnih vrednosti dolga sektorja država.</w:t>
      </w:r>
    </w:p>
    <w:p w14:paraId="772F9CE9" w14:textId="77777777" w:rsidR="00F021A5" w:rsidRPr="00EB0539" w:rsidRDefault="00F021A5" w:rsidP="00F021A5">
      <w:pPr>
        <w:jc w:val="both"/>
        <w:rPr>
          <w:rFonts w:cs="Arial"/>
          <w:szCs w:val="20"/>
          <w:lang w:eastAsia="sl-SI"/>
        </w:rPr>
      </w:pPr>
    </w:p>
    <w:p w14:paraId="78A39A11" w14:textId="77777777" w:rsidR="00F021A5" w:rsidRPr="00EB0539" w:rsidRDefault="00F021A5" w:rsidP="00F021A5">
      <w:pPr>
        <w:jc w:val="both"/>
        <w:rPr>
          <w:rFonts w:cs="Arial"/>
          <w:szCs w:val="20"/>
          <w:lang w:eastAsia="sl-SI"/>
        </w:rPr>
      </w:pPr>
      <w:r w:rsidRPr="00EB0539">
        <w:rPr>
          <w:rFonts w:cs="Arial"/>
          <w:szCs w:val="20"/>
          <w:lang w:eastAsia="sl-SI"/>
        </w:rPr>
        <w:t xml:space="preserve">V letu 2021 je bilo zagotovljenega 3,8 milijarde EUR dolgoročnega financiranja državnega proračuna s tržno tehtano povprečno obrestno mero 0,00 % s povprečno preostalo ročnostjo do dospetja 19,4 leta. To je najnižja tehtana obrestna mera izdanega dolga do sedaj v posameznem fiskalnem letu. Spodnja slika prikazuje izvršeno zadolževanje v letu 2021 skozi optiko </w:t>
      </w:r>
      <w:proofErr w:type="spellStart"/>
      <w:r w:rsidRPr="00EB0539">
        <w:rPr>
          <w:rFonts w:cs="Arial"/>
          <w:szCs w:val="20"/>
          <w:lang w:eastAsia="sl-SI"/>
        </w:rPr>
        <w:t>ročnostnega</w:t>
      </w:r>
      <w:proofErr w:type="spellEnd"/>
      <w:r w:rsidRPr="00EB0539">
        <w:rPr>
          <w:rFonts w:cs="Arial"/>
          <w:szCs w:val="20"/>
          <w:lang w:eastAsia="sl-SI"/>
        </w:rPr>
        <w:t xml:space="preserve"> profila zapadlosti glavnic dolga državnega proračuna.</w:t>
      </w:r>
    </w:p>
    <w:p w14:paraId="375A6F18" w14:textId="77777777" w:rsidR="00F021A5" w:rsidRPr="00EB0539" w:rsidRDefault="00F021A5" w:rsidP="00F021A5">
      <w:pPr>
        <w:jc w:val="both"/>
        <w:rPr>
          <w:rFonts w:cs="Arial"/>
          <w:szCs w:val="20"/>
          <w:lang w:eastAsia="sl-SI"/>
        </w:rPr>
      </w:pPr>
    </w:p>
    <w:p w14:paraId="2364BB5F" w14:textId="7FF5B579" w:rsidR="00F021A5" w:rsidRPr="00EB0539" w:rsidRDefault="0018557E" w:rsidP="00F021A5">
      <w:pPr>
        <w:jc w:val="both"/>
        <w:rPr>
          <w:rFonts w:cs="Arial"/>
          <w:b/>
          <w:szCs w:val="20"/>
          <w:lang w:eastAsia="sl-SI"/>
        </w:rPr>
      </w:pPr>
      <w:r w:rsidRPr="00EB0539">
        <w:rPr>
          <w:noProof/>
        </w:rPr>
        <w:drawing>
          <wp:anchor distT="0" distB="0" distL="114300" distR="114300" simplePos="0" relativeHeight="251659264" behindDoc="0" locked="0" layoutInCell="1" allowOverlap="1" wp14:anchorId="78ABE35E" wp14:editId="4C608EB7">
            <wp:simplePos x="0" y="0"/>
            <wp:positionH relativeFrom="column">
              <wp:posOffset>-13970</wp:posOffset>
            </wp:positionH>
            <wp:positionV relativeFrom="paragraph">
              <wp:posOffset>195580</wp:posOffset>
            </wp:positionV>
            <wp:extent cx="5133975" cy="3175000"/>
            <wp:effectExtent l="0" t="0" r="0" b="6350"/>
            <wp:wrapTopAndBottom/>
            <wp:docPr id="4" name="Grafikon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F021A5" w:rsidRPr="00EB0539">
        <w:rPr>
          <w:rFonts w:cs="Arial"/>
          <w:b/>
          <w:szCs w:val="20"/>
          <w:lang w:eastAsia="sl-SI"/>
        </w:rPr>
        <w:t>Slika 5: Izvrševanje Programa financiranja glede na ročnost in instrument zadolžitve za leto 2021</w:t>
      </w:r>
    </w:p>
    <w:p w14:paraId="6A74E235" w14:textId="15372791" w:rsidR="00F021A5" w:rsidRPr="00EB0539" w:rsidRDefault="00F021A5" w:rsidP="00F021A5">
      <w:pPr>
        <w:jc w:val="both"/>
        <w:rPr>
          <w:rFonts w:cs="Arial"/>
          <w:szCs w:val="20"/>
        </w:rPr>
      </w:pPr>
    </w:p>
    <w:p w14:paraId="2116FC06" w14:textId="77777777" w:rsidR="00F021A5" w:rsidRPr="00EB0539" w:rsidRDefault="00F021A5" w:rsidP="00F021A5">
      <w:pPr>
        <w:jc w:val="both"/>
        <w:rPr>
          <w:rFonts w:cs="Arial"/>
          <w:sz w:val="16"/>
          <w:szCs w:val="16"/>
          <w:lang w:eastAsia="sl-SI"/>
        </w:rPr>
      </w:pPr>
      <w:r w:rsidRPr="00EB0539">
        <w:rPr>
          <w:rFonts w:cs="Arial"/>
          <w:sz w:val="16"/>
          <w:szCs w:val="16"/>
          <w:lang w:eastAsia="sl-SI"/>
        </w:rPr>
        <w:t>* Posebej označeni deli stolpcev označujejo novo izdan dolg v letu 2021.</w:t>
      </w:r>
    </w:p>
    <w:p w14:paraId="09CF33D2" w14:textId="77777777" w:rsidR="00F021A5" w:rsidRPr="00EB0539" w:rsidRDefault="00F021A5" w:rsidP="00F021A5">
      <w:pPr>
        <w:jc w:val="both"/>
        <w:rPr>
          <w:rFonts w:cs="Arial"/>
          <w:sz w:val="16"/>
          <w:szCs w:val="16"/>
          <w:lang w:eastAsia="sl-SI"/>
        </w:rPr>
      </w:pPr>
      <w:r w:rsidRPr="00EB0539">
        <w:rPr>
          <w:rFonts w:cs="Arial"/>
          <w:sz w:val="16"/>
          <w:szCs w:val="16"/>
          <w:lang w:eastAsia="sl-SI"/>
        </w:rPr>
        <w:t>Vir: Ministrstvo za finance, 6. 5. 2021</w:t>
      </w:r>
    </w:p>
    <w:p w14:paraId="6D03B742" w14:textId="77777777" w:rsidR="00F021A5" w:rsidRPr="00EB0539" w:rsidRDefault="00F021A5" w:rsidP="00F021A5">
      <w:pPr>
        <w:jc w:val="both"/>
        <w:rPr>
          <w:rFonts w:cs="Arial"/>
          <w:szCs w:val="20"/>
          <w:lang w:eastAsia="sl-SI"/>
        </w:rPr>
      </w:pPr>
    </w:p>
    <w:p w14:paraId="429A531E" w14:textId="77777777" w:rsidR="00F021A5" w:rsidRPr="00EB0539" w:rsidRDefault="00F021A5" w:rsidP="00F021A5">
      <w:pPr>
        <w:jc w:val="both"/>
        <w:rPr>
          <w:rFonts w:cs="Arial"/>
          <w:szCs w:val="20"/>
          <w:lang w:eastAsia="sl-SI"/>
        </w:rPr>
      </w:pPr>
      <w:r w:rsidRPr="00EB0539">
        <w:rPr>
          <w:rFonts w:cs="Arial"/>
          <w:szCs w:val="20"/>
          <w:lang w:eastAsia="sl-SI"/>
        </w:rPr>
        <w:lastRenderedPageBreak/>
        <w:t xml:space="preserve">Obrestni izdatki za servisiranje dolga državnega proračuna so v letu 2020 znašali 772 milijonov evrov (1,7 % BDP), kar je za več kot 300 milijonov evrov nižje v primerjavi  z letom 2014, ko so ti znašali 1,083 milijarde evrov (2,9 % BDP). Pomemben del tega zmanjšanja obrestnih izdatkov predstavlja upravljanje z dolgom državnega proračuna kot tudi ugodno zadolževanje za refinanciranja zapadlega dolga in izvrševanje financiranja državnega proračuna v okolju nizkih obrestnih mer na evrskih dolžniških kapitalskih trgih. Obrestni izdatki za servisiranje dolga državnega proračuna so v letu 2021 ocenjeni v višini 756 milijonov evrov (1,6 % BDP) in v letu 2022 v višini 683 milijonov evrov (1,3 % BDP). </w:t>
      </w:r>
    </w:p>
    <w:p w14:paraId="35736E5B" w14:textId="77777777" w:rsidR="00F021A5" w:rsidRPr="00EB0539" w:rsidRDefault="00F021A5" w:rsidP="00F021A5">
      <w:pPr>
        <w:jc w:val="both"/>
        <w:rPr>
          <w:rFonts w:cs="Arial"/>
          <w:b/>
          <w:szCs w:val="20"/>
          <w:lang w:eastAsia="sl-SI"/>
        </w:rPr>
      </w:pPr>
    </w:p>
    <w:p w14:paraId="285D6556" w14:textId="77777777" w:rsidR="00F021A5" w:rsidRPr="00EB0539" w:rsidRDefault="00F021A5" w:rsidP="00F021A5">
      <w:pPr>
        <w:jc w:val="both"/>
        <w:rPr>
          <w:rFonts w:cs="Arial"/>
          <w:b/>
          <w:szCs w:val="20"/>
          <w:lang w:eastAsia="sl-SI"/>
        </w:rPr>
      </w:pPr>
      <w:r w:rsidRPr="00EB0539">
        <w:rPr>
          <w:rFonts w:cs="Arial"/>
          <w:b/>
          <w:szCs w:val="20"/>
          <w:lang w:eastAsia="sl-SI"/>
        </w:rPr>
        <w:t>Slika 6: Obrestni izdatki državnega proračuna nominalno in izraženo v % BDP</w:t>
      </w:r>
    </w:p>
    <w:p w14:paraId="22056AA3" w14:textId="1146F361" w:rsidR="00F021A5" w:rsidRDefault="00F021A5" w:rsidP="00F021A5">
      <w:pPr>
        <w:jc w:val="both"/>
        <w:rPr>
          <w:rFonts w:cs="Arial"/>
          <w:szCs w:val="20"/>
          <w:lang w:eastAsia="sl-SI"/>
        </w:rPr>
      </w:pPr>
      <w:r w:rsidRPr="00EB0539">
        <w:rPr>
          <w:rFonts w:cs="Arial"/>
          <w:noProof/>
          <w:szCs w:val="20"/>
          <w:lang w:eastAsia="sl-SI"/>
        </w:rPr>
        <w:drawing>
          <wp:anchor distT="0" distB="0" distL="114300" distR="114300" simplePos="0" relativeHeight="251662336" behindDoc="0" locked="0" layoutInCell="1" allowOverlap="1" wp14:anchorId="753E7E10" wp14:editId="132F1BB7">
            <wp:simplePos x="0" y="0"/>
            <wp:positionH relativeFrom="column">
              <wp:posOffset>-38100</wp:posOffset>
            </wp:positionH>
            <wp:positionV relativeFrom="paragraph">
              <wp:posOffset>86360</wp:posOffset>
            </wp:positionV>
            <wp:extent cx="5395595" cy="2932430"/>
            <wp:effectExtent l="0" t="0" r="0" b="127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5595" cy="2932430"/>
                    </a:xfrm>
                    <a:prstGeom prst="rect">
                      <a:avLst/>
                    </a:prstGeom>
                    <a:noFill/>
                  </pic:spPr>
                </pic:pic>
              </a:graphicData>
            </a:graphic>
            <wp14:sizeRelH relativeFrom="page">
              <wp14:pctWidth>0</wp14:pctWidth>
            </wp14:sizeRelH>
            <wp14:sizeRelV relativeFrom="page">
              <wp14:pctHeight>0</wp14:pctHeight>
            </wp14:sizeRelV>
          </wp:anchor>
        </w:drawing>
      </w:r>
    </w:p>
    <w:p w14:paraId="44D8B340" w14:textId="77777777" w:rsidR="00F021A5" w:rsidRPr="008E6C23" w:rsidRDefault="00F021A5" w:rsidP="00F021A5">
      <w:pPr>
        <w:jc w:val="both"/>
        <w:rPr>
          <w:rFonts w:cs="Arial"/>
          <w:szCs w:val="20"/>
          <w:lang w:eastAsia="sl-SI"/>
        </w:rPr>
      </w:pPr>
      <w:r w:rsidRPr="00EB0539">
        <w:rPr>
          <w:rFonts w:cs="Arial"/>
          <w:sz w:val="16"/>
          <w:szCs w:val="16"/>
          <w:lang w:eastAsia="sl-SI"/>
        </w:rPr>
        <w:t>Vir: Ministrstvo za finance, 6. 5. 2021</w:t>
      </w:r>
    </w:p>
    <w:p w14:paraId="48617564" w14:textId="77777777" w:rsidR="00F021A5" w:rsidRPr="00EB0539" w:rsidRDefault="00F021A5" w:rsidP="00F021A5">
      <w:pPr>
        <w:jc w:val="both"/>
        <w:rPr>
          <w:rFonts w:cs="Arial"/>
          <w:szCs w:val="20"/>
          <w:lang w:eastAsia="sl-SI"/>
        </w:rPr>
      </w:pPr>
    </w:p>
    <w:p w14:paraId="5DE160AE" w14:textId="77777777" w:rsidR="00F021A5" w:rsidRPr="00EB0539" w:rsidRDefault="00F021A5" w:rsidP="00F021A5">
      <w:pPr>
        <w:jc w:val="both"/>
        <w:rPr>
          <w:rFonts w:cs="Arial"/>
          <w:szCs w:val="20"/>
          <w:lang w:eastAsia="sl-SI"/>
        </w:rPr>
      </w:pPr>
      <w:r w:rsidRPr="00EB0539">
        <w:rPr>
          <w:rFonts w:cs="Arial"/>
          <w:szCs w:val="20"/>
          <w:lang w:eastAsia="sl-SI"/>
        </w:rPr>
        <w:t>Pri upravljanju z dolgom državnega proračuna se upošteva, da 13 % celotnega dolga državnega proračuna zapade v dveh letih (2021-2022) in 32 % v letih (2021-2025). So posamična proračunska leta, kjer je zapadlost glavnic relativno večja (kot je to bilo v prvi polovici leta 2021 3,4 milijard EUR). V letu 2022 v odplačilo zapade 1,5 milijard EUR dolga. Z vzdrževanjem ustrezne likvidnostne rezerve državnega proračuna in aktivnim upravljanjem z dolgom državnega proračuna se na najbolj učinkovit način upravlja izpostavljenost tveganju refinanciranja. Namen takšnega pristopa je pridobiti na fleksibilnosti pri časovnem načrtovanju izdaj obveznic še posebej z vidika zniževanja izpostavljenosti tveganju zadolževanja v tržno neugodnih razmerah.</w:t>
      </w:r>
    </w:p>
    <w:p w14:paraId="2A46EDDF" w14:textId="77777777" w:rsidR="00F021A5" w:rsidRPr="00EB0539" w:rsidRDefault="00F021A5" w:rsidP="00F021A5">
      <w:pPr>
        <w:jc w:val="both"/>
        <w:rPr>
          <w:rFonts w:cs="Arial"/>
          <w:szCs w:val="20"/>
          <w:lang w:eastAsia="sl-SI"/>
        </w:rPr>
      </w:pPr>
    </w:p>
    <w:p w14:paraId="7E2044BF" w14:textId="77777777" w:rsidR="00F021A5" w:rsidRPr="00EB0539" w:rsidRDefault="00F021A5" w:rsidP="00F021A5">
      <w:pPr>
        <w:jc w:val="both"/>
        <w:rPr>
          <w:rFonts w:cs="Arial"/>
          <w:szCs w:val="20"/>
          <w:lang w:eastAsia="sl-SI"/>
        </w:rPr>
      </w:pPr>
      <w:r w:rsidRPr="00EB0539">
        <w:rPr>
          <w:rFonts w:cs="Arial"/>
          <w:szCs w:val="20"/>
          <w:lang w:eastAsia="sl-SI"/>
        </w:rPr>
        <w:t xml:space="preserve">Z vidika pripravljenosti na upravljanje z dolgom državnega proračuna se redno izračunavajo učinki potencialnega predčasnega refinanciranja relativno dražjega dolga s cenejšim. Predpogoj za izvedbo transakcij upravljanja z dolgom je nenegativna neto sedanja vrednost takšne transakcije. V naslednjih proračunskih letih zapadajo obveznice, ki jih je Republika Slovenija izdala v preteklosti in imajo glede na trenutne tržne razmere nekaj odstotnih točk višje kuponske obrestne mere in posledično kotirajo nad par z visoko premijo. Transakcije upravljanja z dolgom so zato odvisne od vsakokratnih tržnih razmer in predvsem interesa imetnikov obveznic, saj Republika Slovenija obveznice odkupuje na sekundarnem trgu. Imetniki se v okolju nizkih donosov soočajo z izzivom </w:t>
      </w:r>
      <w:proofErr w:type="spellStart"/>
      <w:r w:rsidRPr="00EB0539">
        <w:rPr>
          <w:rFonts w:cs="Arial"/>
          <w:szCs w:val="20"/>
          <w:lang w:eastAsia="sl-SI"/>
        </w:rPr>
        <w:t>reinvestiranja</w:t>
      </w:r>
      <w:proofErr w:type="spellEnd"/>
      <w:r w:rsidRPr="00EB0539">
        <w:rPr>
          <w:rFonts w:cs="Arial"/>
          <w:szCs w:val="20"/>
          <w:lang w:eastAsia="sl-SI"/>
        </w:rPr>
        <w:t>, kar se praviloma odraža na avkciji tako, da raje ponudijo manjše zneske in zahtevajo višjo premijo. Za Republiko Slovenijo pa so sprejemljive le tiste ponudbe imetnikov, ki prinašajo nenegativno neto sedanjo vrednost in s tem ugodne učinke za državni proračun.</w:t>
      </w:r>
    </w:p>
    <w:p w14:paraId="36FA5131" w14:textId="77777777" w:rsidR="00F021A5" w:rsidRPr="00EB0539" w:rsidRDefault="00F021A5" w:rsidP="00F021A5">
      <w:pPr>
        <w:jc w:val="both"/>
        <w:rPr>
          <w:rFonts w:cs="Arial"/>
          <w:szCs w:val="20"/>
          <w:lang w:eastAsia="sl-SI"/>
        </w:rPr>
      </w:pPr>
    </w:p>
    <w:p w14:paraId="3C099DBE" w14:textId="270E1809" w:rsidR="00F021A5" w:rsidRDefault="00F021A5" w:rsidP="00F021A5">
      <w:pPr>
        <w:jc w:val="both"/>
        <w:rPr>
          <w:rFonts w:cs="Arial"/>
          <w:szCs w:val="20"/>
          <w:lang w:eastAsia="sl-SI"/>
        </w:rPr>
      </w:pPr>
      <w:r w:rsidRPr="00EB0539">
        <w:rPr>
          <w:rFonts w:cs="Arial"/>
          <w:szCs w:val="20"/>
          <w:lang w:eastAsia="sl-SI"/>
        </w:rPr>
        <w:t xml:space="preserve">Negotovost povezana z izvrševanjem državnega proračuna, kot tudi z razvojem epidemiološke situacije in v tej zvezi dosežene stopnje </w:t>
      </w:r>
      <w:proofErr w:type="spellStart"/>
      <w:r w:rsidRPr="00EB0539">
        <w:rPr>
          <w:rFonts w:cs="Arial"/>
          <w:szCs w:val="20"/>
          <w:lang w:eastAsia="sl-SI"/>
        </w:rPr>
        <w:t>precepljenosti</w:t>
      </w:r>
      <w:proofErr w:type="spellEnd"/>
      <w:r w:rsidRPr="00EB0539">
        <w:rPr>
          <w:rFonts w:cs="Arial"/>
          <w:szCs w:val="20"/>
          <w:lang w:eastAsia="sl-SI"/>
        </w:rPr>
        <w:t xml:space="preserve"> prebivalstva v evropskem okolju in v Republiki Sloveniji, </w:t>
      </w:r>
      <w:r w:rsidRPr="00EB0539">
        <w:rPr>
          <w:rFonts w:cs="Arial"/>
          <w:szCs w:val="20"/>
          <w:lang w:eastAsia="sl-SI"/>
        </w:rPr>
        <w:lastRenderedPageBreak/>
        <w:t>je razmeroma visoka. Preudaren pristop k izvrševanju zadolževanja državnega proračuna je konservativen s stabilizacijskim učinkom, s poudarkom na sprejemanju odločitev v luči varnosti in likvidnosti.</w:t>
      </w:r>
    </w:p>
    <w:p w14:paraId="62BCEBC8" w14:textId="77777777" w:rsidR="00566D76" w:rsidRPr="00EB0539" w:rsidRDefault="00566D76" w:rsidP="00F021A5">
      <w:pPr>
        <w:jc w:val="both"/>
        <w:rPr>
          <w:rFonts w:cs="Arial"/>
          <w:szCs w:val="20"/>
          <w:lang w:eastAsia="sl-SI"/>
        </w:rPr>
      </w:pPr>
    </w:p>
    <w:p w14:paraId="57F54CCD" w14:textId="77777777" w:rsidR="00F021A5" w:rsidRPr="00EB0539" w:rsidRDefault="00F021A5" w:rsidP="00F021A5">
      <w:pPr>
        <w:jc w:val="both"/>
        <w:rPr>
          <w:rFonts w:cs="Arial"/>
          <w:szCs w:val="20"/>
          <w:lang w:eastAsia="sl-SI"/>
        </w:rPr>
      </w:pPr>
      <w:r w:rsidRPr="00EB0539">
        <w:rPr>
          <w:rFonts w:cs="Arial"/>
          <w:szCs w:val="20"/>
          <w:lang w:eastAsia="sl-SI"/>
        </w:rPr>
        <w:t>Dolg državnega proračuna v deležu dolga sektor država predstavlja 94 %. Spodnja slika prikazuje gibanje dolga sektorja država v razmerju do BDP od leta 2015 v primerjavi s povprečjem evro območja. Vlada RS je v januarju leta 2021 sprejela srednjeročno Strategijo upravljanja z javnim dolgom 2020-2023 in v aprilu 2021 Program stabilnosti 2021-2024, ki določata ciljne vrednost dolga sektor država za srednjeročno obdobje. Ministrstvo za finance načrtuje, da se bo do konca leta 2022 dolg sektor država v razmerju do BDP znižal na 79,6 % BDP, na podlagi postopnega zniževanja denarnih rezerv državnega proračuna in nominalne rasti BDP.</w:t>
      </w:r>
    </w:p>
    <w:p w14:paraId="789038F3" w14:textId="77777777" w:rsidR="00F021A5" w:rsidRPr="00EB0539" w:rsidRDefault="00F021A5" w:rsidP="00F021A5">
      <w:pPr>
        <w:keepNext/>
        <w:jc w:val="both"/>
        <w:rPr>
          <w:rFonts w:cs="Arial"/>
          <w:b/>
          <w:szCs w:val="20"/>
          <w:lang w:eastAsia="sl-SI"/>
        </w:rPr>
      </w:pPr>
    </w:p>
    <w:p w14:paraId="4FE5B25F" w14:textId="77777777" w:rsidR="00F021A5" w:rsidRPr="00EB0539" w:rsidRDefault="00F021A5" w:rsidP="00F021A5">
      <w:pPr>
        <w:keepNext/>
        <w:jc w:val="both"/>
        <w:rPr>
          <w:rFonts w:cs="Arial"/>
          <w:b/>
          <w:szCs w:val="20"/>
          <w:lang w:eastAsia="sl-SI"/>
        </w:rPr>
      </w:pPr>
      <w:r w:rsidRPr="00EB0539">
        <w:rPr>
          <w:rFonts w:cs="Arial"/>
          <w:b/>
          <w:szCs w:val="20"/>
          <w:lang w:eastAsia="sl-SI"/>
        </w:rPr>
        <w:t>Slika7 : Dolg sektor država v primerjavi s povprečjem evro območja (v % BDP)</w:t>
      </w:r>
    </w:p>
    <w:p w14:paraId="39F8B629" w14:textId="77777777" w:rsidR="00F021A5" w:rsidRPr="00EB0539" w:rsidRDefault="00F021A5" w:rsidP="00F021A5">
      <w:pPr>
        <w:jc w:val="both"/>
        <w:rPr>
          <w:rFonts w:cs="Arial"/>
          <w:szCs w:val="20"/>
          <w:lang w:eastAsia="sl-SI"/>
        </w:rPr>
      </w:pPr>
    </w:p>
    <w:p w14:paraId="15711FF5" w14:textId="77777777" w:rsidR="00F021A5" w:rsidRPr="00EB0539" w:rsidRDefault="00F021A5" w:rsidP="00F021A5">
      <w:pPr>
        <w:jc w:val="both"/>
        <w:rPr>
          <w:rFonts w:cs="Arial"/>
          <w:szCs w:val="20"/>
          <w:lang w:eastAsia="sl-SI"/>
        </w:rPr>
      </w:pPr>
    </w:p>
    <w:p w14:paraId="2FE3C469" w14:textId="77777777" w:rsidR="00F021A5" w:rsidRPr="00EB0539" w:rsidRDefault="00F021A5" w:rsidP="00F021A5">
      <w:pPr>
        <w:jc w:val="both"/>
        <w:rPr>
          <w:rFonts w:cs="Arial"/>
          <w:szCs w:val="20"/>
          <w:lang w:eastAsia="sl-SI"/>
        </w:rPr>
      </w:pPr>
    </w:p>
    <w:p w14:paraId="4FF2B1C8" w14:textId="77777777" w:rsidR="00F021A5" w:rsidRPr="00EB0539" w:rsidRDefault="00F021A5" w:rsidP="00F021A5">
      <w:pPr>
        <w:jc w:val="both"/>
        <w:rPr>
          <w:rFonts w:cs="Arial"/>
          <w:szCs w:val="20"/>
          <w:lang w:eastAsia="sl-SI"/>
        </w:rPr>
      </w:pPr>
    </w:p>
    <w:p w14:paraId="2C9B23FE" w14:textId="77777777" w:rsidR="00F021A5" w:rsidRPr="00EB0539" w:rsidRDefault="00F021A5" w:rsidP="00F021A5">
      <w:pPr>
        <w:jc w:val="both"/>
        <w:rPr>
          <w:rFonts w:cs="Arial"/>
          <w:szCs w:val="20"/>
          <w:lang w:eastAsia="sl-SI"/>
        </w:rPr>
      </w:pPr>
    </w:p>
    <w:p w14:paraId="56C0950C" w14:textId="77777777" w:rsidR="00F021A5" w:rsidRPr="00EB0539" w:rsidRDefault="00F021A5" w:rsidP="00F021A5">
      <w:pPr>
        <w:jc w:val="both"/>
        <w:rPr>
          <w:rFonts w:cs="Arial"/>
          <w:szCs w:val="20"/>
          <w:lang w:eastAsia="sl-SI"/>
        </w:rPr>
      </w:pPr>
    </w:p>
    <w:p w14:paraId="3522DC08" w14:textId="77777777" w:rsidR="00F021A5" w:rsidRPr="00EB0539" w:rsidRDefault="00F021A5" w:rsidP="00F021A5">
      <w:pPr>
        <w:jc w:val="both"/>
        <w:rPr>
          <w:rFonts w:cs="Arial"/>
          <w:szCs w:val="20"/>
          <w:lang w:eastAsia="sl-SI"/>
        </w:rPr>
      </w:pPr>
    </w:p>
    <w:p w14:paraId="155FDD40" w14:textId="77777777" w:rsidR="00F021A5" w:rsidRPr="00EB0539" w:rsidRDefault="00F021A5" w:rsidP="00F021A5">
      <w:pPr>
        <w:jc w:val="both"/>
        <w:rPr>
          <w:rFonts w:cs="Arial"/>
          <w:szCs w:val="20"/>
          <w:lang w:eastAsia="sl-SI"/>
        </w:rPr>
      </w:pPr>
    </w:p>
    <w:p w14:paraId="19B79886" w14:textId="77777777" w:rsidR="00F021A5" w:rsidRPr="00EB0539" w:rsidRDefault="00F021A5" w:rsidP="00F021A5">
      <w:pPr>
        <w:jc w:val="both"/>
        <w:rPr>
          <w:rFonts w:cs="Arial"/>
          <w:szCs w:val="20"/>
          <w:lang w:eastAsia="sl-SI"/>
        </w:rPr>
      </w:pPr>
    </w:p>
    <w:p w14:paraId="33630FF7" w14:textId="77777777" w:rsidR="00F021A5" w:rsidRPr="00EB0539" w:rsidRDefault="00F021A5" w:rsidP="00F021A5">
      <w:pPr>
        <w:jc w:val="both"/>
        <w:rPr>
          <w:rFonts w:cs="Arial"/>
          <w:szCs w:val="20"/>
          <w:lang w:eastAsia="sl-SI"/>
        </w:rPr>
      </w:pPr>
    </w:p>
    <w:p w14:paraId="7A6854E9" w14:textId="77777777" w:rsidR="00F021A5" w:rsidRPr="00EB0539" w:rsidRDefault="00F021A5" w:rsidP="00F021A5">
      <w:pPr>
        <w:jc w:val="both"/>
        <w:rPr>
          <w:rFonts w:cs="Arial"/>
          <w:szCs w:val="20"/>
          <w:lang w:eastAsia="sl-SI"/>
        </w:rPr>
      </w:pPr>
    </w:p>
    <w:p w14:paraId="0F8E7B37" w14:textId="77777777" w:rsidR="00F021A5" w:rsidRPr="00EB0539" w:rsidRDefault="00F021A5" w:rsidP="00F021A5">
      <w:pPr>
        <w:jc w:val="both"/>
        <w:rPr>
          <w:rFonts w:cs="Arial"/>
          <w:szCs w:val="20"/>
          <w:lang w:eastAsia="sl-SI"/>
        </w:rPr>
      </w:pPr>
    </w:p>
    <w:p w14:paraId="6819972A" w14:textId="77777777" w:rsidR="00F021A5" w:rsidRPr="00EB0539" w:rsidRDefault="00F021A5" w:rsidP="00F021A5">
      <w:pPr>
        <w:jc w:val="both"/>
        <w:rPr>
          <w:rFonts w:cs="Arial"/>
          <w:szCs w:val="20"/>
          <w:lang w:eastAsia="sl-SI"/>
        </w:rPr>
      </w:pPr>
    </w:p>
    <w:p w14:paraId="38C90A37" w14:textId="77777777" w:rsidR="00F021A5" w:rsidRPr="00EB0539" w:rsidRDefault="00F021A5" w:rsidP="00F021A5">
      <w:pPr>
        <w:jc w:val="both"/>
        <w:rPr>
          <w:rFonts w:cs="Arial"/>
          <w:szCs w:val="20"/>
          <w:lang w:eastAsia="sl-SI"/>
        </w:rPr>
      </w:pPr>
    </w:p>
    <w:p w14:paraId="13999F4C" w14:textId="77777777" w:rsidR="00F021A5" w:rsidRPr="00EB0539" w:rsidRDefault="00F021A5" w:rsidP="00F021A5">
      <w:pPr>
        <w:jc w:val="both"/>
        <w:rPr>
          <w:rFonts w:cs="Arial"/>
          <w:szCs w:val="20"/>
          <w:lang w:eastAsia="sl-SI"/>
        </w:rPr>
      </w:pPr>
    </w:p>
    <w:p w14:paraId="0780ECBF" w14:textId="6C3D9290" w:rsidR="00F021A5" w:rsidRPr="00EB0539" w:rsidRDefault="00F021A5" w:rsidP="00F021A5">
      <w:pPr>
        <w:jc w:val="both"/>
        <w:rPr>
          <w:rFonts w:cs="Arial"/>
          <w:szCs w:val="20"/>
          <w:lang w:eastAsia="sl-SI"/>
        </w:rPr>
      </w:pPr>
      <w:r w:rsidRPr="00EB0539">
        <w:rPr>
          <w:rFonts w:cs="Arial"/>
          <w:noProof/>
          <w:szCs w:val="20"/>
          <w:lang w:eastAsia="sl-SI"/>
        </w:rPr>
        <w:drawing>
          <wp:anchor distT="0" distB="0" distL="114300" distR="114300" simplePos="0" relativeHeight="251664384" behindDoc="0" locked="0" layoutInCell="1" allowOverlap="1" wp14:anchorId="797721D2" wp14:editId="267BEFCF">
            <wp:simplePos x="0" y="0"/>
            <wp:positionH relativeFrom="column">
              <wp:posOffset>-4445</wp:posOffset>
            </wp:positionH>
            <wp:positionV relativeFrom="paragraph">
              <wp:posOffset>-2192020</wp:posOffset>
            </wp:positionV>
            <wp:extent cx="4994275" cy="232854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4275" cy="2328545"/>
                    </a:xfrm>
                    <a:prstGeom prst="rect">
                      <a:avLst/>
                    </a:prstGeom>
                    <a:noFill/>
                  </pic:spPr>
                </pic:pic>
              </a:graphicData>
            </a:graphic>
          </wp:anchor>
        </w:drawing>
      </w:r>
    </w:p>
    <w:p w14:paraId="236EB0AC" w14:textId="77777777" w:rsidR="00F021A5" w:rsidRPr="00EB0539" w:rsidRDefault="00F021A5" w:rsidP="00F021A5">
      <w:pPr>
        <w:jc w:val="both"/>
        <w:rPr>
          <w:rFonts w:cs="Arial"/>
          <w:szCs w:val="20"/>
          <w:lang w:eastAsia="sl-SI"/>
        </w:rPr>
      </w:pPr>
    </w:p>
    <w:p w14:paraId="687C6F47" w14:textId="77777777" w:rsidR="00F021A5" w:rsidRPr="00EB0539" w:rsidRDefault="00F021A5" w:rsidP="00F021A5">
      <w:pPr>
        <w:jc w:val="both"/>
        <w:rPr>
          <w:rFonts w:cs="Arial"/>
          <w:sz w:val="16"/>
          <w:szCs w:val="16"/>
          <w:lang w:eastAsia="sl-SI"/>
        </w:rPr>
      </w:pPr>
      <w:r w:rsidRPr="00EB0539">
        <w:rPr>
          <w:rFonts w:cs="Arial"/>
          <w:sz w:val="16"/>
          <w:szCs w:val="16"/>
          <w:lang w:eastAsia="sl-SI"/>
        </w:rPr>
        <w:t xml:space="preserve">Vir: Eurostat, razpoložljive ocene za EA-19 EK </w:t>
      </w:r>
      <w:proofErr w:type="spellStart"/>
      <w:r w:rsidRPr="00EB0539">
        <w:rPr>
          <w:rFonts w:cs="Arial"/>
          <w:sz w:val="16"/>
          <w:szCs w:val="16"/>
          <w:lang w:eastAsia="sl-SI"/>
        </w:rPr>
        <w:t>Ameco</w:t>
      </w:r>
      <w:proofErr w:type="spellEnd"/>
      <w:r w:rsidRPr="00EB0539">
        <w:rPr>
          <w:rFonts w:cs="Arial"/>
          <w:sz w:val="16"/>
          <w:szCs w:val="16"/>
          <w:lang w:eastAsia="sl-SI"/>
        </w:rPr>
        <w:t xml:space="preserve"> baza, Ministrstvo za finance za SI, 6. 5. 2021</w:t>
      </w:r>
    </w:p>
    <w:p w14:paraId="08C5EADC" w14:textId="77777777" w:rsidR="00F021A5" w:rsidRPr="00EB0539" w:rsidRDefault="00F021A5" w:rsidP="00F021A5">
      <w:pPr>
        <w:jc w:val="both"/>
        <w:rPr>
          <w:rFonts w:cs="Arial"/>
          <w:szCs w:val="20"/>
        </w:rPr>
      </w:pPr>
    </w:p>
    <w:p w14:paraId="2BCFBB43" w14:textId="77777777" w:rsidR="00F021A5" w:rsidRPr="00EB0539" w:rsidRDefault="00F021A5" w:rsidP="00F021A5">
      <w:pPr>
        <w:jc w:val="both"/>
      </w:pPr>
    </w:p>
    <w:p w14:paraId="5B4FBBCD" w14:textId="77777777" w:rsidR="00F021A5" w:rsidRPr="00EB0539" w:rsidRDefault="00F021A5" w:rsidP="00F021A5">
      <w:pPr>
        <w:jc w:val="both"/>
        <w:rPr>
          <w:rFonts w:ascii="Calibri" w:hAnsi="Calibri" w:cs="Calibri"/>
          <w:color w:val="1F497D"/>
        </w:rPr>
      </w:pPr>
    </w:p>
    <w:p w14:paraId="1CE485BC" w14:textId="77777777" w:rsidR="00F021A5" w:rsidRPr="00EB0539" w:rsidRDefault="00F021A5" w:rsidP="00F021A5">
      <w:pPr>
        <w:tabs>
          <w:tab w:val="left" w:pos="4536"/>
        </w:tabs>
        <w:suppressAutoHyphens/>
        <w:spacing w:line="240" w:lineRule="auto"/>
        <w:jc w:val="both"/>
        <w:rPr>
          <w:rFonts w:cs="Arial"/>
          <w:b/>
          <w:color w:val="000000"/>
          <w:szCs w:val="20"/>
        </w:rPr>
      </w:pPr>
    </w:p>
    <w:p w14:paraId="26557278" w14:textId="77777777" w:rsidR="00215161" w:rsidRDefault="00215161"/>
    <w:sectPr w:rsidR="0021516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95BC4" w14:textId="77777777" w:rsidR="0089693F" w:rsidRDefault="0089693F" w:rsidP="0018557E">
      <w:pPr>
        <w:spacing w:line="240" w:lineRule="auto"/>
      </w:pPr>
      <w:r>
        <w:separator/>
      </w:r>
    </w:p>
  </w:endnote>
  <w:endnote w:type="continuationSeparator" w:id="0">
    <w:p w14:paraId="4D7631D4" w14:textId="77777777" w:rsidR="0089693F" w:rsidRDefault="0089693F" w:rsidP="00185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4">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948529"/>
      <w:docPartObj>
        <w:docPartGallery w:val="Page Numbers (Bottom of Page)"/>
        <w:docPartUnique/>
      </w:docPartObj>
    </w:sdtPr>
    <w:sdtEndPr/>
    <w:sdtContent>
      <w:p w14:paraId="22E581B5" w14:textId="7BEEE3D2" w:rsidR="0018557E" w:rsidRDefault="0018557E">
        <w:pPr>
          <w:pStyle w:val="Noga"/>
          <w:jc w:val="center"/>
        </w:pPr>
        <w:r>
          <w:fldChar w:fldCharType="begin"/>
        </w:r>
        <w:r>
          <w:instrText>PAGE   \* MERGEFORMAT</w:instrText>
        </w:r>
        <w:r>
          <w:fldChar w:fldCharType="separate"/>
        </w:r>
        <w:r>
          <w:t>2</w:t>
        </w:r>
        <w:r>
          <w:fldChar w:fldCharType="end"/>
        </w:r>
      </w:p>
    </w:sdtContent>
  </w:sdt>
  <w:p w14:paraId="7C638DE1" w14:textId="77777777" w:rsidR="0018557E" w:rsidRDefault="001855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0C58E" w14:textId="77777777" w:rsidR="0089693F" w:rsidRDefault="0089693F" w:rsidP="0018557E">
      <w:pPr>
        <w:spacing w:line="240" w:lineRule="auto"/>
      </w:pPr>
      <w:r>
        <w:separator/>
      </w:r>
    </w:p>
  </w:footnote>
  <w:footnote w:type="continuationSeparator" w:id="0">
    <w:p w14:paraId="4A9AC0C6" w14:textId="77777777" w:rsidR="0089693F" w:rsidRDefault="0089693F" w:rsidP="001855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7D4"/>
    <w:multiLevelType w:val="hybridMultilevel"/>
    <w:tmpl w:val="1728A4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6933C3"/>
    <w:multiLevelType w:val="hybridMultilevel"/>
    <w:tmpl w:val="FE328288"/>
    <w:lvl w:ilvl="0" w:tplc="5B24E77A">
      <w:start w:val="162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50541ED"/>
    <w:multiLevelType w:val="hybridMultilevel"/>
    <w:tmpl w:val="C22E084A"/>
    <w:lvl w:ilvl="0" w:tplc="5E681F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E34543"/>
    <w:multiLevelType w:val="hybridMultilevel"/>
    <w:tmpl w:val="97447CA8"/>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0D383D19"/>
    <w:multiLevelType w:val="hybridMultilevel"/>
    <w:tmpl w:val="4ABC6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842AC1"/>
    <w:multiLevelType w:val="hybridMultilevel"/>
    <w:tmpl w:val="A8FE84DA"/>
    <w:lvl w:ilvl="0" w:tplc="04240017">
      <w:start w:val="1"/>
      <w:numFmt w:val="lowerLetter"/>
      <w:lvlText w:val="%1)"/>
      <w:lvlJc w:val="left"/>
      <w:pPr>
        <w:ind w:left="720" w:hanging="360"/>
      </w:pPr>
      <w:rPr>
        <w:rFonts w:hint="default"/>
      </w:rPr>
    </w:lvl>
    <w:lvl w:ilvl="1" w:tplc="336046CE">
      <w:numFmt w:val="bullet"/>
      <w:lvlText w:val=""/>
      <w:lvlJc w:val="left"/>
      <w:pPr>
        <w:ind w:left="1440" w:hanging="360"/>
      </w:pPr>
      <w:rPr>
        <w:rFonts w:ascii="CIDFont+F7" w:eastAsia="CIDFont+F7" w:hAnsi="CIDFont+F4" w:cs="CIDFont+F7" w:hint="eastAsia"/>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35B2E"/>
    <w:multiLevelType w:val="multilevel"/>
    <w:tmpl w:val="A0C05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3337A4"/>
    <w:multiLevelType w:val="hybridMultilevel"/>
    <w:tmpl w:val="032E55B0"/>
    <w:lvl w:ilvl="0" w:tplc="4DE6EF2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0F632B"/>
    <w:multiLevelType w:val="hybridMultilevel"/>
    <w:tmpl w:val="CC9403F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DA0E82"/>
    <w:multiLevelType w:val="hybridMultilevel"/>
    <w:tmpl w:val="874AC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6E3A6B"/>
    <w:multiLevelType w:val="hybridMultilevel"/>
    <w:tmpl w:val="DFD222A0"/>
    <w:lvl w:ilvl="0" w:tplc="A40E4BFE">
      <w:start w:val="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9020CD5"/>
    <w:multiLevelType w:val="hybridMultilevel"/>
    <w:tmpl w:val="F25429A0"/>
    <w:lvl w:ilvl="0" w:tplc="5E681F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8E1305"/>
    <w:multiLevelType w:val="hybridMultilevel"/>
    <w:tmpl w:val="ADBA5CD0"/>
    <w:lvl w:ilvl="0" w:tplc="37844F40">
      <w:start w:val="7"/>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4" w15:restartNumberingAfterBreak="0">
    <w:nsid w:val="1A9579CC"/>
    <w:multiLevelType w:val="hybridMultilevel"/>
    <w:tmpl w:val="B9E28268"/>
    <w:lvl w:ilvl="0" w:tplc="97F2C1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0E0ED1"/>
    <w:multiLevelType w:val="hybridMultilevel"/>
    <w:tmpl w:val="3ECC9E32"/>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8D2A84"/>
    <w:multiLevelType w:val="hybridMultilevel"/>
    <w:tmpl w:val="87E60510"/>
    <w:lvl w:ilvl="0" w:tplc="550AF8E2">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34304B0F"/>
    <w:multiLevelType w:val="hybridMultilevel"/>
    <w:tmpl w:val="0B32BD8E"/>
    <w:lvl w:ilvl="0" w:tplc="5B24E77A">
      <w:start w:val="1620"/>
      <w:numFmt w:val="bullet"/>
      <w:lvlText w:val="-"/>
      <w:lvlJc w:val="left"/>
      <w:pPr>
        <w:ind w:left="1080" w:hanging="360"/>
      </w:pPr>
      <w:rPr>
        <w:rFonts w:ascii="Arial" w:eastAsia="Calibri"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15:restartNumberingAfterBreak="0">
    <w:nsid w:val="346C5111"/>
    <w:multiLevelType w:val="hybridMultilevel"/>
    <w:tmpl w:val="3E082A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F9428B"/>
    <w:multiLevelType w:val="hybridMultilevel"/>
    <w:tmpl w:val="62EC8598"/>
    <w:lvl w:ilvl="0" w:tplc="5FFEFA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41C27D99"/>
    <w:multiLevelType w:val="hybridMultilevel"/>
    <w:tmpl w:val="55A043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A82C80"/>
    <w:multiLevelType w:val="hybridMultilevel"/>
    <w:tmpl w:val="CADC0BA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B235E7"/>
    <w:multiLevelType w:val="hybridMultilevel"/>
    <w:tmpl w:val="86E6AF8C"/>
    <w:lvl w:ilvl="0" w:tplc="24180874">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04E0ED6"/>
    <w:multiLevelType w:val="hybridMultilevel"/>
    <w:tmpl w:val="FEA223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2513505"/>
    <w:multiLevelType w:val="multilevel"/>
    <w:tmpl w:val="6220D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F86B3C"/>
    <w:multiLevelType w:val="hybridMultilevel"/>
    <w:tmpl w:val="6C880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78647C"/>
    <w:multiLevelType w:val="hybridMultilevel"/>
    <w:tmpl w:val="1654E2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786EFC"/>
    <w:multiLevelType w:val="hybridMultilevel"/>
    <w:tmpl w:val="158E2A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1F4B71"/>
    <w:multiLevelType w:val="hybridMultilevel"/>
    <w:tmpl w:val="FEA223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C9C1CC5"/>
    <w:multiLevelType w:val="hybridMultilevel"/>
    <w:tmpl w:val="6CAA2272"/>
    <w:lvl w:ilvl="0" w:tplc="04240015">
      <w:start w:val="1"/>
      <w:numFmt w:val="upperLetter"/>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5A66463"/>
    <w:multiLevelType w:val="hybridMultilevel"/>
    <w:tmpl w:val="04162B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A9762DD"/>
    <w:multiLevelType w:val="hybridMultilevel"/>
    <w:tmpl w:val="FEA223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2C95BC0"/>
    <w:multiLevelType w:val="hybridMultilevel"/>
    <w:tmpl w:val="59DCB4E8"/>
    <w:lvl w:ilvl="0" w:tplc="0424000F">
      <w:start w:val="1"/>
      <w:numFmt w:val="decimal"/>
      <w:lvlText w:val="%1."/>
      <w:lvlJc w:val="left"/>
      <w:pPr>
        <w:ind w:left="776" w:hanging="360"/>
      </w:pPr>
    </w:lvl>
    <w:lvl w:ilvl="1" w:tplc="04240019" w:tentative="1">
      <w:start w:val="1"/>
      <w:numFmt w:val="lowerLetter"/>
      <w:lvlText w:val="%2."/>
      <w:lvlJc w:val="left"/>
      <w:pPr>
        <w:ind w:left="1496" w:hanging="360"/>
      </w:pPr>
    </w:lvl>
    <w:lvl w:ilvl="2" w:tplc="0424001B" w:tentative="1">
      <w:start w:val="1"/>
      <w:numFmt w:val="lowerRoman"/>
      <w:lvlText w:val="%3."/>
      <w:lvlJc w:val="right"/>
      <w:pPr>
        <w:ind w:left="2216" w:hanging="180"/>
      </w:pPr>
    </w:lvl>
    <w:lvl w:ilvl="3" w:tplc="0424000F" w:tentative="1">
      <w:start w:val="1"/>
      <w:numFmt w:val="decimal"/>
      <w:lvlText w:val="%4."/>
      <w:lvlJc w:val="left"/>
      <w:pPr>
        <w:ind w:left="2936" w:hanging="360"/>
      </w:pPr>
    </w:lvl>
    <w:lvl w:ilvl="4" w:tplc="04240019" w:tentative="1">
      <w:start w:val="1"/>
      <w:numFmt w:val="lowerLetter"/>
      <w:lvlText w:val="%5."/>
      <w:lvlJc w:val="left"/>
      <w:pPr>
        <w:ind w:left="3656" w:hanging="360"/>
      </w:pPr>
    </w:lvl>
    <w:lvl w:ilvl="5" w:tplc="0424001B" w:tentative="1">
      <w:start w:val="1"/>
      <w:numFmt w:val="lowerRoman"/>
      <w:lvlText w:val="%6."/>
      <w:lvlJc w:val="right"/>
      <w:pPr>
        <w:ind w:left="4376" w:hanging="180"/>
      </w:pPr>
    </w:lvl>
    <w:lvl w:ilvl="6" w:tplc="0424000F" w:tentative="1">
      <w:start w:val="1"/>
      <w:numFmt w:val="decimal"/>
      <w:lvlText w:val="%7."/>
      <w:lvlJc w:val="left"/>
      <w:pPr>
        <w:ind w:left="5096" w:hanging="360"/>
      </w:pPr>
    </w:lvl>
    <w:lvl w:ilvl="7" w:tplc="04240019" w:tentative="1">
      <w:start w:val="1"/>
      <w:numFmt w:val="lowerLetter"/>
      <w:lvlText w:val="%8."/>
      <w:lvlJc w:val="left"/>
      <w:pPr>
        <w:ind w:left="5816" w:hanging="360"/>
      </w:pPr>
    </w:lvl>
    <w:lvl w:ilvl="8" w:tplc="0424001B" w:tentative="1">
      <w:start w:val="1"/>
      <w:numFmt w:val="lowerRoman"/>
      <w:lvlText w:val="%9."/>
      <w:lvlJc w:val="right"/>
      <w:pPr>
        <w:ind w:left="6536" w:hanging="180"/>
      </w:pPr>
    </w:lvl>
  </w:abstractNum>
  <w:abstractNum w:abstractNumId="36" w15:restartNumberingAfterBreak="0">
    <w:nsid w:val="73211BAA"/>
    <w:multiLevelType w:val="hybridMultilevel"/>
    <w:tmpl w:val="75F6F478"/>
    <w:lvl w:ilvl="0" w:tplc="5B9251EE">
      <w:start w:val="1"/>
      <w:numFmt w:val="bullet"/>
      <w:pStyle w:val="Alineje"/>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ED2462"/>
    <w:multiLevelType w:val="hybridMultilevel"/>
    <w:tmpl w:val="F24878A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BB3434F"/>
    <w:multiLevelType w:val="multilevel"/>
    <w:tmpl w:val="BB88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21"/>
    <w:lvlOverride w:ilvl="0">
      <w:startOverride w:val="1"/>
    </w:lvlOverride>
  </w:num>
  <w:num w:numId="4">
    <w:abstractNumId w:val="13"/>
  </w:num>
  <w:num w:numId="5">
    <w:abstractNumId w:val="16"/>
  </w:num>
  <w:num w:numId="6">
    <w:abstractNumId w:val="38"/>
  </w:num>
  <w:num w:numId="7">
    <w:abstractNumId w:val="6"/>
  </w:num>
  <w:num w:numId="8">
    <w:abstractNumId w:val="16"/>
  </w:num>
  <w:num w:numId="9">
    <w:abstractNumId w:val="21"/>
  </w:num>
  <w:num w:numId="10">
    <w:abstractNumId w:val="0"/>
  </w:num>
  <w:num w:numId="11">
    <w:abstractNumId w:val="28"/>
  </w:num>
  <w:num w:numId="12">
    <w:abstractNumId w:val="17"/>
  </w:num>
  <w:num w:numId="13">
    <w:abstractNumId w:val="1"/>
  </w:num>
  <w:num w:numId="14">
    <w:abstractNumId w:val="27"/>
  </w:num>
  <w:num w:numId="15">
    <w:abstractNumId w:val="9"/>
  </w:num>
  <w:num w:numId="16">
    <w:abstractNumId w:val="18"/>
  </w:num>
  <w:num w:numId="17">
    <w:abstractNumId w:val="34"/>
  </w:num>
  <w:num w:numId="18">
    <w:abstractNumId w:val="3"/>
  </w:num>
  <w:num w:numId="19">
    <w:abstractNumId w:val="7"/>
  </w:num>
  <w:num w:numId="20">
    <w:abstractNumId w:val="10"/>
  </w:num>
  <w:num w:numId="21">
    <w:abstractNumId w:val="12"/>
  </w:num>
  <w:num w:numId="22">
    <w:abstractNumId w:val="31"/>
  </w:num>
  <w:num w:numId="23">
    <w:abstractNumId w:val="8"/>
  </w:num>
  <w:num w:numId="24">
    <w:abstractNumId w:val="14"/>
  </w:num>
  <w:num w:numId="25">
    <w:abstractNumId w:val="26"/>
  </w:num>
  <w:num w:numId="26">
    <w:abstractNumId w:val="32"/>
  </w:num>
  <w:num w:numId="27">
    <w:abstractNumId w:val="24"/>
  </w:num>
  <w:num w:numId="28">
    <w:abstractNumId w:val="36"/>
  </w:num>
  <w:num w:numId="29">
    <w:abstractNumId w:val="5"/>
  </w:num>
  <w:num w:numId="30">
    <w:abstractNumId w:val="35"/>
  </w:num>
  <w:num w:numId="31">
    <w:abstractNumId w:val="15"/>
  </w:num>
  <w:num w:numId="32">
    <w:abstractNumId w:val="37"/>
  </w:num>
  <w:num w:numId="33">
    <w:abstractNumId w:val="22"/>
  </w:num>
  <w:num w:numId="34">
    <w:abstractNumId w:val="2"/>
  </w:num>
  <w:num w:numId="35">
    <w:abstractNumId w:val="30"/>
  </w:num>
  <w:num w:numId="36">
    <w:abstractNumId w:val="11"/>
  </w:num>
  <w:num w:numId="37">
    <w:abstractNumId w:val="29"/>
  </w:num>
  <w:num w:numId="38">
    <w:abstractNumId w:val="4"/>
  </w:num>
  <w:num w:numId="39">
    <w:abstractNumId w:val="25"/>
  </w:num>
  <w:num w:numId="40">
    <w:abstractNumId w:val="1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A5"/>
    <w:rsid w:val="00102584"/>
    <w:rsid w:val="001038B0"/>
    <w:rsid w:val="0018557E"/>
    <w:rsid w:val="00215161"/>
    <w:rsid w:val="00566D76"/>
    <w:rsid w:val="0089693F"/>
    <w:rsid w:val="00A47630"/>
    <w:rsid w:val="00AA343E"/>
    <w:rsid w:val="00AF0EF5"/>
    <w:rsid w:val="00CD24C3"/>
    <w:rsid w:val="00F021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A083"/>
  <w15:chartTrackingRefBased/>
  <w15:docId w15:val="{E4EBBF49-0545-4862-8835-D2F7976C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021A5"/>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F021A5"/>
    <w:pPr>
      <w:widowControl w:val="0"/>
      <w:tabs>
        <w:tab w:val="left" w:pos="360"/>
      </w:tabs>
      <w:outlineLvl w:val="0"/>
    </w:pPr>
    <w:rPr>
      <w:rFonts w:eastAsia="Calibri" w:cs="Arial"/>
      <w:kern w:val="32"/>
      <w:sz w:val="18"/>
      <w:szCs w:val="18"/>
    </w:rPr>
  </w:style>
  <w:style w:type="paragraph" w:styleId="Naslov2">
    <w:name w:val="heading 2"/>
    <w:basedOn w:val="Navaden"/>
    <w:link w:val="Naslov2Znak"/>
    <w:uiPriority w:val="9"/>
    <w:qFormat/>
    <w:rsid w:val="00F021A5"/>
    <w:pPr>
      <w:spacing w:before="100" w:beforeAutospacing="1" w:after="100" w:afterAutospacing="1" w:line="240" w:lineRule="auto"/>
      <w:outlineLvl w:val="1"/>
    </w:pPr>
    <w:rPr>
      <w:rFonts w:ascii="Times New Roman" w:hAnsi="Times New Roman"/>
      <w:b/>
      <w:bCs/>
      <w:sz w:val="36"/>
      <w:szCs w:val="36"/>
      <w:lang w:eastAsia="sl-SI"/>
    </w:rPr>
  </w:style>
  <w:style w:type="paragraph" w:styleId="Naslov3">
    <w:name w:val="heading 3"/>
    <w:basedOn w:val="Navaden"/>
    <w:link w:val="Naslov3Znak"/>
    <w:uiPriority w:val="9"/>
    <w:qFormat/>
    <w:rsid w:val="00F021A5"/>
    <w:pPr>
      <w:spacing w:before="100" w:beforeAutospacing="1" w:after="100" w:afterAutospacing="1" w:line="240" w:lineRule="auto"/>
      <w:outlineLvl w:val="2"/>
    </w:pPr>
    <w:rPr>
      <w:rFonts w:ascii="Times New Roman" w:hAnsi="Times New Roman"/>
      <w:b/>
      <w:bCs/>
      <w:sz w:val="27"/>
      <w:szCs w:val="27"/>
      <w:lang w:eastAsia="sl-SI"/>
    </w:rPr>
  </w:style>
  <w:style w:type="paragraph" w:styleId="Naslov4">
    <w:name w:val="heading 4"/>
    <w:basedOn w:val="Navaden"/>
    <w:link w:val="Naslov4Znak"/>
    <w:uiPriority w:val="9"/>
    <w:qFormat/>
    <w:rsid w:val="00F021A5"/>
    <w:pPr>
      <w:spacing w:before="100" w:beforeAutospacing="1" w:after="100" w:afterAutospacing="1" w:line="240" w:lineRule="auto"/>
      <w:outlineLvl w:val="3"/>
    </w:pPr>
    <w:rPr>
      <w:rFonts w:ascii="Times New Roman" w:hAnsi="Times New Roman"/>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F021A5"/>
    <w:rPr>
      <w:rFonts w:ascii="Arial" w:eastAsia="Calibri" w:hAnsi="Arial" w:cs="Arial"/>
      <w:kern w:val="32"/>
      <w:sz w:val="18"/>
      <w:szCs w:val="18"/>
    </w:rPr>
  </w:style>
  <w:style w:type="character" w:customStyle="1" w:styleId="Naslov2Znak">
    <w:name w:val="Naslov 2 Znak"/>
    <w:basedOn w:val="Privzetapisavaodstavka"/>
    <w:link w:val="Naslov2"/>
    <w:uiPriority w:val="9"/>
    <w:rsid w:val="00F021A5"/>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F021A5"/>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F021A5"/>
    <w:rPr>
      <w:rFonts w:ascii="Times New Roman" w:eastAsia="Times New Roman" w:hAnsi="Times New Roman" w:cs="Times New Roman"/>
      <w:b/>
      <w:bCs/>
      <w:sz w:val="24"/>
      <w:szCs w:val="24"/>
      <w:lang w:eastAsia="sl-SI"/>
    </w:rPr>
  </w:style>
  <w:style w:type="paragraph" w:styleId="Glava">
    <w:name w:val="header"/>
    <w:aliases w:val="APEK-4,header1"/>
    <w:basedOn w:val="Navaden"/>
    <w:link w:val="GlavaZnak"/>
    <w:rsid w:val="00F021A5"/>
    <w:pPr>
      <w:tabs>
        <w:tab w:val="center" w:pos="4320"/>
        <w:tab w:val="right" w:pos="8640"/>
      </w:tabs>
    </w:pPr>
  </w:style>
  <w:style w:type="character" w:customStyle="1" w:styleId="GlavaZnak">
    <w:name w:val="Glava Znak"/>
    <w:aliases w:val="APEK-4 Znak,header1 Znak"/>
    <w:basedOn w:val="Privzetapisavaodstavka"/>
    <w:link w:val="Glava"/>
    <w:rsid w:val="00F021A5"/>
    <w:rPr>
      <w:rFonts w:ascii="Arial" w:eastAsia="Times New Roman" w:hAnsi="Arial" w:cs="Times New Roman"/>
      <w:sz w:val="20"/>
      <w:szCs w:val="24"/>
    </w:rPr>
  </w:style>
  <w:style w:type="paragraph" w:styleId="Noga">
    <w:name w:val="footer"/>
    <w:basedOn w:val="Navaden"/>
    <w:link w:val="NogaZnak"/>
    <w:uiPriority w:val="99"/>
    <w:rsid w:val="00F021A5"/>
    <w:pPr>
      <w:tabs>
        <w:tab w:val="center" w:pos="4320"/>
        <w:tab w:val="right" w:pos="8640"/>
      </w:tabs>
    </w:pPr>
  </w:style>
  <w:style w:type="character" w:customStyle="1" w:styleId="NogaZnak">
    <w:name w:val="Noga Znak"/>
    <w:basedOn w:val="Privzetapisavaodstavka"/>
    <w:link w:val="Noga"/>
    <w:uiPriority w:val="99"/>
    <w:rsid w:val="00F021A5"/>
    <w:rPr>
      <w:rFonts w:ascii="Arial" w:eastAsia="Times New Roman" w:hAnsi="Arial" w:cs="Times New Roman"/>
      <w:sz w:val="20"/>
      <w:szCs w:val="24"/>
    </w:rPr>
  </w:style>
  <w:style w:type="paragraph" w:styleId="Zgradbadokumenta">
    <w:name w:val="Document Map"/>
    <w:basedOn w:val="Navaden"/>
    <w:link w:val="ZgradbadokumentaZnak"/>
    <w:rsid w:val="00F021A5"/>
    <w:rPr>
      <w:rFonts w:ascii="Tahoma" w:hAnsi="Tahoma" w:cs="Tahoma"/>
      <w:sz w:val="16"/>
      <w:szCs w:val="16"/>
    </w:rPr>
  </w:style>
  <w:style w:type="character" w:customStyle="1" w:styleId="ZgradbadokumentaZnak">
    <w:name w:val="Zgradba dokumenta Znak"/>
    <w:basedOn w:val="Privzetapisavaodstavka"/>
    <w:link w:val="Zgradbadokumenta"/>
    <w:rsid w:val="00F021A5"/>
    <w:rPr>
      <w:rFonts w:ascii="Tahoma" w:eastAsia="Times New Roman" w:hAnsi="Tahoma" w:cs="Tahoma"/>
      <w:sz w:val="16"/>
      <w:szCs w:val="16"/>
    </w:rPr>
  </w:style>
  <w:style w:type="table" w:styleId="Tabelamrea">
    <w:name w:val="Table Grid"/>
    <w:basedOn w:val="Navadnatabela"/>
    <w:rsid w:val="00F021A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021A5"/>
    <w:pPr>
      <w:tabs>
        <w:tab w:val="left" w:pos="1701"/>
      </w:tabs>
    </w:pPr>
    <w:rPr>
      <w:szCs w:val="20"/>
      <w:lang w:eastAsia="sl-SI"/>
    </w:rPr>
  </w:style>
  <w:style w:type="paragraph" w:customStyle="1" w:styleId="ZADEVA">
    <w:name w:val="ZADEVA"/>
    <w:basedOn w:val="Navaden"/>
    <w:qFormat/>
    <w:rsid w:val="00F021A5"/>
    <w:pPr>
      <w:tabs>
        <w:tab w:val="left" w:pos="1701"/>
      </w:tabs>
      <w:ind w:left="1701" w:hanging="1701"/>
    </w:pPr>
    <w:rPr>
      <w:b/>
      <w:lang w:val="it-IT"/>
    </w:rPr>
  </w:style>
  <w:style w:type="character" w:styleId="Hiperpovezava">
    <w:name w:val="Hyperlink"/>
    <w:rsid w:val="00F021A5"/>
    <w:rPr>
      <w:color w:val="0000FF"/>
      <w:u w:val="single"/>
    </w:rPr>
  </w:style>
  <w:style w:type="paragraph" w:customStyle="1" w:styleId="podpisi">
    <w:name w:val="podpisi"/>
    <w:basedOn w:val="Navaden"/>
    <w:uiPriority w:val="99"/>
    <w:qFormat/>
    <w:rsid w:val="00F021A5"/>
    <w:pPr>
      <w:tabs>
        <w:tab w:val="left" w:pos="3402"/>
      </w:tabs>
    </w:pPr>
    <w:rPr>
      <w:lang w:val="it-IT"/>
    </w:rPr>
  </w:style>
  <w:style w:type="paragraph" w:customStyle="1" w:styleId="Vrstapredpisa">
    <w:name w:val="Vrsta predpisa"/>
    <w:basedOn w:val="Navaden"/>
    <w:link w:val="VrstapredpisaZnak"/>
    <w:qFormat/>
    <w:rsid w:val="00F021A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F021A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F021A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F021A5"/>
    <w:rPr>
      <w:rFonts w:ascii="Arial" w:eastAsia="Times New Roman" w:hAnsi="Arial" w:cs="Arial"/>
      <w:b/>
      <w:lang w:eastAsia="sl-SI"/>
    </w:rPr>
  </w:style>
  <w:style w:type="paragraph" w:customStyle="1" w:styleId="Poglavje">
    <w:name w:val="Poglavje"/>
    <w:basedOn w:val="Navaden"/>
    <w:qFormat/>
    <w:rsid w:val="00F021A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F021A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F021A5"/>
    <w:rPr>
      <w:rFonts w:ascii="Arial" w:eastAsia="Times New Roman" w:hAnsi="Arial" w:cs="Arial"/>
      <w:lang w:eastAsia="sl-SI"/>
    </w:rPr>
  </w:style>
  <w:style w:type="paragraph" w:customStyle="1" w:styleId="Oddelek">
    <w:name w:val="Oddelek"/>
    <w:basedOn w:val="Navaden"/>
    <w:link w:val="OddelekZnak1"/>
    <w:qFormat/>
    <w:rsid w:val="00F021A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F021A5"/>
    <w:rPr>
      <w:rFonts w:ascii="Arial" w:eastAsia="Times New Roman" w:hAnsi="Arial" w:cs="Arial"/>
      <w:b/>
      <w:lang w:eastAsia="sl-SI"/>
    </w:rPr>
  </w:style>
  <w:style w:type="paragraph" w:customStyle="1" w:styleId="Alineazaodstavkom">
    <w:name w:val="Alinea za odstavkom"/>
    <w:basedOn w:val="Navaden"/>
    <w:link w:val="AlineazaodstavkomZnak"/>
    <w:qFormat/>
    <w:rsid w:val="00F021A5"/>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021A5"/>
    <w:rPr>
      <w:rFonts w:ascii="Arial" w:eastAsia="Times New Roman" w:hAnsi="Arial" w:cs="Arial"/>
      <w:lang w:eastAsia="sl-SI"/>
    </w:rPr>
  </w:style>
  <w:style w:type="paragraph" w:customStyle="1" w:styleId="Odstavekseznama1">
    <w:name w:val="Odstavek seznama1"/>
    <w:basedOn w:val="Navaden"/>
    <w:qFormat/>
    <w:rsid w:val="00F021A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F021A5"/>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F021A5"/>
    <w:rPr>
      <w:rFonts w:ascii="Arial" w:eastAsia="Times New Roman" w:hAnsi="Arial" w:cs="Arial"/>
      <w:lang w:eastAsia="sl-SI"/>
    </w:rPr>
  </w:style>
  <w:style w:type="character" w:customStyle="1" w:styleId="rkovnatokazaodstavkomZnak">
    <w:name w:val="Črkovna točka_za odstavkom Znak"/>
    <w:link w:val="rkovnatokazaodstavkom"/>
    <w:rsid w:val="00F021A5"/>
    <w:rPr>
      <w:rFonts w:ascii="Arial" w:hAnsi="Arial"/>
      <w:lang w:val="sl-SI"/>
    </w:rPr>
  </w:style>
  <w:style w:type="paragraph" w:customStyle="1" w:styleId="rkovnatokazaodstavkom">
    <w:name w:val="Črkovna točka_za odstavkom"/>
    <w:basedOn w:val="Navaden"/>
    <w:link w:val="rkovnatokazaodstavkomZnak"/>
    <w:qFormat/>
    <w:rsid w:val="00F021A5"/>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F021A5"/>
    <w:pPr>
      <w:numPr>
        <w:numId w:val="1"/>
      </w:numPr>
      <w:ind w:left="0" w:firstLine="0"/>
    </w:pPr>
  </w:style>
  <w:style w:type="character" w:customStyle="1" w:styleId="OdsekZnak">
    <w:name w:val="Odsek Znak"/>
    <w:basedOn w:val="OddelekZnak1"/>
    <w:link w:val="Odsek"/>
    <w:rsid w:val="00F021A5"/>
    <w:rPr>
      <w:rFonts w:ascii="Arial" w:eastAsia="Times New Roman" w:hAnsi="Arial" w:cs="Arial"/>
      <w:b/>
      <w:lang w:eastAsia="sl-SI"/>
    </w:rPr>
  </w:style>
  <w:style w:type="character" w:styleId="Pripombasklic">
    <w:name w:val="annotation reference"/>
    <w:uiPriority w:val="99"/>
    <w:rsid w:val="00F021A5"/>
    <w:rPr>
      <w:sz w:val="16"/>
      <w:szCs w:val="16"/>
    </w:rPr>
  </w:style>
  <w:style w:type="paragraph" w:styleId="Pripombabesedilo">
    <w:name w:val="annotation text"/>
    <w:basedOn w:val="Navaden"/>
    <w:link w:val="PripombabesediloZnak"/>
    <w:uiPriority w:val="99"/>
    <w:rsid w:val="00F021A5"/>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rsid w:val="00F021A5"/>
    <w:rPr>
      <w:rFonts w:ascii="Times New Roman" w:eastAsia="Times New Roman" w:hAnsi="Times New Roman" w:cs="Times New Roman"/>
      <w:sz w:val="20"/>
      <w:szCs w:val="20"/>
    </w:rPr>
  </w:style>
  <w:style w:type="paragraph" w:styleId="Besedilooblaka">
    <w:name w:val="Balloon Text"/>
    <w:basedOn w:val="Navaden"/>
    <w:link w:val="BesedilooblakaZnak"/>
    <w:rsid w:val="00F021A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021A5"/>
    <w:rPr>
      <w:rFonts w:ascii="Tahoma" w:eastAsia="Times New Roman" w:hAnsi="Tahoma" w:cs="Tahoma"/>
      <w:sz w:val="16"/>
      <w:szCs w:val="16"/>
    </w:rPr>
  </w:style>
  <w:style w:type="paragraph" w:styleId="Zadevapripombe">
    <w:name w:val="annotation subject"/>
    <w:basedOn w:val="Pripombabesedilo"/>
    <w:next w:val="Pripombabesedilo"/>
    <w:link w:val="ZadevapripombeZnak"/>
    <w:rsid w:val="00F021A5"/>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rsid w:val="00F021A5"/>
    <w:rPr>
      <w:rFonts w:ascii="Arial" w:eastAsia="Times New Roman" w:hAnsi="Arial" w:cs="Times New Roman"/>
      <w:b/>
      <w:bCs/>
      <w:sz w:val="20"/>
      <w:szCs w:val="20"/>
    </w:rPr>
  </w:style>
  <w:style w:type="paragraph" w:styleId="Golobesedilo">
    <w:name w:val="Plain Text"/>
    <w:basedOn w:val="Navaden"/>
    <w:link w:val="GolobesediloZnak"/>
    <w:uiPriority w:val="99"/>
    <w:unhideWhenUsed/>
    <w:rsid w:val="00F021A5"/>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F021A5"/>
    <w:rPr>
      <w:rFonts w:ascii="Arial" w:eastAsia="Calibri" w:hAnsi="Arial" w:cs="Arial"/>
      <w:color w:val="1F497D"/>
      <w:sz w:val="20"/>
      <w:szCs w:val="20"/>
    </w:rPr>
  </w:style>
  <w:style w:type="numbering" w:customStyle="1" w:styleId="NoList1">
    <w:name w:val="No List1"/>
    <w:next w:val="Brezseznama"/>
    <w:semiHidden/>
    <w:rsid w:val="00F021A5"/>
  </w:style>
  <w:style w:type="character" w:customStyle="1" w:styleId="Absatz-Standardschriftart">
    <w:name w:val="Absatz-Standardschriftart"/>
    <w:rsid w:val="00F021A5"/>
  </w:style>
  <w:style w:type="character" w:customStyle="1" w:styleId="WW-Absatz-Standardschriftart">
    <w:name w:val="WW-Absatz-Standardschriftart"/>
    <w:rsid w:val="00F021A5"/>
  </w:style>
  <w:style w:type="character" w:customStyle="1" w:styleId="WW-Absatz-Standardschriftart1">
    <w:name w:val="WW-Absatz-Standardschriftart1"/>
    <w:rsid w:val="00F021A5"/>
  </w:style>
  <w:style w:type="character" w:customStyle="1" w:styleId="WW-Absatz-Standardschriftart11">
    <w:name w:val="WW-Absatz-Standardschriftart11"/>
    <w:rsid w:val="00F021A5"/>
  </w:style>
  <w:style w:type="character" w:customStyle="1" w:styleId="WW-Absatz-Standardschriftart111">
    <w:name w:val="WW-Absatz-Standardschriftart111"/>
    <w:rsid w:val="00F021A5"/>
  </w:style>
  <w:style w:type="character" w:customStyle="1" w:styleId="WW-Absatz-Standardschriftart1111">
    <w:name w:val="WW-Absatz-Standardschriftart1111"/>
    <w:rsid w:val="00F021A5"/>
  </w:style>
  <w:style w:type="character" w:customStyle="1" w:styleId="WW-Absatz-Standardschriftart11111">
    <w:name w:val="WW-Absatz-Standardschriftart11111"/>
    <w:rsid w:val="00F021A5"/>
  </w:style>
  <w:style w:type="character" w:customStyle="1" w:styleId="WW-DefaultParagraphFont">
    <w:name w:val="WW-Default Paragraph Font"/>
    <w:rsid w:val="00F021A5"/>
  </w:style>
  <w:style w:type="character" w:customStyle="1" w:styleId="WW-Absatz-Standardschriftart111111">
    <w:name w:val="WW-Absatz-Standardschriftart111111"/>
    <w:rsid w:val="00F021A5"/>
  </w:style>
  <w:style w:type="character" w:customStyle="1" w:styleId="WW-Absatz-Standardschriftart1111111">
    <w:name w:val="WW-Absatz-Standardschriftart1111111"/>
    <w:rsid w:val="00F021A5"/>
  </w:style>
  <w:style w:type="character" w:customStyle="1" w:styleId="WW-DefaultParagraphFont1">
    <w:name w:val="WW-Default Paragraph Font1"/>
    <w:rsid w:val="00F021A5"/>
  </w:style>
  <w:style w:type="character" w:customStyle="1" w:styleId="WW-Absatz-Standardschriftart11111111">
    <w:name w:val="WW-Absatz-Standardschriftart11111111"/>
    <w:rsid w:val="00F021A5"/>
  </w:style>
  <w:style w:type="character" w:customStyle="1" w:styleId="WW-DefaultParagraphFont11">
    <w:name w:val="WW-Default Paragraph Font11"/>
    <w:rsid w:val="00F021A5"/>
  </w:style>
  <w:style w:type="character" w:customStyle="1" w:styleId="WW-DefaultParagraphFont111">
    <w:name w:val="WW-Default Paragraph Font111"/>
    <w:rsid w:val="00F021A5"/>
  </w:style>
  <w:style w:type="character" w:customStyle="1" w:styleId="WW-Absatz-Standardschriftart111111111">
    <w:name w:val="WW-Absatz-Standardschriftart111111111"/>
    <w:rsid w:val="00F021A5"/>
  </w:style>
  <w:style w:type="character" w:customStyle="1" w:styleId="WW-Absatz-Standardschriftart1111111111">
    <w:name w:val="WW-Absatz-Standardschriftart1111111111"/>
    <w:rsid w:val="00F021A5"/>
  </w:style>
  <w:style w:type="character" w:customStyle="1" w:styleId="WW-Absatz-Standardschriftart11111111111">
    <w:name w:val="WW-Absatz-Standardschriftart11111111111"/>
    <w:rsid w:val="00F021A5"/>
  </w:style>
  <w:style w:type="character" w:customStyle="1" w:styleId="WW-Absatz-Standardschriftart111111111111">
    <w:name w:val="WW-Absatz-Standardschriftart111111111111"/>
    <w:rsid w:val="00F021A5"/>
  </w:style>
  <w:style w:type="character" w:customStyle="1" w:styleId="WW-DefaultParagraphFont1111">
    <w:name w:val="WW-Default Paragraph Font1111"/>
    <w:rsid w:val="00F021A5"/>
  </w:style>
  <w:style w:type="character" w:customStyle="1" w:styleId="WW-DefaultParagraphFont11111">
    <w:name w:val="WW-Default Paragraph Font11111"/>
    <w:rsid w:val="00F021A5"/>
  </w:style>
  <w:style w:type="character" w:styleId="tevilkastrani">
    <w:name w:val="page number"/>
    <w:rsid w:val="00F021A5"/>
  </w:style>
  <w:style w:type="paragraph" w:customStyle="1" w:styleId="Naslov10">
    <w:name w:val="Naslov1"/>
    <w:basedOn w:val="Navaden"/>
    <w:next w:val="Telobesedila"/>
    <w:rsid w:val="00F021A5"/>
    <w:pPr>
      <w:keepNext/>
      <w:suppressAutoHyphens/>
      <w:spacing w:before="240" w:after="120" w:line="276" w:lineRule="auto"/>
    </w:pPr>
    <w:rPr>
      <w:rFonts w:eastAsia="MS Mincho" w:cs="Tahoma"/>
      <w:sz w:val="28"/>
      <w:szCs w:val="28"/>
      <w:lang w:val="en-US" w:bidi="en-US"/>
    </w:rPr>
  </w:style>
  <w:style w:type="paragraph" w:styleId="Telobesedila">
    <w:name w:val="Body Text"/>
    <w:basedOn w:val="Navaden"/>
    <w:link w:val="TelobesedilaZnak"/>
    <w:rsid w:val="00F021A5"/>
    <w:pPr>
      <w:suppressAutoHyphens/>
      <w:spacing w:after="120" w:line="276" w:lineRule="auto"/>
    </w:pPr>
    <w:rPr>
      <w:rFonts w:ascii="Cambria" w:hAnsi="Cambria"/>
      <w:sz w:val="22"/>
      <w:szCs w:val="22"/>
      <w:lang w:val="en-US" w:bidi="en-US"/>
    </w:rPr>
  </w:style>
  <w:style w:type="character" w:customStyle="1" w:styleId="TelobesedilaZnak">
    <w:name w:val="Telo besedila Znak"/>
    <w:basedOn w:val="Privzetapisavaodstavka"/>
    <w:link w:val="Telobesedila"/>
    <w:rsid w:val="00F021A5"/>
    <w:rPr>
      <w:rFonts w:ascii="Cambria" w:eastAsia="Times New Roman" w:hAnsi="Cambria" w:cs="Times New Roman"/>
      <w:lang w:val="en-US" w:bidi="en-US"/>
    </w:rPr>
  </w:style>
  <w:style w:type="paragraph" w:styleId="Seznam">
    <w:name w:val="List"/>
    <w:basedOn w:val="Telobesedila"/>
    <w:rsid w:val="00F021A5"/>
    <w:rPr>
      <w:rFonts w:cs="Tahoma"/>
    </w:rPr>
  </w:style>
  <w:style w:type="paragraph" w:customStyle="1" w:styleId="Napis1">
    <w:name w:val="Napis1"/>
    <w:basedOn w:val="Navaden"/>
    <w:rsid w:val="00F021A5"/>
    <w:pPr>
      <w:suppressLineNumbers/>
      <w:suppressAutoHyphens/>
      <w:spacing w:before="120" w:after="120" w:line="276" w:lineRule="auto"/>
    </w:pPr>
    <w:rPr>
      <w:rFonts w:ascii="Cambria" w:hAnsi="Cambria" w:cs="Tahoma"/>
      <w:i/>
      <w:iCs/>
      <w:sz w:val="24"/>
      <w:lang w:val="en-US" w:bidi="en-US"/>
    </w:rPr>
  </w:style>
  <w:style w:type="paragraph" w:customStyle="1" w:styleId="Kazalo">
    <w:name w:val="Kazalo"/>
    <w:basedOn w:val="Navaden"/>
    <w:rsid w:val="00F021A5"/>
    <w:pPr>
      <w:suppressLineNumbers/>
      <w:suppressAutoHyphens/>
      <w:spacing w:after="200" w:line="276" w:lineRule="auto"/>
    </w:pPr>
    <w:rPr>
      <w:rFonts w:ascii="Cambria" w:hAnsi="Cambria" w:cs="Tahoma"/>
      <w:sz w:val="22"/>
      <w:szCs w:val="22"/>
      <w:lang w:val="en-US" w:bidi="en-US"/>
    </w:rPr>
  </w:style>
  <w:style w:type="paragraph" w:customStyle="1" w:styleId="Heading">
    <w:name w:val="Heading"/>
    <w:basedOn w:val="Navaden"/>
    <w:next w:val="Telobesedila"/>
    <w:rsid w:val="00F021A5"/>
    <w:pPr>
      <w:keepNext/>
      <w:suppressAutoHyphens/>
      <w:spacing w:before="240" w:after="120" w:line="276" w:lineRule="auto"/>
    </w:pPr>
    <w:rPr>
      <w:rFonts w:eastAsia="MS Mincho" w:cs="Tahoma"/>
      <w:sz w:val="28"/>
      <w:szCs w:val="28"/>
      <w:lang w:val="en-US" w:bidi="en-US"/>
    </w:rPr>
  </w:style>
  <w:style w:type="paragraph" w:styleId="Napis">
    <w:name w:val="caption"/>
    <w:aliases w:val="Caption Char1,Caption Char Char"/>
    <w:basedOn w:val="Navaden"/>
    <w:link w:val="NapisZnak"/>
    <w:uiPriority w:val="2"/>
    <w:qFormat/>
    <w:rsid w:val="00F021A5"/>
    <w:pPr>
      <w:suppressLineNumbers/>
      <w:suppressAutoHyphens/>
      <w:spacing w:before="120" w:after="120" w:line="276" w:lineRule="auto"/>
    </w:pPr>
    <w:rPr>
      <w:rFonts w:ascii="Cambria" w:hAnsi="Cambria" w:cs="Tahoma"/>
      <w:i/>
      <w:iCs/>
      <w:sz w:val="24"/>
      <w:lang w:val="en-US" w:bidi="en-US"/>
    </w:rPr>
  </w:style>
  <w:style w:type="paragraph" w:customStyle="1" w:styleId="Index">
    <w:name w:val="Index"/>
    <w:basedOn w:val="Navaden"/>
    <w:rsid w:val="00F021A5"/>
    <w:pPr>
      <w:suppressLineNumbers/>
      <w:suppressAutoHyphens/>
      <w:spacing w:after="200" w:line="276" w:lineRule="auto"/>
    </w:pPr>
    <w:rPr>
      <w:rFonts w:ascii="Cambria" w:hAnsi="Cambria" w:cs="Tahoma"/>
      <w:sz w:val="22"/>
      <w:szCs w:val="22"/>
      <w:lang w:val="en-US" w:bidi="en-US"/>
    </w:rPr>
  </w:style>
  <w:style w:type="paragraph" w:styleId="Odstavekseznama">
    <w:name w:val="List Paragraph"/>
    <w:aliases w:val="numbered list"/>
    <w:basedOn w:val="Navaden"/>
    <w:link w:val="OdstavekseznamaZnak"/>
    <w:uiPriority w:val="26"/>
    <w:qFormat/>
    <w:rsid w:val="00F021A5"/>
    <w:pPr>
      <w:suppressAutoHyphens/>
      <w:spacing w:after="200" w:line="276" w:lineRule="auto"/>
      <w:ind w:left="720"/>
    </w:pPr>
    <w:rPr>
      <w:rFonts w:ascii="Cambria" w:hAnsi="Cambria"/>
      <w:sz w:val="22"/>
      <w:szCs w:val="22"/>
      <w:lang w:val="en-US" w:bidi="en-US"/>
    </w:rPr>
  </w:style>
  <w:style w:type="paragraph" w:customStyle="1" w:styleId="TableContents">
    <w:name w:val="Table Contents"/>
    <w:basedOn w:val="Navaden"/>
    <w:rsid w:val="00F021A5"/>
    <w:pPr>
      <w:suppressLineNumbers/>
      <w:suppressAutoHyphens/>
      <w:spacing w:after="200" w:line="276" w:lineRule="auto"/>
    </w:pPr>
    <w:rPr>
      <w:rFonts w:ascii="Cambria" w:hAnsi="Cambria"/>
      <w:sz w:val="22"/>
      <w:szCs w:val="22"/>
      <w:lang w:val="en-US" w:bidi="en-US"/>
    </w:rPr>
  </w:style>
  <w:style w:type="paragraph" w:customStyle="1" w:styleId="TableHeading">
    <w:name w:val="Table Heading"/>
    <w:basedOn w:val="TableContents"/>
    <w:rsid w:val="00F021A5"/>
    <w:pPr>
      <w:jc w:val="center"/>
    </w:pPr>
    <w:rPr>
      <w:b/>
      <w:bCs/>
    </w:rPr>
  </w:style>
  <w:style w:type="paragraph" w:customStyle="1" w:styleId="Vsebinatabele">
    <w:name w:val="Vsebina tabele"/>
    <w:basedOn w:val="Navaden"/>
    <w:rsid w:val="00F021A5"/>
    <w:pPr>
      <w:suppressLineNumbers/>
      <w:suppressAutoHyphens/>
      <w:spacing w:after="200" w:line="276" w:lineRule="auto"/>
    </w:pPr>
    <w:rPr>
      <w:rFonts w:ascii="Cambria" w:hAnsi="Cambria"/>
      <w:sz w:val="22"/>
      <w:szCs w:val="22"/>
      <w:lang w:val="en-US" w:bidi="en-US"/>
    </w:rPr>
  </w:style>
  <w:style w:type="paragraph" w:customStyle="1" w:styleId="Naslovtabele">
    <w:name w:val="Naslov tabele"/>
    <w:basedOn w:val="Vsebinatabele"/>
    <w:rsid w:val="00F021A5"/>
    <w:pPr>
      <w:jc w:val="center"/>
    </w:pPr>
    <w:rPr>
      <w:b/>
      <w:bCs/>
    </w:rPr>
  </w:style>
  <w:style w:type="numbering" w:customStyle="1" w:styleId="NoList2">
    <w:name w:val="No List2"/>
    <w:next w:val="Brezseznama"/>
    <w:semiHidden/>
    <w:rsid w:val="00F021A5"/>
  </w:style>
  <w:style w:type="character" w:customStyle="1" w:styleId="st1">
    <w:name w:val="st1"/>
    <w:rsid w:val="00F021A5"/>
  </w:style>
  <w:style w:type="paragraph" w:customStyle="1" w:styleId="pravnapodlaga1">
    <w:name w:val="pravnapodlaga1"/>
    <w:basedOn w:val="Navaden"/>
    <w:rsid w:val="00F021A5"/>
    <w:pPr>
      <w:spacing w:before="480" w:line="240" w:lineRule="auto"/>
      <w:ind w:firstLine="1021"/>
      <w:jc w:val="both"/>
    </w:pPr>
    <w:rPr>
      <w:rFonts w:cs="Arial"/>
      <w:sz w:val="22"/>
      <w:szCs w:val="22"/>
      <w:lang w:eastAsia="sl-SI"/>
    </w:rPr>
  </w:style>
  <w:style w:type="paragraph" w:styleId="Navadensplet">
    <w:name w:val="Normal (Web)"/>
    <w:basedOn w:val="Navaden"/>
    <w:uiPriority w:val="99"/>
    <w:unhideWhenUsed/>
    <w:rsid w:val="00F021A5"/>
    <w:pPr>
      <w:spacing w:before="100" w:beforeAutospacing="1" w:after="100" w:afterAutospacing="1" w:line="240" w:lineRule="auto"/>
    </w:pPr>
    <w:rPr>
      <w:rFonts w:ascii="Times New Roman" w:eastAsia="Calibri" w:hAnsi="Times New Roman"/>
      <w:sz w:val="24"/>
      <w:lang w:eastAsia="sl-SI"/>
    </w:rPr>
  </w:style>
  <w:style w:type="paragraph" w:styleId="Brezrazmikov">
    <w:name w:val="No Spacing"/>
    <w:basedOn w:val="Navaden"/>
    <w:uiPriority w:val="1"/>
    <w:qFormat/>
    <w:rsid w:val="00F021A5"/>
    <w:pPr>
      <w:spacing w:line="240" w:lineRule="auto"/>
    </w:pPr>
    <w:rPr>
      <w:rFonts w:ascii="Times New Roman" w:eastAsia="Calibri" w:hAnsi="Times New Roman"/>
      <w:sz w:val="24"/>
      <w:lang w:eastAsia="sl-SI"/>
    </w:rPr>
  </w:style>
  <w:style w:type="numbering" w:customStyle="1" w:styleId="Brezseznama1">
    <w:name w:val="Brez seznama1"/>
    <w:next w:val="Brezseznama"/>
    <w:semiHidden/>
    <w:rsid w:val="00F021A5"/>
  </w:style>
  <w:style w:type="character" w:customStyle="1" w:styleId="FooterChar">
    <w:name w:val="Footer Char"/>
    <w:uiPriority w:val="99"/>
    <w:rsid w:val="00F021A5"/>
    <w:rPr>
      <w:rFonts w:ascii="Cambria" w:eastAsia="Times New Roman" w:hAnsi="Cambria" w:cs="Times New Roman"/>
      <w:lang w:val="en-US" w:eastAsia="en-US" w:bidi="en-US"/>
    </w:rPr>
  </w:style>
  <w:style w:type="numbering" w:customStyle="1" w:styleId="Brezseznama2">
    <w:name w:val="Brez seznama2"/>
    <w:next w:val="Brezseznama"/>
    <w:semiHidden/>
    <w:rsid w:val="00F021A5"/>
  </w:style>
  <w:style w:type="numbering" w:customStyle="1" w:styleId="Brezseznama3">
    <w:name w:val="Brez seznama3"/>
    <w:next w:val="Brezseznama"/>
    <w:semiHidden/>
    <w:rsid w:val="00F021A5"/>
  </w:style>
  <w:style w:type="numbering" w:customStyle="1" w:styleId="Brezseznama4">
    <w:name w:val="Brez seznama4"/>
    <w:next w:val="Brezseznama"/>
    <w:semiHidden/>
    <w:rsid w:val="00F021A5"/>
  </w:style>
  <w:style w:type="numbering" w:customStyle="1" w:styleId="Brezseznama5">
    <w:name w:val="Brez seznama5"/>
    <w:next w:val="Brezseznama"/>
    <w:semiHidden/>
    <w:rsid w:val="00F021A5"/>
  </w:style>
  <w:style w:type="numbering" w:customStyle="1" w:styleId="Brezseznama6">
    <w:name w:val="Brez seznama6"/>
    <w:next w:val="Brezseznama"/>
    <w:semiHidden/>
    <w:rsid w:val="00F021A5"/>
  </w:style>
  <w:style w:type="numbering" w:customStyle="1" w:styleId="Brezseznama7">
    <w:name w:val="Brez seznama7"/>
    <w:next w:val="Brezseznama"/>
    <w:semiHidden/>
    <w:rsid w:val="00F021A5"/>
  </w:style>
  <w:style w:type="numbering" w:customStyle="1" w:styleId="Brezseznama8">
    <w:name w:val="Brez seznama8"/>
    <w:next w:val="Brezseznama"/>
    <w:semiHidden/>
    <w:rsid w:val="00F021A5"/>
  </w:style>
  <w:style w:type="numbering" w:customStyle="1" w:styleId="Brezseznama9">
    <w:name w:val="Brez seznama9"/>
    <w:next w:val="Brezseznama"/>
    <w:semiHidden/>
    <w:rsid w:val="00F021A5"/>
  </w:style>
  <w:style w:type="numbering" w:customStyle="1" w:styleId="Brezseznama10">
    <w:name w:val="Brez seznama10"/>
    <w:next w:val="Brezseznama"/>
    <w:semiHidden/>
    <w:rsid w:val="00F021A5"/>
  </w:style>
  <w:style w:type="numbering" w:customStyle="1" w:styleId="Brezseznama11">
    <w:name w:val="Brez seznama11"/>
    <w:next w:val="Brezseznama"/>
    <w:semiHidden/>
    <w:rsid w:val="00F021A5"/>
  </w:style>
  <w:style w:type="paragraph" w:customStyle="1" w:styleId="odstavek1">
    <w:name w:val="odstavek1"/>
    <w:basedOn w:val="Navaden"/>
    <w:rsid w:val="00F021A5"/>
    <w:pPr>
      <w:spacing w:before="240" w:line="240" w:lineRule="auto"/>
      <w:ind w:firstLine="1021"/>
      <w:jc w:val="both"/>
    </w:pPr>
    <w:rPr>
      <w:rFonts w:cs="Arial"/>
      <w:sz w:val="22"/>
      <w:szCs w:val="22"/>
      <w:lang w:eastAsia="sl-SI"/>
    </w:rPr>
  </w:style>
  <w:style w:type="numbering" w:customStyle="1" w:styleId="Brezseznama12">
    <w:name w:val="Brez seznama12"/>
    <w:next w:val="Brezseznama"/>
    <w:uiPriority w:val="99"/>
    <w:semiHidden/>
    <w:unhideWhenUsed/>
    <w:rsid w:val="00F021A5"/>
  </w:style>
  <w:style w:type="paragraph" w:styleId="HTML-oblikovano">
    <w:name w:val="HTML Preformatted"/>
    <w:basedOn w:val="Navaden"/>
    <w:link w:val="HTML-oblikovanoZnak"/>
    <w:uiPriority w:val="99"/>
    <w:unhideWhenUsed/>
    <w:rsid w:val="00F0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Cs w:val="20"/>
      <w:lang w:eastAsia="sl-SI"/>
    </w:rPr>
  </w:style>
  <w:style w:type="character" w:customStyle="1" w:styleId="HTML-oblikovanoZnak">
    <w:name w:val="HTML-oblikovano Znak"/>
    <w:basedOn w:val="Privzetapisavaodstavka"/>
    <w:link w:val="HTML-oblikovano"/>
    <w:uiPriority w:val="99"/>
    <w:rsid w:val="00F021A5"/>
    <w:rPr>
      <w:rFonts w:ascii="Courier New" w:eastAsia="Calibri" w:hAnsi="Courier New" w:cs="Courier New"/>
      <w:color w:val="000000"/>
      <w:sz w:val="20"/>
      <w:szCs w:val="20"/>
      <w:lang w:eastAsia="sl-SI"/>
    </w:rPr>
  </w:style>
  <w:style w:type="character" w:customStyle="1" w:styleId="apple-converted-space">
    <w:name w:val="apple-converted-space"/>
    <w:rsid w:val="00F021A5"/>
  </w:style>
  <w:style w:type="character" w:customStyle="1" w:styleId="OdstavekseznamaZnak">
    <w:name w:val="Odstavek seznama Znak"/>
    <w:aliases w:val="numbered list Znak"/>
    <w:link w:val="Odstavekseznama"/>
    <w:uiPriority w:val="26"/>
    <w:locked/>
    <w:rsid w:val="00F021A5"/>
    <w:rPr>
      <w:rFonts w:ascii="Cambria" w:eastAsia="Times New Roman" w:hAnsi="Cambria" w:cs="Times New Roman"/>
      <w:lang w:val="en-US" w:bidi="en-US"/>
    </w:rPr>
  </w:style>
  <w:style w:type="paragraph" w:customStyle="1" w:styleId="Priloga">
    <w:name w:val="Priloga"/>
    <w:basedOn w:val="Navaden"/>
    <w:link w:val="PrilogaChar"/>
    <w:qFormat/>
    <w:rsid w:val="00F021A5"/>
    <w:pPr>
      <w:spacing w:line="240" w:lineRule="auto"/>
      <w:jc w:val="right"/>
    </w:pPr>
    <w:rPr>
      <w:rFonts w:eastAsia="Calibri"/>
      <w:b/>
      <w:szCs w:val="20"/>
    </w:rPr>
  </w:style>
  <w:style w:type="character" w:customStyle="1" w:styleId="PrilogaChar">
    <w:name w:val="Priloga Char"/>
    <w:link w:val="Priloga"/>
    <w:rsid w:val="00F021A5"/>
    <w:rPr>
      <w:rFonts w:ascii="Arial" w:eastAsia="Calibri" w:hAnsi="Arial" w:cs="Times New Roman"/>
      <w:b/>
      <w:sz w:val="20"/>
      <w:szCs w:val="20"/>
    </w:rPr>
  </w:style>
  <w:style w:type="paragraph" w:customStyle="1" w:styleId="Predlog-bolddesno">
    <w:name w:val="Predlog - bold desno"/>
    <w:basedOn w:val="Navaden"/>
    <w:link w:val="Predlog-bolddesnoChar"/>
    <w:qFormat/>
    <w:rsid w:val="00F021A5"/>
    <w:pPr>
      <w:jc w:val="right"/>
    </w:pPr>
    <w:rPr>
      <w:b/>
    </w:rPr>
  </w:style>
  <w:style w:type="character" w:customStyle="1" w:styleId="Predlog-bolddesnoChar">
    <w:name w:val="Predlog - bold desno Char"/>
    <w:link w:val="Predlog-bolddesno"/>
    <w:rsid w:val="00F021A5"/>
    <w:rPr>
      <w:rFonts w:ascii="Arial" w:eastAsia="Times New Roman" w:hAnsi="Arial" w:cs="Times New Roman"/>
      <w:b/>
      <w:sz w:val="20"/>
      <w:szCs w:val="24"/>
    </w:rPr>
  </w:style>
  <w:style w:type="paragraph" w:customStyle="1" w:styleId="Netevilenopoglavje">
    <w:name w:val="Neštevilčeno poglavje"/>
    <w:basedOn w:val="Navaden"/>
    <w:link w:val="NetevilenopoglavjeChar"/>
    <w:qFormat/>
    <w:rsid w:val="00F021A5"/>
    <w:pPr>
      <w:spacing w:line="240" w:lineRule="auto"/>
      <w:jc w:val="center"/>
    </w:pPr>
    <w:rPr>
      <w:rFonts w:eastAsia="Calibri"/>
      <w:b/>
      <w:sz w:val="22"/>
      <w:szCs w:val="22"/>
    </w:rPr>
  </w:style>
  <w:style w:type="character" w:customStyle="1" w:styleId="NetevilenopoglavjeChar">
    <w:name w:val="Neštevilčeno poglavje Char"/>
    <w:link w:val="Netevilenopoglavje"/>
    <w:rsid w:val="00F021A5"/>
    <w:rPr>
      <w:rFonts w:ascii="Arial" w:eastAsia="Calibri" w:hAnsi="Arial" w:cs="Times New Roman"/>
      <w:b/>
    </w:rPr>
  </w:style>
  <w:style w:type="paragraph" w:customStyle="1" w:styleId="Alineje">
    <w:name w:val="Alineje"/>
    <w:basedOn w:val="Odstavekseznama"/>
    <w:link w:val="AlinejeChar"/>
    <w:qFormat/>
    <w:rsid w:val="00F021A5"/>
    <w:pPr>
      <w:numPr>
        <w:numId w:val="28"/>
      </w:numPr>
      <w:suppressAutoHyphens w:val="0"/>
      <w:spacing w:before="120" w:after="120" w:line="240" w:lineRule="auto"/>
      <w:ind w:left="714" w:hanging="357"/>
      <w:jc w:val="both"/>
    </w:pPr>
    <w:rPr>
      <w:rFonts w:ascii="Arial" w:eastAsia="Calibri" w:hAnsi="Arial"/>
      <w:sz w:val="20"/>
      <w:szCs w:val="20"/>
      <w:lang w:val="sl-SI" w:bidi="ar-SA"/>
    </w:rPr>
  </w:style>
  <w:style w:type="character" w:customStyle="1" w:styleId="AlinejeChar">
    <w:name w:val="Alineje Char"/>
    <w:link w:val="Alineje"/>
    <w:rsid w:val="00F021A5"/>
    <w:rPr>
      <w:rFonts w:ascii="Arial" w:eastAsia="Calibri" w:hAnsi="Arial" w:cs="Times New Roman"/>
      <w:sz w:val="20"/>
      <w:szCs w:val="20"/>
    </w:rPr>
  </w:style>
  <w:style w:type="character" w:customStyle="1" w:styleId="NapisZnak">
    <w:name w:val="Napis Znak"/>
    <w:aliases w:val="Caption Char1 Znak,Caption Char Char Znak"/>
    <w:link w:val="Napis"/>
    <w:uiPriority w:val="2"/>
    <w:locked/>
    <w:rsid w:val="00F021A5"/>
    <w:rPr>
      <w:rFonts w:ascii="Cambria" w:eastAsia="Times New Roman" w:hAnsi="Cambria" w:cs="Tahoma"/>
      <w:i/>
      <w:iCs/>
      <w:sz w:val="24"/>
      <w:szCs w:val="24"/>
      <w:lang w:val="en-US" w:bidi="en-US"/>
    </w:rPr>
  </w:style>
  <w:style w:type="paragraph" w:customStyle="1" w:styleId="Legenda">
    <w:name w:val="Legenda"/>
    <w:basedOn w:val="Navaden"/>
    <w:link w:val="LegendaChar"/>
    <w:qFormat/>
    <w:rsid w:val="00F021A5"/>
    <w:pPr>
      <w:spacing w:line="240" w:lineRule="auto"/>
      <w:jc w:val="center"/>
    </w:pPr>
    <w:rPr>
      <w:sz w:val="16"/>
      <w:szCs w:val="16"/>
      <w:lang w:eastAsia="sl-SI"/>
    </w:rPr>
  </w:style>
  <w:style w:type="character" w:customStyle="1" w:styleId="LegendaChar">
    <w:name w:val="Legenda Char"/>
    <w:link w:val="Legenda"/>
    <w:rsid w:val="00F021A5"/>
    <w:rPr>
      <w:rFonts w:ascii="Arial" w:eastAsia="Times New Roman" w:hAnsi="Arial" w:cs="Times New Roman"/>
      <w:sz w:val="16"/>
      <w:szCs w:val="16"/>
      <w:lang w:eastAsia="sl-SI"/>
    </w:rPr>
  </w:style>
  <w:style w:type="paragraph" w:styleId="Kazalovsebine1">
    <w:name w:val="toc 1"/>
    <w:basedOn w:val="Navaden"/>
    <w:next w:val="Navaden"/>
    <w:autoRedefine/>
    <w:uiPriority w:val="39"/>
    <w:unhideWhenUsed/>
    <w:qFormat/>
    <w:rsid w:val="00F021A5"/>
    <w:pPr>
      <w:tabs>
        <w:tab w:val="left" w:pos="440"/>
        <w:tab w:val="right" w:leader="dot" w:pos="9061"/>
      </w:tabs>
      <w:spacing w:line="240" w:lineRule="auto"/>
      <w:jc w:val="both"/>
    </w:pPr>
    <w:rPr>
      <w:rFonts w:ascii="Calibri" w:eastAsia="Calibri" w:hAnsi="Calibri" w:cs="Calibri"/>
      <w:b/>
      <w:noProof/>
      <w:sz w:val="22"/>
      <w:szCs w:val="22"/>
    </w:rPr>
  </w:style>
  <w:style w:type="paragraph" w:customStyle="1" w:styleId="TabelaNAPOVED">
    <w:name w:val="Tabela_NAPOVED"/>
    <w:basedOn w:val="Navaden"/>
    <w:link w:val="TabelaNAPOVEDChar"/>
    <w:uiPriority w:val="9"/>
    <w:qFormat/>
    <w:rsid w:val="00F021A5"/>
    <w:pPr>
      <w:spacing w:line="240" w:lineRule="auto"/>
      <w:jc w:val="right"/>
    </w:pPr>
    <w:rPr>
      <w:rFonts w:eastAsia="Calibri"/>
      <w:sz w:val="16"/>
      <w:szCs w:val="22"/>
    </w:rPr>
  </w:style>
  <w:style w:type="character" w:customStyle="1" w:styleId="TabelaNAPOVEDChar">
    <w:name w:val="Tabela_NAPOVED Char"/>
    <w:link w:val="TabelaNAPOVED"/>
    <w:uiPriority w:val="9"/>
    <w:rsid w:val="00F021A5"/>
    <w:rPr>
      <w:rFonts w:ascii="Arial" w:eastAsia="Calibri" w:hAnsi="Arial"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1.png@01D747DA.9B696FE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cid:image007.png@01D747DA.9B696FE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003489473206318E-2"/>
          <c:y val="0.11290764203341441"/>
          <c:w val="0.90654067747297662"/>
          <c:h val="0.53451824630278144"/>
        </c:manualLayout>
      </c:layout>
      <c:barChart>
        <c:barDir val="col"/>
        <c:grouping val="stacked"/>
        <c:varyColors val="0"/>
        <c:ser>
          <c:idx val="0"/>
          <c:order val="0"/>
          <c:tx>
            <c:strRef>
              <c:f>Sheet1!$A$2</c:f>
              <c:strCache>
                <c:ptCount val="1"/>
                <c:pt idx="0">
                  <c:v>Odplačila glavnic na dan  31.12.2020</c:v>
                </c:pt>
              </c:strCache>
            </c:strRef>
          </c:tx>
          <c:spPr>
            <a:solidFill>
              <a:srgbClr val="2D5195"/>
            </a:solidFill>
            <a:ln w="6350">
              <a:solidFill>
                <a:schemeClr val="tx1"/>
              </a:solidFill>
            </a:ln>
            <a:effectLst>
              <a:glow>
                <a:schemeClr val="accent1">
                  <a:alpha val="40000"/>
                </a:schemeClr>
              </a:glow>
              <a:softEdge rad="0"/>
            </a:effectLst>
          </c:spPr>
          <c:invertIfNegative val="0"/>
          <c:cat>
            <c:strRef>
              <c:f>Sheet1!$B$1:$AG$1</c:f>
              <c:strCache>
                <c:ptCount val="32"/>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c:v>
                </c:pt>
                <c:pt idx="31">
                  <c:v>2081</c:v>
                </c:pt>
              </c:strCache>
            </c:strRef>
          </c:cat>
          <c:val>
            <c:numRef>
              <c:f>Sheet1!$B$2:$AG$2</c:f>
              <c:numCache>
                <c:formatCode>#,##0.0</c:formatCode>
                <c:ptCount val="32"/>
                <c:pt idx="0">
                  <c:v>3387.1475579799999</c:v>
                </c:pt>
                <c:pt idx="1">
                  <c:v>1293.0108187400001</c:v>
                </c:pt>
                <c:pt idx="2">
                  <c:v>2436.1943561900002</c:v>
                </c:pt>
                <c:pt idx="3">
                  <c:v>2503.4551788899998</c:v>
                </c:pt>
                <c:pt idx="4">
                  <c:v>2348.3758070999997</c:v>
                </c:pt>
                <c:pt idx="5">
                  <c:v>1523.3758071</c:v>
                </c:pt>
                <c:pt idx="6" formatCode="General">
                  <c:v>3123.3758070999997</c:v>
                </c:pt>
                <c:pt idx="7" formatCode="General">
                  <c:v>2373.3758070999997</c:v>
                </c:pt>
                <c:pt idx="8" formatCode="General">
                  <c:v>2273.3758070999997</c:v>
                </c:pt>
                <c:pt idx="9" formatCode="General">
                  <c:v>2723.3758070999997</c:v>
                </c:pt>
                <c:pt idx="10" formatCode="General">
                  <c:v>23.375807100000003</c:v>
                </c:pt>
                <c:pt idx="11" formatCode="General">
                  <c:v>2273.3758070999997</c:v>
                </c:pt>
                <c:pt idx="12" formatCode="General">
                  <c:v>23.37580698</c:v>
                </c:pt>
                <c:pt idx="13" formatCode="General">
                  <c:v>16.103079820000001</c:v>
                </c:pt>
                <c:pt idx="14" formatCode="General">
                  <c:v>2366.1030798199999</c:v>
                </c:pt>
                <c:pt idx="15" formatCode="General">
                  <c:v>16.103079820000001</c:v>
                </c:pt>
                <c:pt idx="16" formatCode="General">
                  <c:v>16.103079820000001</c:v>
                </c:pt>
                <c:pt idx="17" formatCode="General">
                  <c:v>16.103079820000001</c:v>
                </c:pt>
                <c:pt idx="18" formatCode="General">
                  <c:v>16.103079789999999</c:v>
                </c:pt>
                <c:pt idx="19" formatCode="General">
                  <c:v>3005.4054054000003</c:v>
                </c:pt>
                <c:pt idx="20" formatCode="General">
                  <c:v>5.4054054999999996</c:v>
                </c:pt>
                <c:pt idx="21" formatCode="General">
                  <c:v>0</c:v>
                </c:pt>
                <c:pt idx="22" formatCode="General">
                  <c:v>0</c:v>
                </c:pt>
                <c:pt idx="23" formatCode="General">
                  <c:v>0</c:v>
                </c:pt>
                <c:pt idx="24" formatCode="General">
                  <c:v>1509</c:v>
                </c:pt>
                <c:pt idx="25" formatCode="General">
                  <c:v>0</c:v>
                </c:pt>
                <c:pt idx="26" formatCode="General">
                  <c:v>0</c:v>
                </c:pt>
                <c:pt idx="27" formatCode="General">
                  <c:v>0</c:v>
                </c:pt>
                <c:pt idx="28" formatCode="General">
                  <c:v>0</c:v>
                </c:pt>
                <c:pt idx="29" formatCode="General">
                  <c:v>1000</c:v>
                </c:pt>
              </c:numCache>
            </c:numRef>
          </c:val>
          <c:extLst>
            <c:ext xmlns:c16="http://schemas.microsoft.com/office/drawing/2014/chart" uri="{C3380CC4-5D6E-409C-BE32-E72D297353CC}">
              <c16:uniqueId val="{00000000-E521-4C6E-A2C0-4AA3AB8BAF38}"/>
            </c:ext>
          </c:extLst>
        </c:ser>
        <c:ser>
          <c:idx val="1"/>
          <c:order val="1"/>
          <c:tx>
            <c:strRef>
              <c:f>Sheet1!$A$3</c:f>
              <c:strCache>
                <c:ptCount val="1"/>
                <c:pt idx="0">
                  <c:v>SLOREP Feb. 2031</c:v>
                </c:pt>
              </c:strCache>
            </c:strRef>
          </c:tx>
          <c:spPr>
            <a:solidFill>
              <a:srgbClr val="92D050"/>
            </a:solidFill>
            <a:ln>
              <a:solidFill>
                <a:schemeClr val="tx1"/>
              </a:solidFill>
            </a:ln>
          </c:spPr>
          <c:invertIfNegative val="0"/>
          <c:dPt>
            <c:idx val="10"/>
            <c:invertIfNegative val="0"/>
            <c:bubble3D val="0"/>
            <c:spPr>
              <a:solidFill>
                <a:srgbClr val="92D050"/>
              </a:solidFill>
              <a:ln w="6350">
                <a:solidFill>
                  <a:schemeClr val="tx1"/>
                </a:solidFill>
              </a:ln>
            </c:spPr>
            <c:extLst>
              <c:ext xmlns:c16="http://schemas.microsoft.com/office/drawing/2014/chart" uri="{C3380CC4-5D6E-409C-BE32-E72D297353CC}">
                <c16:uniqueId val="{00000001-E521-4C6E-A2C0-4AA3AB8BAF38}"/>
              </c:ext>
            </c:extLst>
          </c:dPt>
          <c:cat>
            <c:strRef>
              <c:f>Sheet1!$B$1:$AG$1</c:f>
              <c:strCache>
                <c:ptCount val="32"/>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c:v>
                </c:pt>
                <c:pt idx="31">
                  <c:v>2081</c:v>
                </c:pt>
              </c:strCache>
            </c:strRef>
          </c:cat>
          <c:val>
            <c:numRef>
              <c:f>Sheet1!$B$3:$AG$3</c:f>
              <c:numCache>
                <c:formatCode>General</c:formatCode>
                <c:ptCount val="32"/>
                <c:pt idx="10">
                  <c:v>1750</c:v>
                </c:pt>
              </c:numCache>
            </c:numRef>
          </c:val>
          <c:extLst>
            <c:ext xmlns:c16="http://schemas.microsoft.com/office/drawing/2014/chart" uri="{C3380CC4-5D6E-409C-BE32-E72D297353CC}">
              <c16:uniqueId val="{00000002-E521-4C6E-A2C0-4AA3AB8BAF38}"/>
            </c:ext>
          </c:extLst>
        </c:ser>
        <c:ser>
          <c:idx val="2"/>
          <c:order val="2"/>
          <c:tx>
            <c:strRef>
              <c:f>Sheet1!$A$4</c:f>
              <c:strCache>
                <c:ptCount val="1"/>
                <c:pt idx="0">
                  <c:v>Tap SLOREP Okt. 2050</c:v>
                </c:pt>
              </c:strCache>
            </c:strRef>
          </c:tx>
          <c:spPr>
            <a:solidFill>
              <a:srgbClr val="E2001A"/>
            </a:solidFill>
            <a:ln>
              <a:solidFill>
                <a:schemeClr val="tx1"/>
              </a:solidFill>
            </a:ln>
          </c:spPr>
          <c:invertIfNegative val="0"/>
          <c:dPt>
            <c:idx val="12"/>
            <c:invertIfNegative val="0"/>
            <c:bubble3D val="0"/>
            <c:spPr>
              <a:solidFill>
                <a:srgbClr val="E2001A"/>
              </a:solidFill>
              <a:ln w="6350">
                <a:solidFill>
                  <a:schemeClr val="tx1"/>
                </a:solidFill>
              </a:ln>
            </c:spPr>
            <c:extLst>
              <c:ext xmlns:c16="http://schemas.microsoft.com/office/drawing/2014/chart" uri="{C3380CC4-5D6E-409C-BE32-E72D297353CC}">
                <c16:uniqueId val="{00000003-E521-4C6E-A2C0-4AA3AB8BAF38}"/>
              </c:ext>
            </c:extLst>
          </c:dPt>
          <c:cat>
            <c:strRef>
              <c:f>Sheet1!$B$1:$AG$1</c:f>
              <c:strCache>
                <c:ptCount val="32"/>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c:v>
                </c:pt>
                <c:pt idx="31">
                  <c:v>2081</c:v>
                </c:pt>
              </c:strCache>
            </c:strRef>
          </c:cat>
          <c:val>
            <c:numRef>
              <c:f>Sheet1!$B$4:$AG$4</c:f>
              <c:numCache>
                <c:formatCode>General</c:formatCode>
                <c:ptCount val="32"/>
                <c:pt idx="29">
                  <c:v>250</c:v>
                </c:pt>
              </c:numCache>
            </c:numRef>
          </c:val>
          <c:extLst>
            <c:ext xmlns:c16="http://schemas.microsoft.com/office/drawing/2014/chart" uri="{C3380CC4-5D6E-409C-BE32-E72D297353CC}">
              <c16:uniqueId val="{00000004-E521-4C6E-A2C0-4AA3AB8BAF38}"/>
            </c:ext>
          </c:extLst>
        </c:ser>
        <c:ser>
          <c:idx val="3"/>
          <c:order val="3"/>
          <c:tx>
            <c:strRef>
              <c:f>Sheet1!$A$5</c:f>
              <c:strCache>
                <c:ptCount val="1"/>
                <c:pt idx="0">
                  <c:v>Tap SLOREP Mar. 2029</c:v>
                </c:pt>
              </c:strCache>
            </c:strRef>
          </c:tx>
          <c:spPr>
            <a:solidFill>
              <a:schemeClr val="accent6">
                <a:lumMod val="75000"/>
              </a:schemeClr>
            </a:solidFill>
            <a:ln>
              <a:solidFill>
                <a:schemeClr val="tx1"/>
              </a:solidFill>
            </a:ln>
          </c:spPr>
          <c:invertIfNegative val="0"/>
          <c:dPt>
            <c:idx val="25"/>
            <c:invertIfNegative val="0"/>
            <c:bubble3D val="0"/>
            <c:spPr>
              <a:solidFill>
                <a:schemeClr val="accent6">
                  <a:lumMod val="75000"/>
                </a:schemeClr>
              </a:solidFill>
              <a:ln w="6350">
                <a:solidFill>
                  <a:schemeClr val="tx1"/>
                </a:solidFill>
              </a:ln>
            </c:spPr>
            <c:extLst>
              <c:ext xmlns:c16="http://schemas.microsoft.com/office/drawing/2014/chart" uri="{C3380CC4-5D6E-409C-BE32-E72D297353CC}">
                <c16:uniqueId val="{00000005-E521-4C6E-A2C0-4AA3AB8BAF38}"/>
              </c:ext>
            </c:extLst>
          </c:dPt>
          <c:cat>
            <c:strRef>
              <c:f>Sheet1!$B$1:$AG$1</c:f>
              <c:strCache>
                <c:ptCount val="32"/>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c:v>
                </c:pt>
                <c:pt idx="31">
                  <c:v>2081</c:v>
                </c:pt>
              </c:strCache>
            </c:strRef>
          </c:cat>
          <c:val>
            <c:numRef>
              <c:f>Sheet1!$B$5:$AG$5</c:f>
              <c:numCache>
                <c:formatCode>General</c:formatCode>
                <c:ptCount val="32"/>
                <c:pt idx="8">
                  <c:v>200</c:v>
                </c:pt>
              </c:numCache>
            </c:numRef>
          </c:val>
          <c:extLst>
            <c:ext xmlns:c16="http://schemas.microsoft.com/office/drawing/2014/chart" uri="{C3380CC4-5D6E-409C-BE32-E72D297353CC}">
              <c16:uniqueId val="{00000006-E521-4C6E-A2C0-4AA3AB8BAF38}"/>
            </c:ext>
          </c:extLst>
        </c:ser>
        <c:ser>
          <c:idx val="4"/>
          <c:order val="4"/>
          <c:tx>
            <c:strRef>
              <c:f>Sheet1!$A$6</c:f>
              <c:strCache>
                <c:ptCount val="1"/>
                <c:pt idx="0">
                  <c:v>Tap SLOREP Jan. 2030</c:v>
                </c:pt>
              </c:strCache>
            </c:strRef>
          </c:tx>
          <c:spPr>
            <a:solidFill>
              <a:srgbClr val="00B0F0"/>
            </a:solidFill>
            <a:ln w="6350">
              <a:solidFill>
                <a:schemeClr val="tx1"/>
              </a:solidFill>
            </a:ln>
          </c:spPr>
          <c:invertIfNegative val="0"/>
          <c:cat>
            <c:strRef>
              <c:f>Sheet1!$B$1:$AG$1</c:f>
              <c:strCache>
                <c:ptCount val="32"/>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c:v>
                </c:pt>
                <c:pt idx="31">
                  <c:v>2081</c:v>
                </c:pt>
              </c:strCache>
            </c:strRef>
          </c:cat>
          <c:val>
            <c:numRef>
              <c:f>Sheet1!$B$6:$AG$6</c:f>
              <c:numCache>
                <c:formatCode>General</c:formatCode>
                <c:ptCount val="32"/>
                <c:pt idx="9">
                  <c:v>200</c:v>
                </c:pt>
              </c:numCache>
            </c:numRef>
          </c:val>
          <c:extLst>
            <c:ext xmlns:c16="http://schemas.microsoft.com/office/drawing/2014/chart" uri="{C3380CC4-5D6E-409C-BE32-E72D297353CC}">
              <c16:uniqueId val="{00000007-E521-4C6E-A2C0-4AA3AB8BAF38}"/>
            </c:ext>
          </c:extLst>
        </c:ser>
        <c:ser>
          <c:idx val="5"/>
          <c:order val="5"/>
          <c:tx>
            <c:strRef>
              <c:f>Sheet1!$A$7</c:f>
              <c:strCache>
                <c:ptCount val="1"/>
                <c:pt idx="0">
                  <c:v>SLOREP Mar. 2081</c:v>
                </c:pt>
              </c:strCache>
            </c:strRef>
          </c:tx>
          <c:spPr>
            <a:pattFill prst="pct80">
              <a:fgClr>
                <a:srgbClr val="00B050"/>
              </a:fgClr>
              <a:bgClr>
                <a:schemeClr val="bg1"/>
              </a:bgClr>
            </a:pattFill>
            <a:ln w="6350">
              <a:solidFill>
                <a:schemeClr val="tx1"/>
              </a:solidFill>
            </a:ln>
          </c:spPr>
          <c:invertIfNegative val="0"/>
          <c:cat>
            <c:strRef>
              <c:f>Sheet1!$B$1:$AG$1</c:f>
              <c:strCache>
                <c:ptCount val="32"/>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c:v>
                </c:pt>
                <c:pt idx="31">
                  <c:v>2081</c:v>
                </c:pt>
              </c:strCache>
            </c:strRef>
          </c:cat>
          <c:val>
            <c:numRef>
              <c:f>Sheet1!$B$7:$AG$7</c:f>
              <c:numCache>
                <c:formatCode>General</c:formatCode>
                <c:ptCount val="32"/>
                <c:pt idx="31">
                  <c:v>500</c:v>
                </c:pt>
              </c:numCache>
            </c:numRef>
          </c:val>
          <c:extLst>
            <c:ext xmlns:c16="http://schemas.microsoft.com/office/drawing/2014/chart" uri="{C3380CC4-5D6E-409C-BE32-E72D297353CC}">
              <c16:uniqueId val="{00000008-E521-4C6E-A2C0-4AA3AB8BAF38}"/>
            </c:ext>
          </c:extLst>
        </c:ser>
        <c:ser>
          <c:idx val="6"/>
          <c:order val="6"/>
          <c:tx>
            <c:strRef>
              <c:f>Sheet1!$A$8</c:f>
              <c:strCache>
                <c:ptCount val="1"/>
                <c:pt idx="0">
                  <c:v>SURE posojilo 7-let</c:v>
                </c:pt>
              </c:strCache>
            </c:strRef>
          </c:tx>
          <c:spPr>
            <a:pattFill prst="pct75">
              <a:fgClr>
                <a:srgbClr val="FFC000"/>
              </a:fgClr>
              <a:bgClr>
                <a:schemeClr val="bg1"/>
              </a:bgClr>
            </a:pattFill>
            <a:ln>
              <a:solidFill>
                <a:schemeClr val="tx1"/>
              </a:solidFill>
            </a:ln>
          </c:spPr>
          <c:invertIfNegative val="0"/>
          <c:dPt>
            <c:idx val="10"/>
            <c:invertIfNegative val="0"/>
            <c:bubble3D val="0"/>
            <c:spPr>
              <a:pattFill prst="pct75">
                <a:fgClr>
                  <a:srgbClr val="FFC000"/>
                </a:fgClr>
                <a:bgClr>
                  <a:schemeClr val="bg1"/>
                </a:bgClr>
              </a:pattFill>
              <a:ln w="6350">
                <a:solidFill>
                  <a:schemeClr val="tx1"/>
                </a:solidFill>
              </a:ln>
            </c:spPr>
            <c:extLst>
              <c:ext xmlns:c16="http://schemas.microsoft.com/office/drawing/2014/chart" uri="{C3380CC4-5D6E-409C-BE32-E72D297353CC}">
                <c16:uniqueId val="{00000009-E521-4C6E-A2C0-4AA3AB8BAF38}"/>
              </c:ext>
            </c:extLst>
          </c:dPt>
          <c:cat>
            <c:strRef>
              <c:f>Sheet1!$B$1:$AG$1</c:f>
              <c:strCache>
                <c:ptCount val="32"/>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c:v>
                </c:pt>
                <c:pt idx="31">
                  <c:v>2081</c:v>
                </c:pt>
              </c:strCache>
            </c:strRef>
          </c:cat>
          <c:val>
            <c:numRef>
              <c:f>Sheet1!$B$8:$AG$8</c:f>
              <c:numCache>
                <c:formatCode>General</c:formatCode>
                <c:ptCount val="32"/>
                <c:pt idx="7">
                  <c:v>520</c:v>
                </c:pt>
              </c:numCache>
            </c:numRef>
          </c:val>
          <c:extLst>
            <c:ext xmlns:c16="http://schemas.microsoft.com/office/drawing/2014/chart" uri="{C3380CC4-5D6E-409C-BE32-E72D297353CC}">
              <c16:uniqueId val="{0000000A-E521-4C6E-A2C0-4AA3AB8BAF38}"/>
            </c:ext>
          </c:extLst>
        </c:ser>
        <c:ser>
          <c:idx val="7"/>
          <c:order val="7"/>
          <c:tx>
            <c:strRef>
              <c:f>Sheet1!$A$9</c:f>
              <c:strCache>
                <c:ptCount val="1"/>
                <c:pt idx="0">
                  <c:v>SURE posojilo 30-let</c:v>
                </c:pt>
              </c:strCache>
            </c:strRef>
          </c:tx>
          <c:spPr>
            <a:pattFill prst="trellis">
              <a:fgClr>
                <a:srgbClr val="FFC000"/>
              </a:fgClr>
              <a:bgClr>
                <a:schemeClr val="bg1"/>
              </a:bgClr>
            </a:pattFill>
            <a:ln>
              <a:solidFill>
                <a:schemeClr val="tx1"/>
              </a:solidFill>
            </a:ln>
          </c:spPr>
          <c:invertIfNegative val="0"/>
          <c:cat>
            <c:strRef>
              <c:f>Sheet1!$B$1:$AG$1</c:f>
              <c:strCache>
                <c:ptCount val="32"/>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c:v>
                </c:pt>
                <c:pt idx="31">
                  <c:v>2081</c:v>
                </c:pt>
              </c:strCache>
            </c:strRef>
          </c:cat>
          <c:val>
            <c:numRef>
              <c:f>Sheet1!$B$9:$AG$9</c:f>
              <c:numCache>
                <c:formatCode>General</c:formatCode>
                <c:ptCount val="32"/>
                <c:pt idx="29">
                  <c:v>393</c:v>
                </c:pt>
              </c:numCache>
            </c:numRef>
          </c:val>
          <c:extLst>
            <c:ext xmlns:c16="http://schemas.microsoft.com/office/drawing/2014/chart" uri="{C3380CC4-5D6E-409C-BE32-E72D297353CC}">
              <c16:uniqueId val="{0000000B-E521-4C6E-A2C0-4AA3AB8BAF38}"/>
            </c:ext>
          </c:extLst>
        </c:ser>
        <c:ser>
          <c:idx val="8"/>
          <c:order val="8"/>
          <c:tx>
            <c:strRef>
              <c:f>Sheet1!$A$10</c:f>
              <c:strCache>
                <c:ptCount val="1"/>
                <c:pt idx="0">
                  <c:v>Zakladne menice (12-m)</c:v>
                </c:pt>
              </c:strCache>
            </c:strRef>
          </c:tx>
          <c:spPr>
            <a:solidFill>
              <a:schemeClr val="accent6">
                <a:lumMod val="60000"/>
                <a:lumOff val="40000"/>
              </a:schemeClr>
            </a:solidFill>
            <a:ln>
              <a:solidFill>
                <a:schemeClr val="tx1"/>
              </a:solidFill>
            </a:ln>
          </c:spPr>
          <c:invertIfNegative val="0"/>
          <c:cat>
            <c:strRef>
              <c:f>Sheet1!$B$1:$AG$1</c:f>
              <c:strCache>
                <c:ptCount val="32"/>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c:v>
                </c:pt>
                <c:pt idx="31">
                  <c:v>2081</c:v>
                </c:pt>
              </c:strCache>
            </c:strRef>
          </c:cat>
          <c:val>
            <c:numRef>
              <c:f>Sheet1!$B$10:$AG$10</c:f>
              <c:numCache>
                <c:formatCode>General</c:formatCode>
                <c:ptCount val="32"/>
                <c:pt idx="1">
                  <c:v>84.5</c:v>
                </c:pt>
              </c:numCache>
            </c:numRef>
          </c:val>
          <c:extLst>
            <c:ext xmlns:c16="http://schemas.microsoft.com/office/drawing/2014/chart" uri="{C3380CC4-5D6E-409C-BE32-E72D297353CC}">
              <c16:uniqueId val="{0000000C-E521-4C6E-A2C0-4AA3AB8BAF38}"/>
            </c:ext>
          </c:extLst>
        </c:ser>
        <c:ser>
          <c:idx val="9"/>
          <c:order val="9"/>
          <c:tx>
            <c:strRef>
              <c:f>Sheet1!$A$11</c:f>
              <c:strCache>
                <c:ptCount val="1"/>
                <c:pt idx="0">
                  <c:v>Zakladne menice (3-m,6-m)</c:v>
                </c:pt>
              </c:strCache>
            </c:strRef>
          </c:tx>
          <c:spPr>
            <a:solidFill>
              <a:schemeClr val="accent6">
                <a:lumMod val="60000"/>
                <a:lumOff val="40000"/>
              </a:schemeClr>
            </a:solidFill>
            <a:ln>
              <a:solidFill>
                <a:schemeClr val="tx1"/>
              </a:solidFill>
            </a:ln>
          </c:spPr>
          <c:invertIfNegative val="0"/>
          <c:cat>
            <c:strRef>
              <c:f>Sheet1!$B$1:$AG$1</c:f>
              <c:strCache>
                <c:ptCount val="32"/>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c:v>
                </c:pt>
                <c:pt idx="31">
                  <c:v>2081</c:v>
                </c:pt>
              </c:strCache>
            </c:strRef>
          </c:cat>
          <c:val>
            <c:numRef>
              <c:f>Sheet1!$B$11:$AG$11</c:f>
              <c:numCache>
                <c:formatCode>General</c:formatCode>
                <c:ptCount val="32"/>
                <c:pt idx="0">
                  <c:v>205</c:v>
                </c:pt>
              </c:numCache>
            </c:numRef>
          </c:val>
          <c:extLst>
            <c:ext xmlns:c16="http://schemas.microsoft.com/office/drawing/2014/chart" uri="{C3380CC4-5D6E-409C-BE32-E72D297353CC}">
              <c16:uniqueId val="{0000000D-E521-4C6E-A2C0-4AA3AB8BAF38}"/>
            </c:ext>
          </c:extLst>
        </c:ser>
        <c:dLbls>
          <c:showLegendKey val="0"/>
          <c:showVal val="0"/>
          <c:showCatName val="0"/>
          <c:showSerName val="0"/>
          <c:showPercent val="0"/>
          <c:showBubbleSize val="0"/>
        </c:dLbls>
        <c:gapWidth val="29"/>
        <c:overlap val="100"/>
        <c:axId val="180775416"/>
        <c:axId val="1"/>
      </c:barChart>
      <c:catAx>
        <c:axId val="180775416"/>
        <c:scaling>
          <c:orientation val="minMax"/>
        </c:scaling>
        <c:delete val="0"/>
        <c:axPos val="b"/>
        <c:numFmt formatCode="General" sourceLinked="0"/>
        <c:majorTickMark val="out"/>
        <c:minorTickMark val="none"/>
        <c:tickLblPos val="low"/>
        <c:txPr>
          <a:bodyPr rot="-5400000" vert="horz"/>
          <a:lstStyle/>
          <a:p>
            <a:pPr>
              <a:defRPr sz="800">
                <a:latin typeface="Arial" panose="020B0604020202020204" pitchFamily="34" charset="0"/>
                <a:cs typeface="Arial" panose="020B0604020202020204" pitchFamily="34" charset="0"/>
              </a:defRPr>
            </a:pPr>
            <a:endParaRPr lang="sl-SI"/>
          </a:p>
        </c:txPr>
        <c:crossAx val="1"/>
        <c:crosses val="autoZero"/>
        <c:auto val="1"/>
        <c:lblAlgn val="ctr"/>
        <c:lblOffset val="100"/>
        <c:noMultiLvlLbl val="0"/>
      </c:catAx>
      <c:valAx>
        <c:axId val="1"/>
        <c:scaling>
          <c:orientation val="minMax"/>
          <c:max val="4000"/>
        </c:scaling>
        <c:delete val="0"/>
        <c:axPos val="l"/>
        <c:majorGridlines>
          <c:spPr>
            <a:ln w="6350">
              <a:solidFill>
                <a:schemeClr val="bg1">
                  <a:lumMod val="65000"/>
                </a:schemeClr>
              </a:solidFill>
              <a:prstDash val="lgDash"/>
            </a:ln>
          </c:spPr>
        </c:majorGridlines>
        <c:title>
          <c:tx>
            <c:rich>
              <a:bodyPr rot="0" vert="horz"/>
              <a:lstStyle/>
              <a:p>
                <a:pPr algn="r">
                  <a:defRPr sz="1000" b="0" i="0" u="none" strike="noStrike" baseline="0">
                    <a:solidFill>
                      <a:srgbClr val="000000"/>
                    </a:solidFill>
                    <a:latin typeface="Calibri"/>
                    <a:ea typeface="Calibri"/>
                    <a:cs typeface="Calibri"/>
                  </a:defRPr>
                </a:pPr>
                <a:r>
                  <a:rPr lang="sl-SI"/>
                  <a:t>EUR (mio)</a:t>
                </a:r>
              </a:p>
            </c:rich>
          </c:tx>
          <c:layout>
            <c:manualLayout>
              <c:xMode val="edge"/>
              <c:yMode val="edge"/>
              <c:x val="2.0676063178935375E-3"/>
              <c:y val="3.2006348043703836E-2"/>
            </c:manualLayout>
          </c:layout>
          <c:overlay val="0"/>
        </c:title>
        <c:numFmt formatCode="0" sourceLinked="0"/>
        <c:majorTickMark val="out"/>
        <c:minorTickMark val="none"/>
        <c:tickLblPos val="nextTo"/>
        <c:spPr>
          <a:ln w="6350">
            <a:solidFill>
              <a:schemeClr val="bg2"/>
            </a:solidFill>
            <a:prstDash val="sysDot"/>
          </a:ln>
        </c:spPr>
        <c:txPr>
          <a:bodyPr/>
          <a:lstStyle/>
          <a:p>
            <a:pPr>
              <a:defRPr sz="800">
                <a:latin typeface="Arial" panose="020B0604020202020204" pitchFamily="34" charset="0"/>
                <a:cs typeface="Arial" panose="020B0604020202020204" pitchFamily="34" charset="0"/>
              </a:defRPr>
            </a:pPr>
            <a:endParaRPr lang="sl-SI"/>
          </a:p>
        </c:txPr>
        <c:crossAx val="180775416"/>
        <c:crosses val="autoZero"/>
        <c:crossBetween val="between"/>
      </c:valAx>
    </c:plotArea>
    <c:legend>
      <c:legendPos val="b"/>
      <c:layout>
        <c:manualLayout>
          <c:xMode val="edge"/>
          <c:yMode val="edge"/>
          <c:x val="4.0442177823857423E-2"/>
          <c:y val="0.74057468107184277"/>
          <c:w val="0.95955782217614261"/>
          <c:h val="0.24868308612586221"/>
        </c:manualLayout>
      </c:layout>
      <c:overlay val="0"/>
      <c:txPr>
        <a:bodyPr/>
        <a:lstStyle/>
        <a:p>
          <a:pPr>
            <a:defRPr sz="900"/>
          </a:pPr>
          <a:endParaRPr lang="sl-SI"/>
        </a:p>
      </c:txPr>
    </c:legend>
    <c:plotVisOnly val="1"/>
    <c:dispBlanksAs val="gap"/>
    <c:showDLblsOverMax val="0"/>
  </c:chart>
  <c:spPr>
    <a:ln>
      <a:noFill/>
    </a:ln>
  </c:spPr>
  <c:txPr>
    <a:bodyPr/>
    <a:lstStyle/>
    <a:p>
      <a:pPr>
        <a:defRPr sz="1800"/>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Pages>
  <Words>5083</Words>
  <Characters>28975</Characters>
  <Application>Microsoft Office Word</Application>
  <DocSecurity>4</DocSecurity>
  <Lines>241</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Drmaž</dc:creator>
  <cp:keywords/>
  <dc:description/>
  <cp:lastModifiedBy>Irena Drmaž</cp:lastModifiedBy>
  <cp:revision>2</cp:revision>
  <cp:lastPrinted>2021-05-13T08:49:00Z</cp:lastPrinted>
  <dcterms:created xsi:type="dcterms:W3CDTF">2021-05-14T07:01:00Z</dcterms:created>
  <dcterms:modified xsi:type="dcterms:W3CDTF">2021-05-14T07:01:00Z</dcterms:modified>
</cp:coreProperties>
</file>