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A083" w14:textId="77777777" w:rsidR="00B07729" w:rsidRPr="00F408EA" w:rsidRDefault="00B07729">
      <w:pPr>
        <w:rPr>
          <w:rFonts w:asciiTheme="majorHAnsi" w:hAnsiTheme="majorHAnsi" w:cstheme="majorHAnsi"/>
          <w:b/>
          <w:bCs/>
          <w:sz w:val="24"/>
          <w:szCs w:val="24"/>
        </w:rPr>
      </w:pPr>
    </w:p>
    <w:p w14:paraId="5B5C0209" w14:textId="6E62B33B" w:rsidR="002304C8" w:rsidRPr="00F408EA" w:rsidRDefault="002304C8">
      <w:pPr>
        <w:rPr>
          <w:rFonts w:asciiTheme="majorHAnsi" w:hAnsiTheme="majorHAnsi" w:cstheme="majorHAnsi"/>
          <w:b/>
          <w:bCs/>
          <w:color w:val="4472C4" w:themeColor="accent1"/>
          <w:sz w:val="24"/>
          <w:szCs w:val="24"/>
        </w:rPr>
      </w:pPr>
      <w:r w:rsidRPr="00F408EA">
        <w:rPr>
          <w:rFonts w:asciiTheme="majorHAnsi" w:hAnsiTheme="majorHAnsi" w:cstheme="majorHAnsi"/>
          <w:b/>
          <w:bCs/>
          <w:color w:val="4472C4" w:themeColor="accent1"/>
          <w:sz w:val="24"/>
          <w:szCs w:val="24"/>
        </w:rPr>
        <w:t>ZDLGPE (Ur.</w:t>
      </w:r>
      <w:r w:rsidR="00576B10" w:rsidRPr="00F408EA">
        <w:rPr>
          <w:rFonts w:asciiTheme="majorHAnsi" w:hAnsiTheme="majorHAnsi" w:cstheme="majorHAnsi"/>
          <w:b/>
          <w:bCs/>
          <w:color w:val="4472C4" w:themeColor="accent1"/>
          <w:sz w:val="24"/>
          <w:szCs w:val="24"/>
        </w:rPr>
        <w:t xml:space="preserve"> </w:t>
      </w:r>
      <w:r w:rsidRPr="00F408EA">
        <w:rPr>
          <w:rFonts w:asciiTheme="majorHAnsi" w:hAnsiTheme="majorHAnsi" w:cstheme="majorHAnsi"/>
          <w:b/>
          <w:bCs/>
          <w:color w:val="4472C4" w:themeColor="accent1"/>
          <w:sz w:val="24"/>
          <w:szCs w:val="24"/>
        </w:rPr>
        <w:t>l. RS</w:t>
      </w:r>
      <w:r w:rsidR="00576B10" w:rsidRPr="00F408EA">
        <w:rPr>
          <w:rFonts w:asciiTheme="majorHAnsi" w:hAnsiTheme="majorHAnsi" w:cstheme="majorHAnsi"/>
          <w:b/>
          <w:bCs/>
          <w:color w:val="4472C4" w:themeColor="accent1"/>
          <w:sz w:val="24"/>
          <w:szCs w:val="24"/>
        </w:rPr>
        <w:t xml:space="preserve"> št.</w:t>
      </w:r>
      <w:r w:rsidRPr="00F408EA">
        <w:rPr>
          <w:rFonts w:asciiTheme="majorHAnsi" w:hAnsiTheme="majorHAnsi" w:cstheme="majorHAnsi"/>
          <w:b/>
          <w:bCs/>
          <w:color w:val="4472C4" w:themeColor="accent1"/>
          <w:sz w:val="24"/>
          <w:szCs w:val="24"/>
        </w:rPr>
        <w:t xml:space="preserve"> </w:t>
      </w:r>
      <w:r w:rsidR="00DC3F83" w:rsidRPr="00F408EA">
        <w:rPr>
          <w:rFonts w:asciiTheme="majorHAnsi" w:hAnsiTheme="majorHAnsi" w:cstheme="majorHAnsi"/>
          <w:b/>
          <w:bCs/>
          <w:color w:val="4472C4" w:themeColor="accent1"/>
          <w:sz w:val="24"/>
          <w:szCs w:val="24"/>
        </w:rPr>
        <w:t>61/20)</w:t>
      </w:r>
    </w:p>
    <w:p w14:paraId="6E7C5B80" w14:textId="7F6BE693" w:rsidR="002304C8" w:rsidRPr="00F408EA" w:rsidRDefault="00DC3F83">
      <w:pPr>
        <w:rPr>
          <w:rFonts w:asciiTheme="majorHAnsi" w:hAnsiTheme="majorHAnsi" w:cstheme="majorHAnsi"/>
        </w:rPr>
      </w:pPr>
      <w:r w:rsidRPr="00F408EA">
        <w:rPr>
          <w:rFonts w:asciiTheme="majorHAnsi" w:hAnsiTheme="majorHAnsi" w:cstheme="majorHAnsi"/>
        </w:rPr>
        <w:t>Uredba o izvajanju ukrepa poroštva po Zakonu o zagotovitvi dodatne likvidnosti gospodarstvu za omilitev posledic epidemije COVID-19 (Ur.</w:t>
      </w:r>
      <w:r w:rsidR="00576B10" w:rsidRPr="00F408EA">
        <w:rPr>
          <w:rFonts w:asciiTheme="majorHAnsi" w:hAnsiTheme="majorHAnsi" w:cstheme="majorHAnsi"/>
        </w:rPr>
        <w:t xml:space="preserve"> </w:t>
      </w:r>
      <w:r w:rsidRPr="00F408EA">
        <w:rPr>
          <w:rFonts w:asciiTheme="majorHAnsi" w:hAnsiTheme="majorHAnsi" w:cstheme="majorHAnsi"/>
        </w:rPr>
        <w:t>l.</w:t>
      </w:r>
      <w:r w:rsidR="00576B10" w:rsidRPr="00F408EA">
        <w:rPr>
          <w:rFonts w:asciiTheme="majorHAnsi" w:hAnsiTheme="majorHAnsi" w:cstheme="majorHAnsi"/>
        </w:rPr>
        <w:t xml:space="preserve"> </w:t>
      </w:r>
      <w:r w:rsidRPr="00F408EA">
        <w:rPr>
          <w:rFonts w:asciiTheme="majorHAnsi" w:hAnsiTheme="majorHAnsi" w:cstheme="majorHAnsi"/>
        </w:rPr>
        <w:t>RS, št. 67/20)</w:t>
      </w:r>
    </w:p>
    <w:tbl>
      <w:tblPr>
        <w:tblStyle w:val="GridTable4Accent5"/>
        <w:tblW w:w="14596" w:type="dxa"/>
        <w:tblLook w:val="04A0" w:firstRow="1" w:lastRow="0" w:firstColumn="1" w:lastColumn="0" w:noHBand="0" w:noVBand="1"/>
      </w:tblPr>
      <w:tblGrid>
        <w:gridCol w:w="4531"/>
        <w:gridCol w:w="10065"/>
      </w:tblGrid>
      <w:tr w:rsidR="00F043E5" w:rsidRPr="00F408EA" w14:paraId="4488E0A9" w14:textId="77777777" w:rsidTr="00F043E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6350ECDF" w14:textId="6E9A964E" w:rsidR="00F043E5" w:rsidRPr="00F408EA" w:rsidRDefault="00F043E5" w:rsidP="005665E3">
            <w:pPr>
              <w:rPr>
                <w:rFonts w:asciiTheme="majorHAnsi" w:hAnsiTheme="majorHAnsi" w:cstheme="majorHAnsi"/>
              </w:rPr>
            </w:pPr>
            <w:r w:rsidRPr="00F408EA">
              <w:rPr>
                <w:rFonts w:asciiTheme="majorHAnsi" w:hAnsiTheme="majorHAnsi" w:cstheme="majorHAnsi"/>
              </w:rPr>
              <w:t>Člen zakona</w:t>
            </w:r>
          </w:p>
        </w:tc>
        <w:tc>
          <w:tcPr>
            <w:tcW w:w="10065" w:type="dxa"/>
          </w:tcPr>
          <w:p w14:paraId="57CE655A" w14:textId="77777777" w:rsidR="00F043E5" w:rsidRPr="00F408EA" w:rsidRDefault="00F043E5" w:rsidP="005665E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F408EA">
              <w:rPr>
                <w:rFonts w:asciiTheme="majorHAnsi" w:hAnsiTheme="majorHAnsi" w:cstheme="majorHAnsi"/>
              </w:rPr>
              <w:t xml:space="preserve">Dokazilo </w:t>
            </w:r>
          </w:p>
          <w:p w14:paraId="329C165B" w14:textId="4A9523CA" w:rsidR="00F043E5" w:rsidRPr="00F408EA" w:rsidRDefault="00F043E5" w:rsidP="005665E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408EA">
              <w:rPr>
                <w:rFonts w:asciiTheme="majorHAnsi" w:hAnsiTheme="majorHAnsi" w:cstheme="majorHAnsi"/>
              </w:rPr>
              <w:t>(Opomba: vse Izjave in dokazila kreditojemalcev so podpisane s strani zakonitih zastopnikov kreditojemalca ali pooblaščene osebe, Izjave in dokazila bank pa so podpisane skladno z internimi pravili  oziroma  pooblastili v posamezni banki)</w:t>
            </w:r>
          </w:p>
        </w:tc>
      </w:tr>
      <w:tr w:rsidR="00F043E5" w:rsidRPr="00F408EA" w14:paraId="3513AB13" w14:textId="77777777" w:rsidTr="00F043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44904FAD" w14:textId="2CDF937C" w:rsidR="00F043E5" w:rsidRPr="00F408EA" w:rsidRDefault="00F043E5" w:rsidP="00186F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5. člen (1) c) kredit je namenjen izključno financiranju osnovne dejavnosti kreditojemalca, in sicer</w:t>
            </w:r>
          </w:p>
          <w:p w14:paraId="6F4D855F" w14:textId="77777777" w:rsidR="00F043E5" w:rsidRPr="00F408EA" w:rsidRDefault="00F043E5" w:rsidP="00186F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financiranju novih ali dokončanju že začetih naložb, financiranju obratnega kapitala</w:t>
            </w:r>
          </w:p>
          <w:p w14:paraId="0C029270" w14:textId="77777777" w:rsidR="00F043E5" w:rsidRPr="00F408EA" w:rsidRDefault="00F043E5" w:rsidP="00186F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ali financiranju poplačila obveznosti iz kreditnih pogodb, ki so bile sklenjene v</w:t>
            </w:r>
          </w:p>
          <w:p w14:paraId="59B88F27" w14:textId="77777777" w:rsidR="00F043E5" w:rsidRPr="00F408EA" w:rsidRDefault="00F043E5" w:rsidP="00186F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obdobju po 12. marcu 2020 do uveljavitve tega zakona in izpolnjujejo pogoje po</w:t>
            </w:r>
          </w:p>
          <w:p w14:paraId="1858BB6A" w14:textId="1C2B1B94" w:rsidR="00F043E5" w:rsidRPr="00F408EA" w:rsidRDefault="00F043E5" w:rsidP="00186F99">
            <w:pPr>
              <w:autoSpaceDE w:val="0"/>
              <w:autoSpaceDN w:val="0"/>
              <w:adjustRightInd w:val="0"/>
              <w:rPr>
                <w:rFonts w:asciiTheme="majorHAnsi" w:hAnsiTheme="majorHAnsi" w:cstheme="majorHAnsi"/>
                <w:b w:val="0"/>
                <w:bCs w:val="0"/>
                <w:sz w:val="18"/>
                <w:szCs w:val="18"/>
              </w:rPr>
            </w:pPr>
            <w:r w:rsidRPr="00F408EA">
              <w:rPr>
                <w:rFonts w:asciiTheme="majorHAnsi" w:hAnsiTheme="majorHAnsi" w:cstheme="majorHAnsi"/>
                <w:sz w:val="18"/>
                <w:szCs w:val="18"/>
              </w:rPr>
              <w:t>tem zakonu;</w:t>
            </w:r>
          </w:p>
          <w:p w14:paraId="3CCDAF6B" w14:textId="77777777" w:rsidR="00F043E5" w:rsidRPr="00F408EA" w:rsidRDefault="00F043E5" w:rsidP="00186F99">
            <w:pPr>
              <w:autoSpaceDE w:val="0"/>
              <w:autoSpaceDN w:val="0"/>
              <w:adjustRightInd w:val="0"/>
              <w:rPr>
                <w:rFonts w:asciiTheme="majorHAnsi" w:hAnsiTheme="majorHAnsi" w:cstheme="majorHAnsi"/>
                <w:sz w:val="18"/>
                <w:szCs w:val="18"/>
              </w:rPr>
            </w:pPr>
          </w:p>
          <w:p w14:paraId="1433C47A" w14:textId="77777777" w:rsidR="00F043E5" w:rsidRPr="00F408EA" w:rsidRDefault="00F043E5" w:rsidP="00186F99">
            <w:pPr>
              <w:rPr>
                <w:rFonts w:asciiTheme="majorHAnsi" w:hAnsiTheme="majorHAnsi" w:cstheme="majorHAnsi"/>
                <w:sz w:val="18"/>
                <w:szCs w:val="18"/>
              </w:rPr>
            </w:pPr>
            <w:r w:rsidRPr="00F408EA">
              <w:rPr>
                <w:rFonts w:asciiTheme="majorHAnsi" w:hAnsiTheme="majorHAnsi" w:cstheme="majorHAnsi"/>
                <w:sz w:val="18"/>
                <w:szCs w:val="18"/>
              </w:rPr>
              <w:t>d) kredit ni namenjen financiranju povezanih družb ali družb s sedežem v tujini</w:t>
            </w:r>
          </w:p>
          <w:p w14:paraId="44DCF2CC" w14:textId="6533EDB9" w:rsidR="00F043E5" w:rsidRPr="00F408EA" w:rsidRDefault="00F043E5" w:rsidP="00186F99">
            <w:pPr>
              <w:rPr>
                <w:rFonts w:asciiTheme="majorHAnsi" w:hAnsiTheme="majorHAnsi" w:cstheme="majorHAnsi"/>
                <w:sz w:val="18"/>
                <w:szCs w:val="18"/>
                <w:highlight w:val="green"/>
              </w:rPr>
            </w:pPr>
          </w:p>
        </w:tc>
        <w:tc>
          <w:tcPr>
            <w:tcW w:w="10065" w:type="dxa"/>
          </w:tcPr>
          <w:p w14:paraId="2F1EE90E" w14:textId="77777777" w:rsidR="00F043E5" w:rsidRPr="00F408EA" w:rsidRDefault="00F043E5" w:rsidP="005340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08EA">
              <w:rPr>
                <w:rFonts w:asciiTheme="majorHAnsi" w:hAnsiTheme="majorHAnsi" w:cstheme="majorHAnsi"/>
                <w:sz w:val="24"/>
                <w:szCs w:val="24"/>
              </w:rPr>
              <w:t>Kreditojemalec:</w:t>
            </w:r>
          </w:p>
          <w:p w14:paraId="7EC66D34" w14:textId="45562551" w:rsidR="00F043E5" w:rsidRPr="00F408EA" w:rsidRDefault="00F043E5" w:rsidP="007473C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kreditojemalca (v kateri opredeli namen kredita), in jo priloži ob vlogi za kredit</w:t>
            </w:r>
          </w:p>
          <w:p w14:paraId="18819DF4" w14:textId="640A593B" w:rsidR="00F043E5" w:rsidRPr="00F408EA" w:rsidRDefault="00F043E5" w:rsidP="005340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45C2272C" w14:textId="77777777" w:rsidR="00F043E5" w:rsidRPr="00F408EA" w:rsidRDefault="00F043E5" w:rsidP="005340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 xml:space="preserve">Banka: </w:t>
            </w:r>
          </w:p>
          <w:p w14:paraId="4465A451" w14:textId="77777777" w:rsidR="00F043E5" w:rsidRPr="00F408EA" w:rsidRDefault="00F043E5" w:rsidP="005340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3D55E955" w14:textId="675E980E" w:rsidR="00F043E5" w:rsidRPr="00A55FAF" w:rsidRDefault="00F043E5" w:rsidP="007473C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F408EA">
              <w:rPr>
                <w:rFonts w:asciiTheme="majorHAnsi" w:hAnsiTheme="majorHAnsi" w:cstheme="majorHAnsi"/>
                <w:b/>
                <w:bCs/>
                <w:sz w:val="24"/>
                <w:szCs w:val="24"/>
              </w:rPr>
              <w:t>Banka opredeli namen porabe kredita v kreditni pogodbi. Dodatno v kreditno pogodbo vključi določbo, da  kredit ne bo</w:t>
            </w:r>
            <w:r w:rsidRPr="00F408EA">
              <w:rPr>
                <w:rFonts w:asciiTheme="majorHAnsi" w:eastAsia="Times New Roman" w:hAnsiTheme="majorHAnsi" w:cstheme="majorHAnsi"/>
                <w:sz w:val="20"/>
                <w:szCs w:val="20"/>
              </w:rPr>
              <w:t xml:space="preserve"> </w:t>
            </w:r>
            <w:r w:rsidRPr="00A55FAF">
              <w:rPr>
                <w:rFonts w:asciiTheme="majorHAnsi" w:eastAsia="Times New Roman" w:hAnsiTheme="majorHAnsi" w:cstheme="majorHAnsi"/>
                <w:sz w:val="24"/>
                <w:szCs w:val="24"/>
              </w:rPr>
              <w:t>namenjen za financiranje povezanih družb in družb s sedežem v tujini.</w:t>
            </w:r>
          </w:p>
          <w:p w14:paraId="6B5B5A84" w14:textId="60FE7067" w:rsidR="00F043E5" w:rsidRPr="00F408EA" w:rsidRDefault="00F043E5" w:rsidP="002021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043E5" w:rsidRPr="00F408EA" w14:paraId="55241958" w14:textId="77777777" w:rsidTr="00F043E5">
        <w:trPr>
          <w:trHeight w:val="448"/>
        </w:trPr>
        <w:tc>
          <w:tcPr>
            <w:cnfStyle w:val="001000000000" w:firstRow="0" w:lastRow="0" w:firstColumn="1" w:lastColumn="0" w:oddVBand="0" w:evenVBand="0" w:oddHBand="0" w:evenHBand="0" w:firstRowFirstColumn="0" w:firstRowLastColumn="0" w:lastRowFirstColumn="0" w:lastRowLastColumn="0"/>
            <w:tcW w:w="4531" w:type="dxa"/>
          </w:tcPr>
          <w:p w14:paraId="46D8CFE2" w14:textId="27E50B80" w:rsidR="00F043E5" w:rsidRPr="00F408EA" w:rsidRDefault="00F043E5" w:rsidP="00615D6F">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5 (2) Najvišji dovoljeni skupni znesek glavnice kredita posameznega</w:t>
            </w:r>
          </w:p>
          <w:p w14:paraId="06ABF549" w14:textId="77777777" w:rsidR="00F043E5" w:rsidRPr="00F408EA" w:rsidRDefault="00F043E5" w:rsidP="00615D6F">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kreditojemalca, za izpolnitev katerega skladno s tem zakonom odgovarja Republika</w:t>
            </w:r>
          </w:p>
          <w:p w14:paraId="0DED9F61" w14:textId="77777777" w:rsidR="00F043E5" w:rsidRPr="00F408EA" w:rsidRDefault="00F043E5" w:rsidP="00615D6F">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Slovenija, znaša do 10 % prihodkov od prodaje v letu 2019 in ne sme presegati višine</w:t>
            </w:r>
          </w:p>
          <w:p w14:paraId="0A4161D2" w14:textId="77777777" w:rsidR="00F043E5" w:rsidRPr="00F408EA" w:rsidRDefault="00F043E5" w:rsidP="00615D6F">
            <w:pPr>
              <w:autoSpaceDE w:val="0"/>
              <w:autoSpaceDN w:val="0"/>
              <w:adjustRightInd w:val="0"/>
              <w:rPr>
                <w:rFonts w:asciiTheme="majorHAnsi" w:hAnsiTheme="majorHAnsi" w:cstheme="majorHAnsi"/>
                <w:b w:val="0"/>
                <w:bCs w:val="0"/>
                <w:sz w:val="18"/>
                <w:szCs w:val="18"/>
              </w:rPr>
            </w:pPr>
            <w:r w:rsidRPr="00F408EA">
              <w:rPr>
                <w:rFonts w:asciiTheme="majorHAnsi" w:hAnsiTheme="majorHAnsi" w:cstheme="majorHAnsi"/>
                <w:sz w:val="18"/>
                <w:szCs w:val="18"/>
              </w:rPr>
              <w:t>zneska stroškov dela za leto 2019</w:t>
            </w:r>
          </w:p>
          <w:p w14:paraId="3AE2E95B" w14:textId="2C1D87B8" w:rsidR="00F043E5" w:rsidRPr="00F408EA" w:rsidRDefault="00F043E5" w:rsidP="00615D6F">
            <w:pPr>
              <w:autoSpaceDE w:val="0"/>
              <w:autoSpaceDN w:val="0"/>
              <w:adjustRightInd w:val="0"/>
              <w:rPr>
                <w:rFonts w:asciiTheme="majorHAnsi" w:hAnsiTheme="majorHAnsi" w:cstheme="majorHAnsi"/>
                <w:sz w:val="18"/>
                <w:szCs w:val="18"/>
              </w:rPr>
            </w:pPr>
          </w:p>
          <w:p w14:paraId="0D82AD1C"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5(3)</w:t>
            </w:r>
            <w:r w:rsidRPr="00F408EA">
              <w:rPr>
                <w:rFonts w:asciiTheme="majorHAnsi" w:hAnsiTheme="majorHAnsi" w:cstheme="majorHAnsi"/>
                <w:b w:val="0"/>
                <w:bCs w:val="0"/>
                <w:sz w:val="18"/>
                <w:szCs w:val="18"/>
              </w:rPr>
              <w:t xml:space="preserve"> </w:t>
            </w:r>
            <w:r w:rsidRPr="00F408EA">
              <w:rPr>
                <w:rFonts w:asciiTheme="majorHAnsi" w:hAnsiTheme="majorHAnsi" w:cstheme="majorHAnsi"/>
                <w:sz w:val="18"/>
                <w:szCs w:val="18"/>
              </w:rPr>
              <w:t>V primeru, da je kreditojemalcu odobren odlog plačila obveznosti za na</w:t>
            </w:r>
          </w:p>
          <w:p w14:paraId="6937BA26"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novo sklenjene kreditne pogodbe v skladu z zakonom, ki ureja interventni ukrep odloga</w:t>
            </w:r>
          </w:p>
          <w:p w14:paraId="19ED3FBD"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plačila obveznosti kreditojemalcev, se v najvišji dovoljeni skupni znesek obveznosti</w:t>
            </w:r>
          </w:p>
          <w:p w14:paraId="3DB2F9C5"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posameznega kreditojemalca iz prejšnjega odstavka všteva znesek njegovih odloženih</w:t>
            </w:r>
          </w:p>
          <w:p w14:paraId="03EC6208" w14:textId="41E2ED3C" w:rsidR="00F043E5" w:rsidRPr="00F408EA" w:rsidRDefault="00F043E5" w:rsidP="00615D6F">
            <w:pPr>
              <w:autoSpaceDE w:val="0"/>
              <w:autoSpaceDN w:val="0"/>
              <w:adjustRightInd w:val="0"/>
              <w:rPr>
                <w:rFonts w:asciiTheme="majorHAnsi" w:hAnsiTheme="majorHAnsi" w:cstheme="majorHAnsi"/>
                <w:b w:val="0"/>
                <w:bCs w:val="0"/>
                <w:sz w:val="18"/>
                <w:szCs w:val="18"/>
              </w:rPr>
            </w:pPr>
            <w:r w:rsidRPr="00F408EA">
              <w:rPr>
                <w:rFonts w:asciiTheme="majorHAnsi" w:hAnsiTheme="majorHAnsi" w:cstheme="majorHAnsi"/>
                <w:sz w:val="18"/>
                <w:szCs w:val="18"/>
              </w:rPr>
              <w:t>obveznosti.</w:t>
            </w:r>
          </w:p>
          <w:p w14:paraId="4EE3E2C7" w14:textId="095271C3" w:rsidR="00F043E5" w:rsidRPr="00F408EA" w:rsidRDefault="00F043E5" w:rsidP="00615D6F">
            <w:pPr>
              <w:autoSpaceDE w:val="0"/>
              <w:autoSpaceDN w:val="0"/>
              <w:adjustRightInd w:val="0"/>
              <w:rPr>
                <w:rFonts w:asciiTheme="majorHAnsi" w:hAnsiTheme="majorHAnsi" w:cstheme="majorHAnsi"/>
                <w:sz w:val="18"/>
                <w:szCs w:val="18"/>
              </w:rPr>
            </w:pPr>
          </w:p>
        </w:tc>
        <w:tc>
          <w:tcPr>
            <w:tcW w:w="10065" w:type="dxa"/>
          </w:tcPr>
          <w:p w14:paraId="3052BD71" w14:textId="30D34BB7" w:rsidR="00F043E5" w:rsidRPr="00F043E5" w:rsidRDefault="00F043E5" w:rsidP="00F043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C7873">
              <w:rPr>
                <w:rFonts w:asciiTheme="majorHAnsi" w:hAnsiTheme="majorHAnsi" w:cstheme="majorHAnsi"/>
                <w:sz w:val="24"/>
                <w:szCs w:val="24"/>
              </w:rPr>
              <w:t>Kreditojemalec:</w:t>
            </w:r>
          </w:p>
          <w:p w14:paraId="4CB7165F" w14:textId="34A967E7" w:rsidR="00F043E5" w:rsidRDefault="00F043E5" w:rsidP="00F043E5">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7873">
              <w:rPr>
                <w:rFonts w:asciiTheme="majorHAnsi" w:hAnsiTheme="majorHAnsi" w:cstheme="majorHAnsi"/>
                <w:b/>
                <w:bCs/>
                <w:sz w:val="24"/>
                <w:szCs w:val="24"/>
              </w:rPr>
              <w:t xml:space="preserve">Izjava kreditojemalca </w:t>
            </w:r>
            <w:r w:rsidRPr="00F408EA">
              <w:rPr>
                <w:rFonts w:asciiTheme="majorHAnsi" w:hAnsiTheme="majorHAnsi" w:cstheme="majorHAnsi"/>
                <w:b/>
                <w:bCs/>
                <w:sz w:val="24"/>
                <w:szCs w:val="24"/>
              </w:rPr>
              <w:t xml:space="preserve">z </w:t>
            </w:r>
            <w:r w:rsidRPr="00F043E5">
              <w:rPr>
                <w:rFonts w:asciiTheme="majorHAnsi" w:hAnsiTheme="majorHAnsi" w:cstheme="majorHAnsi"/>
                <w:sz w:val="24"/>
                <w:szCs w:val="24"/>
              </w:rPr>
              <w:t>navedbo zneskov glavnic kreditov</w:t>
            </w:r>
            <w:r w:rsidRPr="00F408EA">
              <w:rPr>
                <w:rFonts w:asciiTheme="majorHAnsi" w:hAnsiTheme="majorHAnsi" w:cstheme="majorHAnsi"/>
                <w:b/>
                <w:bCs/>
                <w:sz w:val="24"/>
                <w:szCs w:val="24"/>
              </w:rPr>
              <w:t xml:space="preserve"> </w:t>
            </w:r>
            <w:r w:rsidRPr="00BC7873">
              <w:rPr>
                <w:rFonts w:asciiTheme="majorHAnsi" w:hAnsiTheme="majorHAnsi" w:cstheme="majorHAnsi"/>
                <w:sz w:val="24"/>
                <w:szCs w:val="24"/>
              </w:rPr>
              <w:t xml:space="preserve">po ZDLGPE in odlogi plačil </w:t>
            </w:r>
            <w:r>
              <w:rPr>
                <w:rFonts w:asciiTheme="majorHAnsi" w:hAnsiTheme="majorHAnsi" w:cstheme="majorHAnsi"/>
                <w:sz w:val="24"/>
                <w:szCs w:val="24"/>
              </w:rPr>
              <w:t xml:space="preserve">obveznosti, sklenjenih z novo kreditno pogodbo </w:t>
            </w:r>
            <w:r w:rsidRPr="00F043E5">
              <w:rPr>
                <w:rFonts w:asciiTheme="majorHAnsi" w:hAnsiTheme="majorHAnsi" w:cstheme="majorHAnsi"/>
                <w:sz w:val="24"/>
                <w:szCs w:val="24"/>
              </w:rPr>
              <w:t>skladno s pogoji</w:t>
            </w:r>
            <w:r w:rsidRPr="00F408EA">
              <w:rPr>
                <w:rFonts w:asciiTheme="majorHAnsi" w:hAnsiTheme="majorHAnsi" w:cstheme="majorHAnsi"/>
                <w:b/>
                <w:bCs/>
                <w:sz w:val="24"/>
                <w:szCs w:val="24"/>
              </w:rPr>
              <w:t xml:space="preserve"> </w:t>
            </w:r>
            <w:r w:rsidRPr="00BC7873">
              <w:rPr>
                <w:rFonts w:asciiTheme="majorHAnsi" w:hAnsiTheme="majorHAnsi" w:cstheme="majorHAnsi"/>
                <w:sz w:val="24"/>
                <w:szCs w:val="24"/>
              </w:rPr>
              <w:t>ZIUOPOK</w:t>
            </w:r>
            <w:r>
              <w:rPr>
                <w:rFonts w:asciiTheme="majorHAnsi" w:hAnsiTheme="majorHAnsi" w:cstheme="majorHAnsi"/>
                <w:sz w:val="24"/>
                <w:szCs w:val="24"/>
              </w:rPr>
              <w:t xml:space="preserve"> </w:t>
            </w:r>
            <w:r w:rsidRPr="00BC7873">
              <w:rPr>
                <w:rFonts w:asciiTheme="majorHAnsi" w:hAnsiTheme="majorHAnsi" w:cstheme="majorHAnsi"/>
                <w:sz w:val="24"/>
                <w:szCs w:val="24"/>
              </w:rPr>
              <w:t>v povezavi s 65. člen</w:t>
            </w:r>
            <w:r>
              <w:rPr>
                <w:rFonts w:asciiTheme="majorHAnsi" w:hAnsiTheme="majorHAnsi" w:cstheme="majorHAnsi"/>
                <w:sz w:val="24"/>
                <w:szCs w:val="24"/>
              </w:rPr>
              <w:t>om</w:t>
            </w:r>
            <w:r w:rsidRPr="00BC7873">
              <w:rPr>
                <w:rFonts w:asciiTheme="majorHAnsi" w:hAnsiTheme="majorHAnsi" w:cstheme="majorHAnsi"/>
                <w:sz w:val="24"/>
                <w:szCs w:val="24"/>
              </w:rPr>
              <w:t xml:space="preserve"> ZIUZEOP pri drugi banki.</w:t>
            </w:r>
            <w:r>
              <w:rPr>
                <w:rFonts w:asciiTheme="majorHAnsi" w:hAnsiTheme="majorHAnsi" w:cstheme="majorHAnsi"/>
                <w:sz w:val="24"/>
                <w:szCs w:val="24"/>
              </w:rPr>
              <w:t xml:space="preserve"> Nove kreditne pogodbe skladno s ZIUOPOK morajo biti sklenjene po </w:t>
            </w:r>
            <w:r w:rsidR="0009749A">
              <w:rPr>
                <w:rFonts w:asciiTheme="majorHAnsi" w:hAnsiTheme="majorHAnsi" w:cstheme="majorHAnsi"/>
                <w:sz w:val="24"/>
                <w:szCs w:val="24"/>
              </w:rPr>
              <w:t>29</w:t>
            </w:r>
            <w:r>
              <w:rPr>
                <w:rFonts w:asciiTheme="majorHAnsi" w:hAnsiTheme="majorHAnsi" w:cstheme="majorHAnsi"/>
                <w:sz w:val="24"/>
                <w:szCs w:val="24"/>
              </w:rPr>
              <w:t>. 3. 2020.</w:t>
            </w:r>
          </w:p>
          <w:p w14:paraId="4A36723D" w14:textId="77777777" w:rsidR="00F043E5" w:rsidRPr="00F043E5" w:rsidRDefault="00F043E5" w:rsidP="00F043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1AED1414" w14:textId="7CAEAC46" w:rsidR="00F043E5" w:rsidRPr="00BC7873" w:rsidRDefault="00F043E5" w:rsidP="00615D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7873">
              <w:rPr>
                <w:rFonts w:asciiTheme="majorHAnsi" w:hAnsiTheme="majorHAnsi" w:cstheme="majorHAnsi"/>
                <w:sz w:val="24"/>
                <w:szCs w:val="24"/>
              </w:rPr>
              <w:t>Kreditojemalec priloži informacijo banke, pri kateri ima odložene obveznosti ali sklenjeno kreditno pogodbo po ZDLGPE, o že koriščeni kvoti pri tej banki.</w:t>
            </w:r>
          </w:p>
          <w:p w14:paraId="5E9BACE4" w14:textId="77777777" w:rsidR="00F043E5" w:rsidRPr="00BC7873" w:rsidRDefault="00F043E5" w:rsidP="00615D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0069417E" w14:textId="4ED2A5E6" w:rsidR="00F043E5" w:rsidRPr="008E428B" w:rsidRDefault="00F043E5" w:rsidP="00D54552">
            <w:pPr>
              <w:pStyle w:val="odstavek1"/>
              <w:spacing w:before="0"/>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4D07">
              <w:rPr>
                <w:rFonts w:asciiTheme="minorHAnsi" w:hAnsiTheme="minorHAnsi" w:cstheme="minorHAnsi"/>
                <w:sz w:val="24"/>
                <w:szCs w:val="24"/>
              </w:rPr>
              <w:t>Banka</w:t>
            </w:r>
            <w:r>
              <w:rPr>
                <w:rFonts w:asciiTheme="minorHAnsi" w:hAnsiTheme="minorHAnsi" w:cstheme="minorHAnsi"/>
                <w:sz w:val="24"/>
                <w:szCs w:val="24"/>
              </w:rPr>
              <w:t>:</w:t>
            </w:r>
          </w:p>
          <w:p w14:paraId="218BFB0D" w14:textId="5A466DA7" w:rsidR="00F043E5" w:rsidRPr="00C65D9E" w:rsidRDefault="00F043E5" w:rsidP="00D54552">
            <w:pPr>
              <w:pStyle w:val="odstavek1"/>
              <w:spacing w:before="0"/>
              <w:ind w:firstLine="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 w:val="24"/>
                <w:szCs w:val="24"/>
                <w:lang w:eastAsia="en-US"/>
              </w:rPr>
            </w:pPr>
            <w:r w:rsidRPr="00C65D9E">
              <w:rPr>
                <w:rFonts w:asciiTheme="majorHAnsi" w:eastAsiaTheme="minorHAnsi" w:hAnsiTheme="majorHAnsi" w:cstheme="majorHAnsi"/>
                <w:sz w:val="24"/>
                <w:szCs w:val="24"/>
                <w:lang w:eastAsia="en-US"/>
              </w:rPr>
              <w:t xml:space="preserve">Banke so dolžne SID banki </w:t>
            </w:r>
            <w:r>
              <w:rPr>
                <w:rFonts w:asciiTheme="majorHAnsi" w:eastAsiaTheme="minorHAnsi" w:hAnsiTheme="majorHAnsi" w:cstheme="majorHAnsi"/>
                <w:sz w:val="24"/>
                <w:szCs w:val="24"/>
                <w:lang w:eastAsia="en-US"/>
              </w:rPr>
              <w:t xml:space="preserve">z uporabo ponujene spletne storitve </w:t>
            </w:r>
            <w:r w:rsidRPr="00C65D9E">
              <w:rPr>
                <w:rFonts w:asciiTheme="majorHAnsi" w:eastAsiaTheme="minorHAnsi" w:hAnsiTheme="majorHAnsi" w:cstheme="majorHAnsi"/>
                <w:sz w:val="24"/>
                <w:szCs w:val="24"/>
                <w:lang w:eastAsia="en-US"/>
              </w:rPr>
              <w:t xml:space="preserve">posredovati podatke, ki omogočajo spremljavo porabljene kvote po kreditojemalcu.   </w:t>
            </w:r>
          </w:p>
          <w:p w14:paraId="177FBCB2" w14:textId="2EE1D7EA" w:rsidR="00F043E5" w:rsidRPr="00BC7873" w:rsidRDefault="00F043E5" w:rsidP="00194D07">
            <w:pPr>
              <w:pStyle w:val="odstavek1"/>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043E5" w:rsidRPr="00F408EA" w14:paraId="0345A9DE" w14:textId="77777777" w:rsidTr="00F043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0D2CDB90" w14:textId="77777777" w:rsidR="00F043E5" w:rsidRPr="00F408EA" w:rsidRDefault="00F043E5" w:rsidP="00892788">
            <w:pPr>
              <w:rPr>
                <w:rFonts w:asciiTheme="majorHAnsi" w:hAnsiTheme="majorHAnsi" w:cstheme="majorHAnsi"/>
                <w:b w:val="0"/>
                <w:bCs w:val="0"/>
                <w:sz w:val="18"/>
                <w:szCs w:val="18"/>
              </w:rPr>
            </w:pPr>
            <w:r w:rsidRPr="00F408EA">
              <w:rPr>
                <w:rFonts w:asciiTheme="majorHAnsi" w:hAnsiTheme="majorHAnsi" w:cstheme="majorHAnsi"/>
                <w:sz w:val="18"/>
                <w:szCs w:val="18"/>
              </w:rPr>
              <w:lastRenderedPageBreak/>
              <w:t>5. člen (4) a)</w:t>
            </w:r>
          </w:p>
          <w:p w14:paraId="521F7A0D" w14:textId="6882CFE1" w:rsidR="00F043E5" w:rsidRPr="00F408EA" w:rsidRDefault="00F043E5" w:rsidP="00892788">
            <w:pPr>
              <w:rPr>
                <w:rFonts w:asciiTheme="majorHAnsi" w:hAnsiTheme="majorHAnsi" w:cstheme="majorHAnsi"/>
                <w:sz w:val="18"/>
                <w:szCs w:val="18"/>
              </w:rPr>
            </w:pPr>
            <w:r w:rsidRPr="00F408EA">
              <w:rPr>
                <w:rFonts w:asciiTheme="majorHAnsi" w:hAnsiTheme="majorHAnsi" w:cstheme="majorHAnsi"/>
                <w:sz w:val="18"/>
                <w:szCs w:val="18"/>
              </w:rPr>
              <w:t>da kreditojemalec 31. decembra 2019 ni štel za podjetje v težavah po pogojih, kot so opredeljeni v 18. točki 2. člena Uredbe 651/2014/EU,</w:t>
            </w:r>
          </w:p>
        </w:tc>
        <w:tc>
          <w:tcPr>
            <w:tcW w:w="10065" w:type="dxa"/>
          </w:tcPr>
          <w:p w14:paraId="3A26460B" w14:textId="0BCC2FA6"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w:t>
            </w:r>
          </w:p>
          <w:p w14:paraId="0336B201" w14:textId="77777777" w:rsidR="00F043E5" w:rsidRDefault="00F043E5" w:rsidP="00892788">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banke, da je na podlagi prejete dokumentacije</w:t>
            </w:r>
            <w:r>
              <w:rPr>
                <w:rFonts w:asciiTheme="majorHAnsi" w:hAnsiTheme="majorHAnsi" w:cstheme="majorHAnsi"/>
                <w:b/>
                <w:bCs/>
                <w:sz w:val="24"/>
                <w:szCs w:val="24"/>
              </w:rPr>
              <w:t>:</w:t>
            </w:r>
          </w:p>
          <w:p w14:paraId="7E4B927D" w14:textId="3BAF4C12" w:rsidR="00F043E5" w:rsidRPr="00D43B8B" w:rsidRDefault="00F043E5" w:rsidP="00C65D9E">
            <w:pPr>
              <w:pStyle w:val="ListParagraph"/>
              <w:numPr>
                <w:ilvl w:val="0"/>
                <w:numId w:val="5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 xml:space="preserve">računovodski izkazi kreditojemalca na dan 31. 12. 2019 (če je kreditojemalec del skupine, </w:t>
            </w:r>
            <w:r>
              <w:rPr>
                <w:rFonts w:asciiTheme="majorHAnsi" w:hAnsiTheme="majorHAnsi" w:cstheme="majorHAnsi"/>
                <w:b/>
                <w:bCs/>
                <w:sz w:val="24"/>
                <w:szCs w:val="24"/>
              </w:rPr>
              <w:t xml:space="preserve">ki deluje </w:t>
            </w:r>
            <w:r w:rsidRPr="00D43B8B">
              <w:rPr>
                <w:rFonts w:asciiTheme="majorHAnsi" w:hAnsiTheme="majorHAnsi" w:cstheme="majorHAnsi"/>
                <w:b/>
                <w:bCs/>
                <w:sz w:val="24"/>
                <w:szCs w:val="24"/>
              </w:rPr>
              <w:t xml:space="preserve">kot »enotni gospodarski subjekt« tudi računovodski podatki za tako oblikovano skupino na dan 31. 12. 2019), </w:t>
            </w:r>
          </w:p>
          <w:p w14:paraId="407366B5" w14:textId="0AEB2DB3" w:rsidR="00F043E5" w:rsidRDefault="00F043E5" w:rsidP="00C65D9E">
            <w:pPr>
              <w:pStyle w:val="ListParagraph"/>
              <w:numPr>
                <w:ilvl w:val="0"/>
                <w:numId w:val="5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D43B8B">
              <w:rPr>
                <w:rFonts w:asciiTheme="majorHAnsi" w:hAnsiTheme="majorHAnsi" w:cstheme="majorHAnsi"/>
                <w:b/>
                <w:bCs/>
                <w:sz w:val="24"/>
                <w:szCs w:val="24"/>
              </w:rPr>
              <w:t>izpolnjena Izjava za ugotavljanje</w:t>
            </w:r>
            <w:r w:rsidRPr="00F408EA">
              <w:rPr>
                <w:rFonts w:asciiTheme="majorHAnsi" w:hAnsiTheme="majorHAnsi" w:cstheme="majorHAnsi"/>
                <w:b/>
                <w:bCs/>
                <w:sz w:val="24"/>
                <w:szCs w:val="24"/>
              </w:rPr>
              <w:t xml:space="preserve"> statusa podjetja v težavah (PVT) s strani kreditojemalca in </w:t>
            </w:r>
          </w:p>
          <w:p w14:paraId="4E48E6BC" w14:textId="77777777" w:rsidR="00F043E5" w:rsidRDefault="00F043E5" w:rsidP="00C65D9E">
            <w:pPr>
              <w:pStyle w:val="ListParagraph"/>
              <w:numPr>
                <w:ilvl w:val="0"/>
                <w:numId w:val="5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 xml:space="preserve">drugih javno dostopnih virov </w:t>
            </w:r>
          </w:p>
          <w:p w14:paraId="2ABFEB9D" w14:textId="263805F2" w:rsidR="00F043E5" w:rsidRPr="00C65D9E" w:rsidRDefault="00F043E5" w:rsidP="00C65D9E">
            <w:pPr>
              <w:ind w:left="7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C65D9E">
              <w:rPr>
                <w:rFonts w:asciiTheme="majorHAnsi" w:hAnsiTheme="majorHAnsi" w:cstheme="majorHAnsi"/>
                <w:b/>
                <w:bCs/>
                <w:sz w:val="24"/>
                <w:szCs w:val="24"/>
              </w:rPr>
              <w:t>ugotovila, da pogoji za status podjetja v težavah, ki so opredeljeni v 18. točki 2. člena Uredbe 651/2014/EU, niso izpolnjeni ne na ravni kreditojemalca ne na ravni skupine, če je kreditojemalec del skupine.</w:t>
            </w:r>
          </w:p>
          <w:p w14:paraId="564DB638" w14:textId="77777777" w:rsidR="00F043E5" w:rsidRPr="00F408EA" w:rsidRDefault="00F043E5" w:rsidP="00892788">
            <w:pPr>
              <w:pStyle w:val="ListParagraph"/>
              <w:ind w:left="7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2A5BCC41" w14:textId="1F09BE79" w:rsidR="00F043E5" w:rsidRPr="00023798" w:rsidRDefault="00F043E5" w:rsidP="00023798">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 xml:space="preserve">Dokazilo (ustrezni izračuni kazalnikov), iz katerih izhaja, da je za kreditojemalca in njegovo skupino, če je njen del, banka izračunala kazalnike, skladno z njihovo opredelitvijo v dokumentu Predlog izračuna kazalnikov za ugotavljanje statusa PVT. </w:t>
            </w:r>
          </w:p>
          <w:p w14:paraId="417870CA" w14:textId="4DBA6238" w:rsidR="00F043E5" w:rsidRPr="00023798" w:rsidRDefault="001F6249" w:rsidP="00023798">
            <w:pPr>
              <w:pStyle w:val="ListParagraph"/>
              <w:ind w:left="7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object w:dxaOrig="1520" w:dyaOrig="985" w14:anchorId="0256D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AcroExch.Document.DC" ShapeID="_x0000_i1025" DrawAspect="Icon" ObjectID="_1652761645" r:id="rId10"/>
              </w:object>
            </w:r>
          </w:p>
          <w:p w14:paraId="6FE2FF57" w14:textId="17E211E3" w:rsidR="00F043E5"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56D4FDF7" w14:textId="0886615C" w:rsidR="00F043E5" w:rsidRPr="00C64601" w:rsidRDefault="00F043E5" w:rsidP="00C6460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C64601">
              <w:rPr>
                <w:rFonts w:asciiTheme="majorHAnsi" w:hAnsiTheme="majorHAnsi" w:cstheme="majorHAnsi"/>
                <w:sz w:val="24"/>
                <w:szCs w:val="24"/>
              </w:rPr>
              <w:t xml:space="preserve">Za fizične osebe, ki opravljajo dejavnost (vključno </w:t>
            </w:r>
            <w:r w:rsidR="00717F9C">
              <w:rPr>
                <w:rFonts w:asciiTheme="majorHAnsi" w:hAnsiTheme="majorHAnsi" w:cstheme="majorHAnsi"/>
                <w:sz w:val="24"/>
                <w:szCs w:val="24"/>
              </w:rPr>
              <w:t>s</w:t>
            </w:r>
            <w:r w:rsidRPr="00C64601">
              <w:rPr>
                <w:rFonts w:asciiTheme="majorHAnsi" w:hAnsiTheme="majorHAnsi" w:cstheme="majorHAnsi"/>
                <w:sz w:val="24"/>
                <w:szCs w:val="24"/>
              </w:rPr>
              <w:t xml:space="preserve"> </w:t>
            </w:r>
            <w:proofErr w:type="spellStart"/>
            <w:r w:rsidRPr="00C64601">
              <w:rPr>
                <w:rFonts w:asciiTheme="majorHAnsi" w:hAnsiTheme="majorHAnsi" w:cstheme="majorHAnsi"/>
                <w:sz w:val="24"/>
                <w:szCs w:val="24"/>
              </w:rPr>
              <w:t>s</w:t>
            </w:r>
            <w:proofErr w:type="spellEnd"/>
            <w:r w:rsidRPr="00C64601">
              <w:rPr>
                <w:rFonts w:asciiTheme="majorHAnsi" w:hAnsiTheme="majorHAnsi" w:cstheme="majorHAnsi"/>
                <w:sz w:val="24"/>
                <w:szCs w:val="24"/>
              </w:rPr>
              <w:t xml:space="preserve">.p.), banki ni potrebno izračunati kazalnikov za ugotavljanje, ali je podjetje v težavah, </w:t>
            </w:r>
            <w:r w:rsidRPr="00C64601">
              <w:rPr>
                <w:rFonts w:asciiTheme="majorHAnsi" w:hAnsiTheme="majorHAnsi" w:cstheme="majorHAnsi"/>
                <w:b/>
                <w:bCs/>
                <w:sz w:val="24"/>
                <w:szCs w:val="24"/>
              </w:rPr>
              <w:t>po točki (a) in (b) 18. točke 2. člena</w:t>
            </w:r>
            <w:r w:rsidRPr="00C64601">
              <w:rPr>
                <w:rFonts w:asciiTheme="majorHAnsi" w:hAnsiTheme="majorHAnsi" w:cstheme="majorHAnsi"/>
                <w:sz w:val="24"/>
                <w:szCs w:val="24"/>
              </w:rPr>
              <w:t xml:space="preserve"> Uredbe 651/2014/EU. V primeru, da ima fizična oseba, ki opravlja dejavnost</w:t>
            </w:r>
            <w:r w:rsidR="008E428B">
              <w:rPr>
                <w:rFonts w:asciiTheme="majorHAnsi" w:hAnsiTheme="majorHAnsi" w:cstheme="majorHAnsi"/>
                <w:sz w:val="24"/>
                <w:szCs w:val="24"/>
              </w:rPr>
              <w:t>,</w:t>
            </w:r>
            <w:r w:rsidRPr="00C64601">
              <w:rPr>
                <w:rFonts w:asciiTheme="majorHAnsi" w:hAnsiTheme="majorHAnsi" w:cstheme="majorHAnsi"/>
                <w:sz w:val="24"/>
                <w:szCs w:val="24"/>
              </w:rPr>
              <w:t xml:space="preserve"> negativen kapital, je skladno s prvo točko tretjega odstavka 14. člena ZFPPIPP izpolnjena domneva o dolgoročni plačilni nesposobnosti.</w:t>
            </w:r>
          </w:p>
          <w:p w14:paraId="35AF0F13" w14:textId="77777777" w:rsidR="00F043E5"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29417982" w14:textId="555EECCB"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Kreditojemalec:</w:t>
            </w:r>
          </w:p>
          <w:p w14:paraId="68B56CD8" w14:textId="75C9E746"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21C74830" w14:textId="4BC2AB24" w:rsidR="00F043E5" w:rsidRPr="00F408EA" w:rsidRDefault="00F043E5" w:rsidP="0089278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za ugotavljanje statusa podjetja v težavah s strani kreditojemalca</w:t>
            </w:r>
            <w:r w:rsidR="005E6341">
              <w:rPr>
                <w:rFonts w:asciiTheme="majorHAnsi" w:hAnsiTheme="majorHAnsi" w:cstheme="majorHAnsi"/>
                <w:b/>
                <w:bCs/>
                <w:sz w:val="24"/>
                <w:szCs w:val="24"/>
              </w:rPr>
              <w:t xml:space="preserve"> (3 zavihki)</w:t>
            </w:r>
            <w:r w:rsidRPr="00F408EA">
              <w:rPr>
                <w:rFonts w:asciiTheme="majorHAnsi" w:hAnsiTheme="majorHAnsi" w:cstheme="majorHAnsi"/>
                <w:b/>
                <w:bCs/>
                <w:sz w:val="24"/>
                <w:szCs w:val="24"/>
              </w:rPr>
              <w:t>.</w:t>
            </w:r>
          </w:p>
          <w:p w14:paraId="1BCE678F" w14:textId="580DA2AF" w:rsidR="00F043E5" w:rsidRPr="00F408EA" w:rsidRDefault="00DE0FEC" w:rsidP="00892788">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object w:dxaOrig="1287" w:dyaOrig="832" w14:anchorId="6CB37A29">
                <v:shape id="_x0000_i1026" type="#_x0000_t75" style="width:64.8pt;height:41.4pt" o:ole="">
                  <v:imagedata r:id="rId11" o:title=""/>
                </v:shape>
                <o:OLEObject Type="Embed" ProgID="Excel.Sheet.12" ShapeID="_x0000_i1026" DrawAspect="Icon" ObjectID="_1652761646" r:id="rId12"/>
              </w:object>
            </w:r>
            <w:r w:rsidR="001F6249">
              <w:rPr>
                <w:rFonts w:asciiTheme="majorHAnsi" w:hAnsiTheme="majorHAnsi" w:cstheme="majorHAnsi"/>
                <w:sz w:val="20"/>
              </w:rPr>
              <w:object w:dxaOrig="1520" w:dyaOrig="985" w14:anchorId="6A6CD02D">
                <v:shape id="_x0000_i1027" type="#_x0000_t75" style="width:76.2pt;height:49.2pt" o:ole="">
                  <v:imagedata r:id="rId13" o:title=""/>
                </v:shape>
                <o:OLEObject Type="Embed" ProgID="AcroExch.Document.DC" ShapeID="_x0000_i1027" DrawAspect="Icon" ObjectID="_1652761647" r:id="rId14"/>
              </w:object>
            </w:r>
          </w:p>
          <w:p w14:paraId="3244284A" w14:textId="77777777" w:rsidR="00F043E5"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64026F80" w14:textId="77777777" w:rsidR="00BA12B1" w:rsidRPr="00F408EA" w:rsidRDefault="00BA12B1"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3207E12F" w14:textId="20D6C49A" w:rsidR="00F043E5" w:rsidRPr="00F408EA" w:rsidRDefault="00F043E5" w:rsidP="0089278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lastRenderedPageBreak/>
              <w:t>Izjava in posredovanje podatkov v zvezi z uveljavljanjem statusa MSP</w:t>
            </w:r>
          </w:p>
          <w:p w14:paraId="24E4C32D" w14:textId="7AE25E61" w:rsidR="00F043E5" w:rsidRPr="00F408EA" w:rsidRDefault="00F043E5" w:rsidP="00892788">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object w:dxaOrig="1287" w:dyaOrig="832" w14:anchorId="6FD581AF">
                <v:shape id="_x0000_i1028" type="#_x0000_t75" style="width:64.2pt;height:42pt" o:ole="">
                  <v:imagedata r:id="rId15" o:title=""/>
                </v:shape>
                <o:OLEObject Type="Embed" ProgID="AcroExch.Document.DC" ShapeID="_x0000_i1028" DrawAspect="Icon" ObjectID="_1652761648" r:id="rId16"/>
              </w:object>
            </w:r>
          </w:p>
          <w:p w14:paraId="4FBFBF62" w14:textId="3156FFFD"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408EA">
              <w:rPr>
                <w:rFonts w:asciiTheme="majorHAnsi" w:hAnsiTheme="majorHAnsi" w:cstheme="majorHAnsi"/>
                <w:sz w:val="24"/>
                <w:szCs w:val="24"/>
              </w:rPr>
              <w:t xml:space="preserve">Povezava na Prilogo I k Uredbi Komisije (EU) št. 651/2014: </w:t>
            </w:r>
            <w:hyperlink r:id="rId17" w:history="1">
              <w:r w:rsidRPr="00F408EA">
                <w:rPr>
                  <w:rFonts w:asciiTheme="majorHAnsi" w:hAnsiTheme="majorHAnsi" w:cstheme="majorHAnsi"/>
                  <w:color w:val="0000FF"/>
                  <w:u w:val="single"/>
                </w:rPr>
                <w:t>https://eur-lex.europa.eu/legal-content/SL/TXT/?uri=CELEX%3A32014R0651</w:t>
              </w:r>
            </w:hyperlink>
            <w:r w:rsidRPr="00F408EA">
              <w:rPr>
                <w:rFonts w:asciiTheme="majorHAnsi" w:hAnsiTheme="majorHAnsi" w:cstheme="majorHAnsi"/>
              </w:rPr>
              <w:t>.</w:t>
            </w:r>
          </w:p>
          <w:p w14:paraId="71A75D28" w14:textId="3A441795" w:rsidR="00F043E5" w:rsidRPr="00D43B8B"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43B8B">
              <w:rPr>
                <w:rFonts w:asciiTheme="majorHAnsi" w:hAnsiTheme="majorHAnsi" w:cstheme="majorHAnsi"/>
                <w:sz w:val="24"/>
                <w:szCs w:val="24"/>
              </w:rPr>
              <w:t>Pri ugotavljanju, ali je družba MSP ali veliko podjetje, je skladno s Prilogo I k Uredbi Komisije (EU) št. 651/2014 potrebno upoštevati tako povezana kot partnerska podjetja.</w:t>
            </w:r>
          </w:p>
          <w:p w14:paraId="049BD349" w14:textId="77777777" w:rsidR="00F043E5" w:rsidRPr="00D43B8B"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49257317" w14:textId="609D19C0" w:rsidR="00F043E5" w:rsidRPr="00D43B8B" w:rsidRDefault="00F043E5" w:rsidP="00D43B8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43B8B">
              <w:rPr>
                <w:rFonts w:asciiTheme="majorHAnsi" w:hAnsiTheme="majorHAnsi" w:cstheme="majorHAnsi"/>
                <w:sz w:val="24"/>
                <w:szCs w:val="24"/>
              </w:rPr>
              <w:t xml:space="preserve">Izračun kazalnikov za ugotavljanje, ali je podjetje v težavah, po </w:t>
            </w:r>
            <w:r w:rsidRPr="00D43B8B">
              <w:rPr>
                <w:rFonts w:asciiTheme="majorHAnsi" w:hAnsiTheme="majorHAnsi" w:cstheme="majorHAnsi"/>
                <w:b/>
                <w:bCs/>
                <w:sz w:val="24"/>
                <w:szCs w:val="24"/>
              </w:rPr>
              <w:t xml:space="preserve">točki (e) 18. točke 2. člena Uredbe 651/2014/EU </w:t>
            </w:r>
            <w:r w:rsidRPr="00D43B8B">
              <w:rPr>
                <w:rFonts w:asciiTheme="majorHAnsi" w:hAnsiTheme="majorHAnsi" w:cstheme="majorHAnsi"/>
                <w:sz w:val="24"/>
                <w:szCs w:val="24"/>
              </w:rPr>
              <w:t>ni potreben, če se kreditojemalec uvršča v skupino »MSP«, kar dokaže s predloženo »Izjavo in posredovanjem podatkov v zvezi z uveljavljanjem statusa MSP«.</w:t>
            </w:r>
          </w:p>
          <w:p w14:paraId="589CD40C" w14:textId="77777777" w:rsidR="00F043E5"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p w14:paraId="67599794" w14:textId="77777777" w:rsidR="00F043E5" w:rsidRPr="00157EBB" w:rsidRDefault="00F043E5" w:rsidP="00FA6F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E1FBA4" w14:textId="77777777" w:rsidR="00F043E5" w:rsidRPr="00FA6F27" w:rsidRDefault="00F043E5" w:rsidP="00566D9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 spodnji povezavi je s</w:t>
            </w:r>
            <w:r w:rsidRPr="00FA6F27">
              <w:rPr>
                <w:rFonts w:asciiTheme="majorHAnsi" w:hAnsiTheme="majorHAnsi" w:cstheme="majorHAnsi"/>
                <w:sz w:val="24"/>
                <w:szCs w:val="24"/>
              </w:rPr>
              <w:t xml:space="preserve"> primeri razloženo, kako se določa status MSP</w:t>
            </w:r>
          </w:p>
          <w:p w14:paraId="6226D87B" w14:textId="074BCE8A" w:rsidR="00F043E5" w:rsidRPr="00D43B8B" w:rsidRDefault="00BA12B1" w:rsidP="00FA6F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hyperlink r:id="rId18" w:history="1">
              <w:r w:rsidR="00F043E5" w:rsidRPr="00D43B8B">
                <w:rPr>
                  <w:rFonts w:asciiTheme="majorHAnsi" w:hAnsiTheme="majorHAnsi" w:cstheme="majorHAnsi"/>
                  <w:sz w:val="24"/>
                  <w:szCs w:val="24"/>
                  <w:u w:val="single"/>
                </w:rPr>
                <w:t>https://op.europa.eu/sl/publication-detail/-/publication/79c0ce87-f4dc-11e6-8a35-01aa75ed71a1</w:t>
              </w:r>
            </w:hyperlink>
          </w:p>
          <w:p w14:paraId="6CC33BBA" w14:textId="77777777"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5236532" w14:textId="19EE2481"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03D988C7" w14:textId="326DC7EE" w:rsidR="00F043E5" w:rsidRDefault="00F043E5" w:rsidP="0089278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Računovodski izkazi kreditojemalca na dan 31.12.2019.</w:t>
            </w:r>
          </w:p>
          <w:p w14:paraId="389BBD18" w14:textId="77777777" w:rsidR="008E428B" w:rsidRDefault="008E428B" w:rsidP="008E428B">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1C9A2994" w14:textId="2CAC9CC6" w:rsidR="00F043E5" w:rsidRPr="008E428B" w:rsidRDefault="00F043E5" w:rsidP="008E428B">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8E428B">
              <w:rPr>
                <w:rFonts w:asciiTheme="majorHAnsi" w:hAnsiTheme="majorHAnsi" w:cstheme="majorHAnsi"/>
                <w:b/>
                <w:bCs/>
                <w:sz w:val="24"/>
                <w:szCs w:val="24"/>
              </w:rPr>
              <w:t xml:space="preserve">Računovodski izkazi skupine na dan 31. 12. 2019, če je kreditojemalec del skupine. </w:t>
            </w:r>
            <w:r w:rsidRPr="008E428B">
              <w:rPr>
                <w:rFonts w:asciiTheme="majorHAnsi" w:hAnsiTheme="majorHAnsi" w:cstheme="majorHAnsi"/>
                <w:sz w:val="24"/>
                <w:szCs w:val="24"/>
              </w:rPr>
              <w:t>Skupina je opredeljena kot »enotni gospodarski subjekt«. Če za tako opredeljeno skupino obstajajo konsolidirani izkazi, kreditojemalec predloži te, sicer konsolidirane za del skupine, za vsa ostala podjetja, ki niso vključena v konsolidirane računovodske izkaze, pa predloži posamične računovodske izkaze. Če konsolidiranih računovodskih izkazov sploh ni na voljo, pa banki posreduje posamične računovodske izkaze za vsa podjetja iz skupine. V primeru, da kreditojemalec banki ni posredoval konsolidiranih računovodskih izkazov za celotno skupino, banka pa na podlagi posamičnih izkazov za podjetja iz skupine zazna sum, da bi lahko skupina izpolnjevala kakšnega izmed kriterijev za dodelitev statusa podjetje v težavah, mora kreditojemalec na zahtevo banke pripraviti konsolidirane računovodske izkaze skupine, ki b</w:t>
            </w:r>
            <w:r w:rsidR="00FE685F">
              <w:rPr>
                <w:rFonts w:asciiTheme="majorHAnsi" w:hAnsiTheme="majorHAnsi" w:cstheme="majorHAnsi"/>
                <w:sz w:val="24"/>
                <w:szCs w:val="24"/>
              </w:rPr>
              <w:t>odo</w:t>
            </w:r>
            <w:r w:rsidRPr="008E428B">
              <w:rPr>
                <w:rFonts w:asciiTheme="majorHAnsi" w:hAnsiTheme="majorHAnsi" w:cstheme="majorHAnsi"/>
                <w:sz w:val="24"/>
                <w:szCs w:val="24"/>
              </w:rPr>
              <w:t xml:space="preserve"> vključevali podatke vseh podjetij, ki so vključena v skupino.</w:t>
            </w:r>
          </w:p>
        </w:tc>
      </w:tr>
      <w:tr w:rsidR="00F043E5" w:rsidRPr="00F408EA" w14:paraId="00E1D350" w14:textId="77777777" w:rsidTr="00F043E5">
        <w:trPr>
          <w:trHeight w:val="468"/>
        </w:trPr>
        <w:tc>
          <w:tcPr>
            <w:cnfStyle w:val="001000000000" w:firstRow="0" w:lastRow="0" w:firstColumn="1" w:lastColumn="0" w:oddVBand="0" w:evenVBand="0" w:oddHBand="0" w:evenHBand="0" w:firstRowFirstColumn="0" w:firstRowLastColumn="0" w:lastRowFirstColumn="0" w:lastRowLastColumn="0"/>
            <w:tcW w:w="4531" w:type="dxa"/>
          </w:tcPr>
          <w:p w14:paraId="10689A59" w14:textId="77777777" w:rsidR="00F043E5" w:rsidRPr="00F408EA" w:rsidRDefault="00F043E5" w:rsidP="00892788">
            <w:pPr>
              <w:rPr>
                <w:rFonts w:asciiTheme="majorHAnsi" w:hAnsiTheme="majorHAnsi" w:cstheme="majorHAnsi"/>
                <w:b w:val="0"/>
                <w:bCs w:val="0"/>
                <w:sz w:val="18"/>
                <w:szCs w:val="18"/>
              </w:rPr>
            </w:pPr>
            <w:r w:rsidRPr="00F408EA">
              <w:rPr>
                <w:rFonts w:asciiTheme="majorHAnsi" w:hAnsiTheme="majorHAnsi" w:cstheme="majorHAnsi"/>
                <w:sz w:val="18"/>
                <w:szCs w:val="18"/>
              </w:rPr>
              <w:lastRenderedPageBreak/>
              <w:t>5. člen (4) b)</w:t>
            </w:r>
          </w:p>
          <w:p w14:paraId="22926239" w14:textId="28432299"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 xml:space="preserve">da se po 31. decembru 2019 kreditojemalec z likvidnostnimi težavami sooča zaradi poslovnih razlogov, povezanih s posledicami COVID-19 na območju RS </w:t>
            </w:r>
          </w:p>
        </w:tc>
        <w:tc>
          <w:tcPr>
            <w:tcW w:w="10065" w:type="dxa"/>
          </w:tcPr>
          <w:p w14:paraId="5F72D2D2" w14:textId="4A5A8E50"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08EA">
              <w:rPr>
                <w:rFonts w:asciiTheme="majorHAnsi" w:hAnsiTheme="majorHAnsi" w:cstheme="majorHAnsi"/>
                <w:sz w:val="24"/>
                <w:szCs w:val="24"/>
              </w:rPr>
              <w:t>Kreditojemalec:</w:t>
            </w:r>
          </w:p>
          <w:p w14:paraId="3DB08479" w14:textId="0CC5A775" w:rsidR="00F043E5" w:rsidRPr="00F408EA" w:rsidRDefault="00F043E5" w:rsidP="008927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bookmarkStart w:id="0" w:name="_Hlk40974381"/>
            <w:r w:rsidRPr="00F408EA">
              <w:rPr>
                <w:rFonts w:asciiTheme="majorHAnsi" w:hAnsiTheme="majorHAnsi" w:cstheme="majorHAnsi"/>
                <w:b/>
                <w:bCs/>
                <w:sz w:val="24"/>
                <w:szCs w:val="24"/>
              </w:rPr>
              <w:t>Izjava kreditojemalca, da se zaradi Covid-19 sooča z likvidnostnimi težavami, z opisom svojega poslovnega položaja zaradi posledic Covid-19 na območju RS</w:t>
            </w:r>
          </w:p>
          <w:p w14:paraId="5FF35678" w14:textId="10ADAC27" w:rsidR="00F043E5" w:rsidRPr="00F408EA" w:rsidRDefault="00F043E5" w:rsidP="008927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Stanje likvidnostnih sredstev za obdobje enega meseca pred oddajo vloge za kredit s projekcijo za 6 mesecev v prihodnosti</w:t>
            </w:r>
            <w:r>
              <w:rPr>
                <w:rFonts w:asciiTheme="majorHAnsi" w:hAnsiTheme="majorHAnsi" w:cstheme="majorHAnsi"/>
                <w:b/>
                <w:bCs/>
                <w:sz w:val="24"/>
                <w:szCs w:val="24"/>
              </w:rPr>
              <w:t xml:space="preserve"> (</w:t>
            </w:r>
            <w:bookmarkStart w:id="1" w:name="_Hlk41935460"/>
            <w:r>
              <w:rPr>
                <w:rFonts w:asciiTheme="majorHAnsi" w:hAnsiTheme="majorHAnsi" w:cstheme="majorHAnsi"/>
                <w:b/>
                <w:bCs/>
                <w:sz w:val="24"/>
                <w:szCs w:val="24"/>
              </w:rPr>
              <w:t xml:space="preserve">upoštevaje stanja na transakcijskem računu kreditojemalca in </w:t>
            </w:r>
            <w:proofErr w:type="spellStart"/>
            <w:r>
              <w:rPr>
                <w:rFonts w:asciiTheme="majorHAnsi" w:hAnsiTheme="majorHAnsi" w:cstheme="majorHAnsi"/>
                <w:b/>
                <w:bCs/>
                <w:sz w:val="24"/>
                <w:szCs w:val="24"/>
              </w:rPr>
              <w:t>nečrpani</w:t>
            </w:r>
            <w:proofErr w:type="spellEnd"/>
            <w:r>
              <w:rPr>
                <w:rFonts w:asciiTheme="majorHAnsi" w:hAnsiTheme="majorHAnsi" w:cstheme="majorHAnsi"/>
                <w:b/>
                <w:bCs/>
                <w:sz w:val="24"/>
                <w:szCs w:val="24"/>
              </w:rPr>
              <w:t xml:space="preserve"> del revolving bančnih posojil)</w:t>
            </w:r>
          </w:p>
          <w:bookmarkEnd w:id="1"/>
          <w:p w14:paraId="3023377B"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6EF1F9FE" w14:textId="1EEA21CC"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object w:dxaOrig="1287" w:dyaOrig="832" w14:anchorId="1BEEBB08">
                <v:shape id="_x0000_i1029" type="#_x0000_t75" style="width:64.2pt;height:41.4pt" o:ole="">
                  <v:imagedata r:id="rId19" o:title=""/>
                </v:shape>
                <o:OLEObject Type="Embed" ProgID="Excel.Sheet.12" ShapeID="_x0000_i1029" DrawAspect="Icon" ObjectID="_1652761649" r:id="rId20"/>
              </w:object>
            </w:r>
          </w:p>
          <w:bookmarkEnd w:id="0"/>
          <w:p w14:paraId="002B9729" w14:textId="0FFE3E1F"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3E1DD05A" w14:textId="49B20E12" w:rsidR="00F043E5" w:rsidRPr="008E428B"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w:t>
            </w:r>
            <w:r w:rsidRPr="00F408EA">
              <w:rPr>
                <w:rFonts w:asciiTheme="majorHAnsi" w:hAnsiTheme="majorHAnsi" w:cstheme="majorHAnsi"/>
                <w:sz w:val="20"/>
                <w:szCs w:val="20"/>
              </w:rPr>
              <w:t xml:space="preserve">Dodatno pojasnilo: Kot utemeljeni poslovni razlogi se upoštevajo poslovni razlogi povezani s posledicami </w:t>
            </w:r>
            <w:proofErr w:type="spellStart"/>
            <w:r w:rsidRPr="00F408EA">
              <w:rPr>
                <w:rFonts w:asciiTheme="majorHAnsi" w:hAnsiTheme="majorHAnsi" w:cstheme="majorHAnsi"/>
                <w:sz w:val="20"/>
                <w:szCs w:val="20"/>
              </w:rPr>
              <w:t>Covid</w:t>
            </w:r>
            <w:proofErr w:type="spellEnd"/>
            <w:r w:rsidRPr="00F408EA">
              <w:rPr>
                <w:rFonts w:asciiTheme="majorHAnsi" w:hAnsiTheme="majorHAnsi" w:cstheme="majorHAnsi"/>
                <w:sz w:val="20"/>
                <w:szCs w:val="20"/>
              </w:rPr>
              <w:t xml:space="preserve"> -19, ki kreditojemalcu nastanejo na območju Republike Slovenije</w:t>
            </w:r>
            <w:r w:rsidRPr="00F408EA">
              <w:rPr>
                <w:rFonts w:asciiTheme="majorHAnsi" w:hAnsiTheme="majorHAnsi" w:cstheme="majorHAnsi"/>
                <w:i/>
                <w:iCs/>
                <w:sz w:val="20"/>
                <w:szCs w:val="20"/>
              </w:rPr>
              <w:t>.</w:t>
            </w:r>
            <w:r w:rsidRPr="00F408EA">
              <w:rPr>
                <w:rFonts w:asciiTheme="majorHAnsi" w:hAnsiTheme="majorHAnsi" w:cstheme="majorHAnsi"/>
                <w:b/>
                <w:bCs/>
                <w:sz w:val="24"/>
                <w:szCs w:val="24"/>
              </w:rPr>
              <w:t>]</w:t>
            </w:r>
          </w:p>
          <w:p w14:paraId="64CEDD81" w14:textId="30B5E0D9"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F043E5" w:rsidRPr="00F408EA" w14:paraId="5281D871" w14:textId="77777777" w:rsidTr="00F043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134DD0DB" w14:textId="77777777" w:rsidR="00F043E5" w:rsidRPr="00F408EA" w:rsidRDefault="00F043E5" w:rsidP="00892788">
            <w:pPr>
              <w:rPr>
                <w:rFonts w:asciiTheme="majorHAnsi" w:hAnsiTheme="majorHAnsi" w:cstheme="majorHAnsi"/>
                <w:b w:val="0"/>
                <w:bCs w:val="0"/>
                <w:sz w:val="18"/>
                <w:szCs w:val="18"/>
              </w:rPr>
            </w:pPr>
            <w:r w:rsidRPr="00F408EA">
              <w:rPr>
                <w:rFonts w:asciiTheme="majorHAnsi" w:hAnsiTheme="majorHAnsi" w:cstheme="majorHAnsi"/>
                <w:sz w:val="18"/>
                <w:szCs w:val="18"/>
              </w:rPr>
              <w:t>5. člen (4) c)</w:t>
            </w:r>
          </w:p>
          <w:p w14:paraId="670853CF" w14:textId="40F21F85"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da se kreditojemalec na dan 12. marca 2020 ne šteje za neplačnika skladno z določbami Uredbe (EU) št. 575/2013 Evropskega parlamenta in Sveta z dne 26. junija 2013 o bonitetnih zahtevah za kreditne institucije in investicijska podjetja ter o spremembi Uredbe (EU) št. 648/2012 (UL L št. 176 z dne 27. 6. 2013, str. 1), zadnjič spremenjene z Uredbo (EU) 2019/2033 Evropskega parlamenta in Sveta z dne 27. novembra 2019</w:t>
            </w:r>
          </w:p>
          <w:p w14:paraId="458429EE"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o bonitetnih zahtevah za investicijska podjetja ter o spremembi uredb (EU) št. 1093/2010, (EU) št. 575/2013, (EU) št. 600/2014 in (EU) št.</w:t>
            </w:r>
          </w:p>
          <w:p w14:paraId="7274676C" w14:textId="2F664D83"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806/2014 (UL L št. 314 z dne 5. 12. 2019, str. 1), (v nadaljnjem besedilu: Uredba 575/2013/EU), pri čemer kreditojemalec na dan 12. 3. 2020 nima pomembnih zamud pri poravnavanju obveznosti do banke, kot so opredeljene v smernicah Evropskega bančnega organa,</w:t>
            </w:r>
          </w:p>
        </w:tc>
        <w:tc>
          <w:tcPr>
            <w:tcW w:w="10065" w:type="dxa"/>
          </w:tcPr>
          <w:p w14:paraId="230CFF5D" w14:textId="169EB706" w:rsidR="00F043E5" w:rsidRPr="00F408EA" w:rsidRDefault="00F043E5" w:rsidP="00476675">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0"/>
              </w:rPr>
            </w:pPr>
          </w:p>
          <w:p w14:paraId="6CE982E9" w14:textId="6D5F8DDD"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 xml:space="preserve">Banka: </w:t>
            </w:r>
          </w:p>
          <w:p w14:paraId="0288F8BA" w14:textId="77777777"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3DFBF307" w14:textId="7FCC0011" w:rsidR="00F043E5" w:rsidRPr="00F408EA" w:rsidRDefault="00F043E5" w:rsidP="008927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banke, da kreditojemalec pri banki, ki odobrava kredit, in v njeni bančni skupini, nima:</w:t>
            </w:r>
          </w:p>
          <w:p w14:paraId="1B4BB13E" w14:textId="502B85A2" w:rsidR="00F043E5" w:rsidRPr="00F408EA" w:rsidRDefault="00F043E5" w:rsidP="0089278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 xml:space="preserve">statusa neplačnika na dan 12.3.2020  in </w:t>
            </w:r>
          </w:p>
          <w:p w14:paraId="5173044E" w14:textId="142C986F" w:rsidR="00F043E5" w:rsidRPr="00F408EA" w:rsidRDefault="00F043E5" w:rsidP="0047667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pomembnih zamud</w:t>
            </w:r>
            <w:r w:rsidRPr="00F408EA">
              <w:rPr>
                <w:rFonts w:asciiTheme="majorHAnsi" w:hAnsiTheme="majorHAnsi" w:cstheme="majorHAnsi"/>
                <w:b/>
                <w:bCs/>
                <w:color w:val="FF0000"/>
                <w:sz w:val="24"/>
                <w:szCs w:val="24"/>
              </w:rPr>
              <w:t>*</w:t>
            </w:r>
            <w:r w:rsidRPr="00F408EA">
              <w:rPr>
                <w:rFonts w:asciiTheme="majorHAnsi" w:hAnsiTheme="majorHAnsi" w:cstheme="majorHAnsi"/>
                <w:b/>
                <w:bCs/>
                <w:sz w:val="24"/>
                <w:szCs w:val="24"/>
              </w:rPr>
              <w:t xml:space="preserve"> s plačili, na stanje na dan 12.3.2020.</w:t>
            </w:r>
          </w:p>
          <w:p w14:paraId="30AD3B30" w14:textId="00C45F62" w:rsidR="00F043E5" w:rsidRPr="00F408EA" w:rsidRDefault="00F043E5" w:rsidP="00892788">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77997ADF" w14:textId="2A170EFC"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08EA">
              <w:rPr>
                <w:rFonts w:asciiTheme="majorHAnsi" w:hAnsiTheme="majorHAnsi" w:cstheme="majorHAnsi"/>
                <w:b/>
                <w:bCs/>
                <w:sz w:val="24"/>
                <w:szCs w:val="24"/>
              </w:rPr>
              <w:t>[</w:t>
            </w:r>
            <w:r w:rsidRPr="00F408EA">
              <w:rPr>
                <w:rFonts w:asciiTheme="majorHAnsi" w:hAnsiTheme="majorHAnsi" w:cstheme="majorHAnsi"/>
                <w:b/>
                <w:bCs/>
                <w:color w:val="FF0000"/>
                <w:sz w:val="24"/>
                <w:szCs w:val="24"/>
              </w:rPr>
              <w:t>*</w:t>
            </w:r>
            <w:r w:rsidRPr="00F408EA">
              <w:rPr>
                <w:rFonts w:asciiTheme="majorHAnsi" w:hAnsiTheme="majorHAnsi" w:cstheme="majorHAnsi"/>
                <w:sz w:val="20"/>
                <w:szCs w:val="20"/>
              </w:rPr>
              <w:t xml:space="preserve">Dodatno pojasnilo: Banke za namen člena 178(2)(d) Uredbe (EU) št. 575/2013 pri ocenjevanju pomembne zamude upoštevajo prag pomembnih zamud skladno s prvim, drugim in tretjim odstavkom </w:t>
            </w:r>
            <w:r w:rsidRPr="00F408EA">
              <w:rPr>
                <w:rFonts w:asciiTheme="majorHAnsi" w:hAnsiTheme="majorHAnsi" w:cstheme="majorHAnsi"/>
              </w:rPr>
              <w:t xml:space="preserve">6. člena </w:t>
            </w:r>
            <w:r w:rsidRPr="00F408EA">
              <w:rPr>
                <w:rFonts w:asciiTheme="majorHAnsi" w:hAnsiTheme="majorHAnsi" w:cstheme="majorHAnsi"/>
                <w:sz w:val="20"/>
                <w:szCs w:val="20"/>
              </w:rPr>
              <w:t>Sklepa o izvajanju opcij in diskrecijskih pravic iz prava Unije.</w:t>
            </w:r>
            <w:r w:rsidRPr="00F408EA">
              <w:rPr>
                <w:rFonts w:asciiTheme="majorHAnsi" w:hAnsiTheme="majorHAnsi" w:cstheme="majorHAnsi"/>
                <w:b/>
                <w:bCs/>
                <w:sz w:val="24"/>
                <w:szCs w:val="24"/>
              </w:rPr>
              <w:t>]</w:t>
            </w:r>
          </w:p>
          <w:p w14:paraId="18244759" w14:textId="77777777" w:rsidR="00F043E5" w:rsidRPr="00F408EA" w:rsidRDefault="00F043E5" w:rsidP="00892788">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0"/>
              </w:rPr>
            </w:pPr>
          </w:p>
          <w:p w14:paraId="36A4216A" w14:textId="1CBD89E3" w:rsidR="00F043E5" w:rsidRPr="00F408EA" w:rsidRDefault="00F043E5" w:rsidP="0047667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Izpis zapadlih neplačanih terjatev banke, ki odobrava kredit, in njene bančne skupine, do kreditojemalca na dan 12.3.2020.</w:t>
            </w:r>
          </w:p>
          <w:p w14:paraId="250F3DC7" w14:textId="77777777" w:rsidR="00F043E5" w:rsidRPr="00F408EA" w:rsidRDefault="00F043E5" w:rsidP="00476675">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76B07F63" w14:textId="2CD6806D" w:rsidR="00F043E5" w:rsidRPr="00F408EA" w:rsidRDefault="00F043E5" w:rsidP="008E50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043E5" w:rsidRPr="00F408EA" w14:paraId="43EB8C96" w14:textId="77777777" w:rsidTr="00F043E5">
        <w:trPr>
          <w:trHeight w:val="448"/>
        </w:trPr>
        <w:tc>
          <w:tcPr>
            <w:cnfStyle w:val="001000000000" w:firstRow="0" w:lastRow="0" w:firstColumn="1" w:lastColumn="0" w:oddVBand="0" w:evenVBand="0" w:oddHBand="0" w:evenHBand="0" w:firstRowFirstColumn="0" w:firstRowLastColumn="0" w:lastRowFirstColumn="0" w:lastRowLastColumn="0"/>
            <w:tcW w:w="4531" w:type="dxa"/>
          </w:tcPr>
          <w:p w14:paraId="0A8F33F6" w14:textId="77777777" w:rsidR="00F043E5" w:rsidRPr="00F408EA" w:rsidRDefault="00F043E5" w:rsidP="00892788">
            <w:pPr>
              <w:autoSpaceDE w:val="0"/>
              <w:autoSpaceDN w:val="0"/>
              <w:adjustRightInd w:val="0"/>
              <w:rPr>
                <w:rFonts w:asciiTheme="majorHAnsi" w:hAnsiTheme="majorHAnsi" w:cstheme="majorHAnsi"/>
                <w:b w:val="0"/>
                <w:bCs w:val="0"/>
                <w:sz w:val="18"/>
                <w:szCs w:val="18"/>
              </w:rPr>
            </w:pPr>
            <w:r w:rsidRPr="00F408EA">
              <w:rPr>
                <w:rFonts w:asciiTheme="majorHAnsi" w:hAnsiTheme="majorHAnsi" w:cstheme="majorHAnsi"/>
                <w:sz w:val="18"/>
                <w:szCs w:val="18"/>
              </w:rPr>
              <w:t xml:space="preserve">5. člen (4) d) </w:t>
            </w:r>
          </w:p>
          <w:p w14:paraId="5A5939B2" w14:textId="4C9F15A5"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 xml:space="preserve">da gre za kreditojemalca, ki ne posluje in ni registriran v državi iz Seznama Evropske unije z jurisdikcijami, ki niso pripravljene sodelovati v davčne namene, in nima lastnika iz </w:t>
            </w:r>
            <w:r w:rsidRPr="00F408EA">
              <w:rPr>
                <w:rFonts w:asciiTheme="majorHAnsi" w:hAnsiTheme="majorHAnsi" w:cstheme="majorHAnsi"/>
                <w:sz w:val="18"/>
                <w:szCs w:val="18"/>
              </w:rPr>
              <w:lastRenderedPageBreak/>
              <w:t>takšne države,</w:t>
            </w:r>
          </w:p>
        </w:tc>
        <w:tc>
          <w:tcPr>
            <w:tcW w:w="10065" w:type="dxa"/>
          </w:tcPr>
          <w:p w14:paraId="1030D6D9"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3BD4B97" w14:textId="13717B96"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F408EA">
              <w:rPr>
                <w:rFonts w:asciiTheme="majorHAnsi" w:hAnsiTheme="majorHAnsi" w:cstheme="majorHAnsi"/>
                <w:b/>
                <w:bCs/>
                <w:sz w:val="24"/>
                <w:szCs w:val="24"/>
              </w:rPr>
              <w:t xml:space="preserve">Za vsa dokazila se upošteva seznam držav na spletni strani na spodnji povezavi (Opozorilo: </w:t>
            </w:r>
            <w:r w:rsidRPr="00F408EA">
              <w:rPr>
                <w:rFonts w:asciiTheme="majorHAnsi" w:hAnsiTheme="majorHAnsi" w:cstheme="majorHAnsi"/>
                <w:sz w:val="24"/>
                <w:szCs w:val="24"/>
              </w:rPr>
              <w:t xml:space="preserve">Seznam držav </w:t>
            </w:r>
            <w:r w:rsidRPr="00F408EA">
              <w:rPr>
                <w:rFonts w:asciiTheme="majorHAnsi" w:hAnsiTheme="majorHAnsi" w:cstheme="majorHAnsi"/>
                <w:b/>
                <w:bCs/>
                <w:sz w:val="24"/>
                <w:szCs w:val="24"/>
              </w:rPr>
              <w:t>ni</w:t>
            </w:r>
            <w:r w:rsidRPr="00F408EA">
              <w:rPr>
                <w:rFonts w:asciiTheme="majorHAnsi" w:hAnsiTheme="majorHAnsi" w:cstheme="majorHAnsi"/>
                <w:sz w:val="24"/>
                <w:szCs w:val="24"/>
              </w:rPr>
              <w:t xml:space="preserve"> statičen</w:t>
            </w:r>
            <w:r w:rsidRPr="00F408EA">
              <w:rPr>
                <w:rFonts w:asciiTheme="majorHAnsi" w:hAnsiTheme="majorHAnsi" w:cstheme="majorHAnsi"/>
                <w:b/>
                <w:bCs/>
                <w:sz w:val="24"/>
                <w:szCs w:val="24"/>
              </w:rPr>
              <w:t>):</w:t>
            </w:r>
          </w:p>
          <w:p w14:paraId="739BE309" w14:textId="77777777" w:rsidR="00F043E5" w:rsidRPr="00F408EA" w:rsidRDefault="00BA12B1"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21" w:history="1">
              <w:r w:rsidR="00F043E5" w:rsidRPr="00F408EA">
                <w:rPr>
                  <w:rStyle w:val="Hyperlink"/>
                  <w:rFonts w:asciiTheme="majorHAnsi" w:hAnsiTheme="majorHAnsi" w:cstheme="majorHAnsi"/>
                  <w:sz w:val="20"/>
                  <w:szCs w:val="20"/>
                </w:rPr>
                <w:t>https://www.consilium.europa.eu/en/policies/eu-list-of-non-cooperative-jurisdictions/</w:t>
              </w:r>
            </w:hyperlink>
          </w:p>
          <w:p w14:paraId="6918848D"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2CA4F35B" w14:textId="152E45F6"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Dokazila in izjave</w:t>
            </w:r>
            <w:r w:rsidR="0046515E">
              <w:rPr>
                <w:rFonts w:asciiTheme="majorHAnsi" w:hAnsiTheme="majorHAnsi" w:cstheme="majorHAnsi"/>
                <w:b/>
                <w:bCs/>
                <w:sz w:val="24"/>
                <w:szCs w:val="24"/>
              </w:rPr>
              <w:t xml:space="preserve"> </w:t>
            </w:r>
            <w:r w:rsidRPr="00F408EA">
              <w:rPr>
                <w:rFonts w:asciiTheme="majorHAnsi" w:hAnsiTheme="majorHAnsi" w:cstheme="majorHAnsi"/>
                <w:b/>
                <w:bCs/>
                <w:sz w:val="24"/>
                <w:szCs w:val="24"/>
              </w:rPr>
              <w:t xml:space="preserve">so razdeljena v 3 sklope: </w:t>
            </w:r>
          </w:p>
          <w:p w14:paraId="00B6478C" w14:textId="23151B1A" w:rsidR="00F043E5" w:rsidRPr="00F408EA" w:rsidRDefault="00F043E5" w:rsidP="0089278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»ne posluje«</w:t>
            </w:r>
          </w:p>
          <w:p w14:paraId="5BC57175" w14:textId="67364A8B" w:rsidR="00F043E5" w:rsidRPr="00F408EA" w:rsidRDefault="00F043E5" w:rsidP="0089278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»ni registriran«</w:t>
            </w:r>
          </w:p>
          <w:p w14:paraId="28D6A3F8" w14:textId="56D15D6C" w:rsidR="00F043E5" w:rsidRPr="00F408EA" w:rsidRDefault="00F043E5" w:rsidP="0089278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»nima lastnika«</w:t>
            </w:r>
          </w:p>
          <w:p w14:paraId="0769FB0D" w14:textId="662D4FD8"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27383E10"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517F278E" w14:textId="06DC1C2A"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Za sklop »A – ne posluje«:</w:t>
            </w:r>
          </w:p>
          <w:p w14:paraId="1BEB71A8"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10"/>
              </w:rPr>
            </w:pPr>
          </w:p>
          <w:p w14:paraId="12B5E3B0"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Kreditojemalec:</w:t>
            </w:r>
          </w:p>
          <w:p w14:paraId="68B56A24"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4F537192" w14:textId="30E5AF1B" w:rsidR="00F043E5" w:rsidRPr="00F408EA" w:rsidRDefault="00F043E5" w:rsidP="0089278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kreditojemalca, da v državah iz seznama nima odprtega bančnega računa in da v obdobju od 1. 1. 2020 do datuma oddaje vloge za kredit ne posluje v državi iz Seznama Evropske unije z jurisdikcijami, ki niso pripravljene sodelovati v davčne namene (v nadaljevanju Seznam EU)</w:t>
            </w:r>
            <w:r w:rsidR="008E428B">
              <w:rPr>
                <w:rFonts w:asciiTheme="majorHAnsi" w:hAnsiTheme="majorHAnsi" w:cstheme="majorHAnsi"/>
                <w:b/>
                <w:bCs/>
                <w:sz w:val="24"/>
                <w:szCs w:val="24"/>
              </w:rPr>
              <w:t>.</w:t>
            </w:r>
          </w:p>
          <w:p w14:paraId="5C4632AE"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452A0158" w14:textId="61E01734"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Za sklop »B – ni registriran«</w:t>
            </w:r>
          </w:p>
          <w:p w14:paraId="675D3D80"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6B8F4A89"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Kreditojemalec:</w:t>
            </w:r>
          </w:p>
          <w:p w14:paraId="08613019" w14:textId="7C1D6A18" w:rsidR="00F043E5" w:rsidRPr="00F408EA" w:rsidRDefault="00F043E5" w:rsidP="0089278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Izpis za kreditojemalca iz registra poslovnih subjektov AJPES, iz katerega je razviden kraj in država, kjer je registriran (in odraža stanje na datum vloge za kredit)</w:t>
            </w:r>
          </w:p>
          <w:p w14:paraId="524D5365" w14:textId="77777777" w:rsidR="00F043E5" w:rsidRPr="00F408EA" w:rsidRDefault="00F043E5" w:rsidP="00892788">
            <w:pPr>
              <w:pStyle w:val="ListParagraph"/>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7C99142B" w14:textId="61328D1E"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Za sklop »C – nima lastnika«</w:t>
            </w:r>
          </w:p>
          <w:p w14:paraId="6B5CAD75"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2B787067" w14:textId="60DC1C0A"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w:t>
            </w:r>
          </w:p>
          <w:p w14:paraId="632DEAEC" w14:textId="07C705C2" w:rsidR="00F043E5" w:rsidRPr="00F408EA" w:rsidRDefault="00F043E5" w:rsidP="0089278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Izpis lastnikov kreditojemalca iz javnih evidenc iz katerih je razviden sedež oziroma naslov lastnikov (izpis na datum vloge za kredit)</w:t>
            </w:r>
          </w:p>
          <w:p w14:paraId="27A795E3" w14:textId="77777777" w:rsidR="00F043E5" w:rsidRPr="00F408EA" w:rsidRDefault="00F043E5" w:rsidP="00892788">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7C2AC2D0" w14:textId="1F575432"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F408EA">
              <w:rPr>
                <w:rFonts w:asciiTheme="majorHAnsi" w:hAnsiTheme="majorHAnsi" w:cstheme="majorHAnsi"/>
                <w:sz w:val="24"/>
              </w:rPr>
              <w:t xml:space="preserve">Banka preveri </w:t>
            </w:r>
            <w:r w:rsidRPr="00F408EA">
              <w:rPr>
                <w:rFonts w:asciiTheme="majorHAnsi" w:hAnsiTheme="majorHAnsi" w:cstheme="majorHAnsi"/>
                <w:sz w:val="24"/>
                <w:szCs w:val="24"/>
              </w:rPr>
              <w:t>dejanskega</w:t>
            </w:r>
            <w:r w:rsidRPr="00F408EA">
              <w:rPr>
                <w:rFonts w:asciiTheme="majorHAnsi" w:hAnsiTheme="majorHAnsi" w:cstheme="majorHAnsi"/>
                <w:sz w:val="24"/>
              </w:rPr>
              <w:t xml:space="preserve"> lastnika </w:t>
            </w:r>
            <w:r w:rsidRPr="00F408EA">
              <w:rPr>
                <w:rFonts w:asciiTheme="majorHAnsi" w:hAnsiTheme="majorHAnsi" w:cstheme="majorHAnsi"/>
                <w:sz w:val="24"/>
                <w:szCs w:val="24"/>
              </w:rPr>
              <w:t>po pravilih kot veljajo za ugotavljanje</w:t>
            </w:r>
            <w:r w:rsidRPr="00F408EA">
              <w:rPr>
                <w:rFonts w:asciiTheme="majorHAnsi" w:hAnsiTheme="majorHAnsi" w:cstheme="majorHAnsi"/>
                <w:sz w:val="24"/>
              </w:rPr>
              <w:t xml:space="preserve"> lastništva po </w:t>
            </w:r>
            <w:r w:rsidRPr="00F408EA">
              <w:rPr>
                <w:rFonts w:asciiTheme="majorHAnsi" w:hAnsiTheme="majorHAnsi" w:cstheme="majorHAnsi"/>
                <w:sz w:val="24"/>
                <w:szCs w:val="24"/>
              </w:rPr>
              <w:t>ZPPDFT-</w:t>
            </w:r>
            <w:r w:rsidRPr="00F408EA">
              <w:rPr>
                <w:rFonts w:asciiTheme="majorHAnsi" w:hAnsiTheme="majorHAnsi" w:cstheme="majorHAnsi"/>
                <w:sz w:val="24"/>
              </w:rPr>
              <w:t>1</w:t>
            </w:r>
            <w:r w:rsidRPr="00F408EA">
              <w:rPr>
                <w:rFonts w:asciiTheme="majorHAnsi" w:hAnsiTheme="majorHAnsi" w:cstheme="majorHAnsi"/>
                <w:sz w:val="24"/>
                <w:szCs w:val="24"/>
              </w:rPr>
              <w:t>.</w:t>
            </w:r>
          </w:p>
          <w:p w14:paraId="5142C702"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rPr>
            </w:pPr>
          </w:p>
          <w:p w14:paraId="43584228" w14:textId="346D0F1D"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Kreditojemalec (če ni na voljo podatkov o lastniku kreditojemalca iz javnih evidenc):</w:t>
            </w:r>
          </w:p>
          <w:p w14:paraId="61241829" w14:textId="3E683CA1" w:rsidR="00F043E5" w:rsidRPr="00F408EA" w:rsidRDefault="00F043E5" w:rsidP="0089278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Obrazec kreditojemalca, v katerem navede svoje lastnike in izjava, da med njimi nima lastnika iz države iz Seznama Evropske unije z jurisdikcijami, ki niso pripravljene sodelovati v davčne namene</w:t>
            </w:r>
          </w:p>
          <w:p w14:paraId="2EF7DCF8" w14:textId="334D2F9E"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 preveri dejanskega lastnika kot velja za ugotavljanje lastništva po ZPPDFT-1.</w:t>
            </w:r>
          </w:p>
          <w:p w14:paraId="3FEAD4F0" w14:textId="77777777" w:rsidR="00F043E5" w:rsidRPr="00F408EA" w:rsidRDefault="00F043E5" w:rsidP="00892788">
            <w:pPr>
              <w:pStyle w:val="ListParagraph"/>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06735BA5" w14:textId="604B0B1E"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rPr>
              <w:t xml:space="preserve">Banka </w:t>
            </w:r>
            <w:r w:rsidRPr="00F408EA">
              <w:rPr>
                <w:rFonts w:asciiTheme="majorHAnsi" w:hAnsiTheme="majorHAnsi" w:cstheme="majorHAnsi"/>
                <w:sz w:val="24"/>
                <w:szCs w:val="24"/>
              </w:rPr>
              <w:t>za vse sklope A, B, C:</w:t>
            </w:r>
          </w:p>
          <w:p w14:paraId="4534D0F0" w14:textId="39F67A48" w:rsidR="00F043E5" w:rsidRPr="00F408EA" w:rsidRDefault="00F043E5" w:rsidP="0089278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Pristojna organizacijska enota v banki</w:t>
            </w:r>
            <w:r w:rsidRPr="00F408EA">
              <w:rPr>
                <w:rFonts w:asciiTheme="majorHAnsi" w:hAnsiTheme="majorHAnsi" w:cstheme="majorHAnsi"/>
                <w:sz w:val="24"/>
                <w:szCs w:val="24"/>
              </w:rPr>
              <w:t xml:space="preserve"> v izjavi potrdi, da je opravila pregled dokazil kreditojemalca, preverila države in jih primerjala s seznamom držav Evropske unije z jurisdikcijami, ki niso pripravljene sodelovati v davčne namene</w:t>
            </w:r>
            <w:r w:rsidRPr="00F408EA">
              <w:rPr>
                <w:rFonts w:asciiTheme="majorHAnsi" w:hAnsiTheme="majorHAnsi" w:cstheme="majorHAnsi"/>
                <w:b/>
                <w:bCs/>
                <w:sz w:val="24"/>
                <w:szCs w:val="24"/>
              </w:rPr>
              <w:t>, ter da iz pregleda ugotavlja, da med njimi ni države, ki bi bila na omenjenem seznamu držav.</w:t>
            </w:r>
          </w:p>
          <w:p w14:paraId="2C0748EB" w14:textId="28AB9852" w:rsidR="00F043E5" w:rsidRPr="00F408EA" w:rsidRDefault="00F043E5" w:rsidP="006706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rPr>
            </w:pPr>
          </w:p>
        </w:tc>
      </w:tr>
      <w:tr w:rsidR="00F043E5" w:rsidRPr="00F408EA" w14:paraId="1E68037E" w14:textId="77777777" w:rsidTr="00F043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368FB8F1" w14:textId="77777777" w:rsidR="00F043E5" w:rsidRPr="00F408EA" w:rsidRDefault="00F043E5" w:rsidP="00892788">
            <w:pPr>
              <w:rPr>
                <w:rFonts w:asciiTheme="majorHAnsi" w:hAnsiTheme="majorHAnsi" w:cstheme="majorHAnsi"/>
                <w:b w:val="0"/>
                <w:bCs w:val="0"/>
                <w:sz w:val="18"/>
                <w:szCs w:val="18"/>
              </w:rPr>
            </w:pPr>
            <w:r w:rsidRPr="00F408EA">
              <w:rPr>
                <w:rFonts w:asciiTheme="majorHAnsi" w:hAnsiTheme="majorHAnsi" w:cstheme="majorHAnsi"/>
                <w:sz w:val="18"/>
                <w:szCs w:val="18"/>
              </w:rPr>
              <w:lastRenderedPageBreak/>
              <w:t>5. člen (4) e)</w:t>
            </w:r>
          </w:p>
          <w:p w14:paraId="3E7D416A" w14:textId="01DD6A2C"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da ima kreditojemalec na dan vložitve vloge poravnane zapadle obveznosti iz naslova obveznih prispevkov, davkov in drugih dajatev, ali da je na dan vložitve vloge za kredit v situaciji, ko mu je v skladu z določbami zakona odloženo plačilo obveznosti iz naslova obveznih prispevkov, davkov in drugih dajatev oziroma omogočeno obročno odplačilo le-teh,</w:t>
            </w:r>
          </w:p>
        </w:tc>
        <w:tc>
          <w:tcPr>
            <w:tcW w:w="10065" w:type="dxa"/>
          </w:tcPr>
          <w:p w14:paraId="678F4EBA" w14:textId="16382023"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F408EA">
              <w:rPr>
                <w:rFonts w:asciiTheme="majorHAnsi" w:hAnsiTheme="majorHAnsi" w:cstheme="majorHAnsi"/>
                <w:sz w:val="24"/>
                <w:szCs w:val="24"/>
              </w:rPr>
              <w:t>Kreditojemalec</w:t>
            </w:r>
            <w:r w:rsidRPr="00F408EA">
              <w:rPr>
                <w:rFonts w:asciiTheme="majorHAnsi" w:hAnsiTheme="majorHAnsi" w:cstheme="majorHAnsi"/>
                <w:b/>
                <w:bCs/>
                <w:sz w:val="20"/>
                <w:szCs w:val="20"/>
              </w:rPr>
              <w:t>:</w:t>
            </w:r>
          </w:p>
          <w:p w14:paraId="1A761846" w14:textId="3F8DF74B"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31A1FF0F" w14:textId="50673624" w:rsidR="00F043E5" w:rsidRPr="00F408EA" w:rsidRDefault="00F043E5" w:rsidP="00892788">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Potrdilo FURS o poravnanih zapadlih obveznostih iz naslova obveznih prispevkov, davkov in drugih dajatev na dan vložitve vloge</w:t>
            </w:r>
            <w:r w:rsidR="008E428B">
              <w:rPr>
                <w:rFonts w:asciiTheme="majorHAnsi" w:hAnsiTheme="majorHAnsi" w:cstheme="majorHAnsi"/>
                <w:b/>
                <w:bCs/>
                <w:sz w:val="24"/>
                <w:szCs w:val="24"/>
              </w:rPr>
              <w:t xml:space="preserve"> </w:t>
            </w:r>
            <w:r w:rsidRPr="00F408EA">
              <w:rPr>
                <w:rFonts w:asciiTheme="majorHAnsi" w:hAnsiTheme="majorHAnsi" w:cstheme="majorHAnsi"/>
                <w:b/>
                <w:bCs/>
                <w:sz w:val="24"/>
                <w:szCs w:val="24"/>
              </w:rPr>
              <w:t xml:space="preserve">za kredit </w:t>
            </w:r>
          </w:p>
          <w:p w14:paraId="1A9BDA43" w14:textId="17BDE6B6" w:rsidR="00F043E5" w:rsidRPr="00F408EA" w:rsidRDefault="00F043E5" w:rsidP="00892788">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 xml:space="preserve">V primeru, da potrdilo FURS izkazuje, da zapadle obveznosti iz naslova obveznih prispevkov, davkov in drugih dajatev na dan vložitve vloge za kredit niso poravnane, mora kreditojemalec predložiti še kopijo </w:t>
            </w:r>
            <w:r w:rsidRPr="00F408EA">
              <w:rPr>
                <w:rFonts w:asciiTheme="majorHAnsi" w:hAnsiTheme="majorHAnsi" w:cstheme="majorHAnsi"/>
                <w:b/>
                <w:bCs/>
                <w:sz w:val="24"/>
                <w:szCs w:val="24"/>
              </w:rPr>
              <w:t xml:space="preserve">Odločbe FURS </w:t>
            </w:r>
            <w:r w:rsidRPr="00F408EA">
              <w:rPr>
                <w:rFonts w:asciiTheme="majorHAnsi" w:hAnsiTheme="majorHAnsi" w:cstheme="majorHAnsi"/>
                <w:sz w:val="24"/>
                <w:szCs w:val="24"/>
              </w:rPr>
              <w:t>o odlogu plačila ali o odobrenem obročnem plačevanju obveznosti iz naslova obveznih prispevkov, davkov in drugih dajatev na dan vložitve vloge.</w:t>
            </w:r>
          </w:p>
          <w:p w14:paraId="297BCFCD" w14:textId="77777777"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p>
          <w:p w14:paraId="031B1E0B" w14:textId="0BA191E8"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sz w:val="24"/>
                <w:szCs w:val="24"/>
              </w:rPr>
              <w:t>Na datum vloge za kredit mora potrdilo FURS izkazovati, da so zapadle obveznosti iz naslova obveznih prispevkov, davkov in drugih dajatev poravnane. V nasprotnem primeru se pogoj šteje za izpolnjenega, če kreditojemalec predloži kopijo Odločbe FURS o odlogu plačila davkov. V kolikor nima izpolnjenega pogoja niti pod točko 1. niti pod 2.,  se šteje, da</w:t>
            </w:r>
            <w:r w:rsidRPr="00F408EA">
              <w:rPr>
                <w:rFonts w:asciiTheme="majorHAnsi" w:hAnsiTheme="majorHAnsi" w:cstheme="majorHAnsi"/>
                <w:b/>
                <w:bCs/>
                <w:sz w:val="24"/>
                <w:szCs w:val="24"/>
              </w:rPr>
              <w:t xml:space="preserve"> </w:t>
            </w:r>
            <w:r w:rsidRPr="00F408EA">
              <w:rPr>
                <w:rFonts w:asciiTheme="majorHAnsi" w:hAnsiTheme="majorHAnsi" w:cstheme="majorHAnsi"/>
                <w:sz w:val="24"/>
                <w:szCs w:val="24"/>
              </w:rPr>
              <w:t>v primeru, da so bile obveznosti do FURS poravnane kasneje – po dnevu vložitve vloge, pogoj ni izpolnjen</w:t>
            </w:r>
            <w:r w:rsidRPr="00F408EA">
              <w:rPr>
                <w:rFonts w:asciiTheme="majorHAnsi" w:hAnsiTheme="majorHAnsi" w:cstheme="majorHAnsi"/>
                <w:b/>
                <w:bCs/>
                <w:sz w:val="24"/>
                <w:szCs w:val="24"/>
              </w:rPr>
              <w:t>.</w:t>
            </w:r>
          </w:p>
          <w:p w14:paraId="2AF4C9E1" w14:textId="77777777"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0"/>
              </w:rPr>
            </w:pPr>
          </w:p>
          <w:p w14:paraId="66436110" w14:textId="25D06BCD" w:rsidR="00F043E5" w:rsidRPr="00F408EA" w:rsidRDefault="00F043E5" w:rsidP="00374D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043E5" w:rsidRPr="00F408EA" w14:paraId="3D9561D9" w14:textId="77777777" w:rsidTr="00F043E5">
        <w:trPr>
          <w:trHeight w:val="448"/>
        </w:trPr>
        <w:tc>
          <w:tcPr>
            <w:tcW w:w="4531" w:type="dxa"/>
          </w:tcPr>
          <w:p w14:paraId="69707672" w14:textId="77777777" w:rsidR="00F043E5" w:rsidRPr="00F408EA" w:rsidRDefault="00F043E5" w:rsidP="00892788">
            <w:pPr>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b w:val="0"/>
                <w:bCs w:val="0"/>
                <w:sz w:val="18"/>
                <w:szCs w:val="18"/>
              </w:rPr>
            </w:pPr>
            <w:bookmarkStart w:id="2" w:name="_Hlk40694663"/>
            <w:r w:rsidRPr="00F408EA">
              <w:rPr>
                <w:rFonts w:asciiTheme="majorHAnsi" w:hAnsiTheme="majorHAnsi" w:cstheme="majorHAnsi"/>
                <w:sz w:val="18"/>
                <w:szCs w:val="18"/>
              </w:rPr>
              <w:t>5. člen (4) f)</w:t>
            </w:r>
          </w:p>
          <w:p w14:paraId="175AC73A" w14:textId="45759343" w:rsidR="00F043E5" w:rsidRPr="00F408EA" w:rsidRDefault="00F043E5" w:rsidP="00892788">
            <w:pPr>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sz w:val="18"/>
                <w:szCs w:val="18"/>
              </w:rPr>
            </w:pPr>
            <w:r w:rsidRPr="00F408EA">
              <w:rPr>
                <w:rFonts w:asciiTheme="majorHAnsi" w:hAnsiTheme="majorHAnsi" w:cstheme="majorHAnsi"/>
                <w:sz w:val="18"/>
                <w:szCs w:val="18"/>
              </w:rPr>
              <w:t>da je kreditojemalec vključen v sistem obveznega večstranskega pobota po zakonu, ki ureja ukrepe za odpravo plačilne nediscipline.</w:t>
            </w:r>
          </w:p>
        </w:tc>
        <w:tc>
          <w:tcPr>
            <w:tcW w:w="10065" w:type="dxa"/>
          </w:tcPr>
          <w:p w14:paraId="4BD1A647" w14:textId="390C5EBF" w:rsidR="00F043E5" w:rsidRPr="00F408EA" w:rsidRDefault="00F043E5" w:rsidP="00892788">
            <w:pPr>
              <w:autoSpaceDE w:val="0"/>
              <w:autoSpaceDN w:val="0"/>
              <w:adjustRightInd w:val="0"/>
              <w:rPr>
                <w:rFonts w:asciiTheme="majorHAnsi" w:hAnsiTheme="majorHAnsi" w:cstheme="majorHAnsi"/>
                <w:b/>
                <w:bCs/>
                <w:sz w:val="20"/>
                <w:szCs w:val="20"/>
              </w:rPr>
            </w:pPr>
            <w:r w:rsidRPr="00F408EA">
              <w:rPr>
                <w:rFonts w:asciiTheme="majorHAnsi" w:hAnsiTheme="majorHAnsi" w:cstheme="majorHAnsi"/>
                <w:sz w:val="24"/>
                <w:szCs w:val="24"/>
              </w:rPr>
              <w:t>Kreditojemalec</w:t>
            </w:r>
            <w:r w:rsidRPr="00F408EA">
              <w:rPr>
                <w:rFonts w:asciiTheme="majorHAnsi" w:hAnsiTheme="majorHAnsi" w:cstheme="majorHAnsi"/>
                <w:b/>
                <w:bCs/>
                <w:sz w:val="20"/>
                <w:szCs w:val="20"/>
              </w:rPr>
              <w:t>:</w:t>
            </w:r>
          </w:p>
          <w:p w14:paraId="71F451E9" w14:textId="77777777" w:rsidR="00F043E5" w:rsidRPr="00F408EA" w:rsidRDefault="00F043E5" w:rsidP="006706C9">
            <w:pPr>
              <w:pStyle w:val="ListParagraph"/>
              <w:autoSpaceDE w:val="0"/>
              <w:autoSpaceDN w:val="0"/>
              <w:adjustRightInd w:val="0"/>
              <w:ind w:left="720"/>
              <w:rPr>
                <w:rFonts w:asciiTheme="majorHAnsi" w:hAnsiTheme="majorHAnsi" w:cstheme="majorHAnsi"/>
                <w:sz w:val="20"/>
              </w:rPr>
            </w:pPr>
          </w:p>
          <w:p w14:paraId="604ADCBD" w14:textId="41A8D4D8" w:rsidR="00F043E5" w:rsidRPr="00F408EA" w:rsidRDefault="00F043E5" w:rsidP="00892788">
            <w:pPr>
              <w:pStyle w:val="ListParagraph"/>
              <w:numPr>
                <w:ilvl w:val="0"/>
                <w:numId w:val="9"/>
              </w:numPr>
              <w:autoSpaceDE w:val="0"/>
              <w:autoSpaceDN w:val="0"/>
              <w:adjustRightInd w:val="0"/>
              <w:rPr>
                <w:rFonts w:asciiTheme="majorHAnsi" w:hAnsiTheme="majorHAnsi" w:cstheme="majorHAnsi"/>
                <w:sz w:val="24"/>
                <w:szCs w:val="24"/>
              </w:rPr>
            </w:pPr>
            <w:r w:rsidRPr="00F408EA">
              <w:rPr>
                <w:rFonts w:asciiTheme="majorHAnsi" w:hAnsiTheme="majorHAnsi" w:cstheme="majorHAnsi"/>
                <w:b/>
                <w:bCs/>
                <w:sz w:val="24"/>
                <w:szCs w:val="24"/>
              </w:rPr>
              <w:t>Izjava, da  v 30 dneh pred dnevom oddaje vloge za kredit ni vključen v obvezen večstranski pobot, ker nima zapadlih obveznosti, ki jih je po zakonu dolžan prijaviti</w:t>
            </w:r>
            <w:r w:rsidRPr="00F408EA">
              <w:rPr>
                <w:rFonts w:asciiTheme="majorHAnsi" w:hAnsiTheme="majorHAnsi" w:cstheme="majorHAnsi"/>
                <w:sz w:val="24"/>
                <w:szCs w:val="24"/>
              </w:rPr>
              <w:t>.</w:t>
            </w:r>
          </w:p>
          <w:p w14:paraId="1099B65E" w14:textId="4BA630BE" w:rsidR="00F043E5" w:rsidRPr="00F408EA" w:rsidRDefault="00F043E5" w:rsidP="006706C9">
            <w:pPr>
              <w:pStyle w:val="ListParagraph"/>
              <w:numPr>
                <w:ilvl w:val="0"/>
                <w:numId w:val="9"/>
              </w:numPr>
              <w:autoSpaceDE w:val="0"/>
              <w:autoSpaceDN w:val="0"/>
              <w:adjustRightInd w:val="0"/>
              <w:rPr>
                <w:rFonts w:asciiTheme="majorHAnsi" w:hAnsiTheme="majorHAnsi" w:cstheme="majorHAnsi"/>
                <w:sz w:val="24"/>
              </w:rPr>
            </w:pPr>
            <w:r w:rsidRPr="00F408EA">
              <w:rPr>
                <w:rFonts w:asciiTheme="majorHAnsi" w:hAnsiTheme="majorHAnsi" w:cstheme="majorHAnsi"/>
                <w:b/>
                <w:bCs/>
                <w:i/>
                <w:iCs/>
                <w:sz w:val="24"/>
                <w:szCs w:val="24"/>
              </w:rPr>
              <w:t xml:space="preserve">Potrdilo o prijavi obveznosti, sprejetih v večstranski pobot, </w:t>
            </w:r>
            <w:r w:rsidRPr="00F408EA">
              <w:rPr>
                <w:rFonts w:asciiTheme="majorHAnsi" w:hAnsiTheme="majorHAnsi" w:cstheme="majorHAnsi"/>
                <w:i/>
                <w:iCs/>
                <w:sz w:val="24"/>
                <w:szCs w:val="24"/>
              </w:rPr>
              <w:t>izdano s strani AJPES</w:t>
            </w:r>
            <w:r w:rsidRPr="00F408EA">
              <w:rPr>
                <w:rFonts w:asciiTheme="majorHAnsi" w:hAnsiTheme="majorHAnsi" w:cstheme="majorHAnsi"/>
                <w:i/>
                <w:iCs/>
                <w:sz w:val="24"/>
                <w:szCs w:val="24"/>
              </w:rPr>
              <w:t>.</w:t>
            </w:r>
            <w:r>
              <w:rPr>
                <w:rFonts w:asciiTheme="majorHAnsi" w:hAnsiTheme="majorHAnsi" w:cstheme="majorHAnsi"/>
                <w:i/>
                <w:iCs/>
                <w:sz w:val="24"/>
                <w:szCs w:val="24"/>
              </w:rPr>
              <w:t xml:space="preserve"> </w:t>
            </w:r>
            <w:r w:rsidRPr="00F408EA">
              <w:rPr>
                <w:rFonts w:asciiTheme="majorHAnsi" w:hAnsiTheme="majorHAnsi" w:cstheme="majorHAnsi"/>
                <w:sz w:val="24"/>
                <w:szCs w:val="24"/>
              </w:rPr>
              <w:t>Potrdilo lahko</w:t>
            </w:r>
            <w:r w:rsidRPr="00F408EA">
              <w:rPr>
                <w:rFonts w:asciiTheme="majorHAnsi" w:hAnsiTheme="majorHAnsi" w:cstheme="majorHAnsi"/>
                <w:sz w:val="24"/>
              </w:rPr>
              <w:t xml:space="preserve"> kreditojemalec predloži za zadnji mesec pred oddajo vloge za kredit ali </w:t>
            </w:r>
            <w:r w:rsidRPr="00F408EA">
              <w:rPr>
                <w:rFonts w:asciiTheme="majorHAnsi" w:hAnsiTheme="majorHAnsi" w:cstheme="majorHAnsi"/>
                <w:sz w:val="24"/>
                <w:szCs w:val="24"/>
              </w:rPr>
              <w:t xml:space="preserve">v roku enega meseca po oddaji vloge za kredit. </w:t>
            </w:r>
          </w:p>
        </w:tc>
      </w:tr>
      <w:tr w:rsidR="00F043E5" w:rsidRPr="00F408EA" w14:paraId="504FA6B6" w14:textId="77777777" w:rsidTr="00F043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757A12E7" w14:textId="608FEB41" w:rsidR="00F043E5" w:rsidRPr="00F408EA" w:rsidRDefault="00F043E5" w:rsidP="00892788">
            <w:pPr>
              <w:rPr>
                <w:rFonts w:asciiTheme="majorHAnsi" w:hAnsiTheme="majorHAnsi" w:cstheme="majorHAnsi"/>
                <w:sz w:val="18"/>
                <w:szCs w:val="18"/>
              </w:rPr>
            </w:pPr>
            <w:r w:rsidRPr="00F408EA">
              <w:rPr>
                <w:rFonts w:asciiTheme="majorHAnsi" w:hAnsiTheme="majorHAnsi" w:cstheme="majorHAnsi"/>
                <w:sz w:val="18"/>
                <w:szCs w:val="18"/>
              </w:rPr>
              <w:t>6.člen (2)</w:t>
            </w:r>
          </w:p>
          <w:p w14:paraId="27BB518C" w14:textId="77777777"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 xml:space="preserve">Ugotavljanje velikosti podjetja skladno z Uredbo </w:t>
            </w:r>
            <w:r w:rsidRPr="00F408EA">
              <w:rPr>
                <w:rFonts w:asciiTheme="majorHAnsi" w:hAnsiTheme="majorHAnsi" w:cstheme="majorHAnsi"/>
                <w:sz w:val="18"/>
                <w:szCs w:val="18"/>
              </w:rPr>
              <w:lastRenderedPageBreak/>
              <w:t xml:space="preserve">651/2014/EU </w:t>
            </w:r>
          </w:p>
          <w:p w14:paraId="00579DF4" w14:textId="095F4A8A" w:rsidR="00F043E5" w:rsidRPr="00F408EA" w:rsidRDefault="00F043E5" w:rsidP="00892788">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 velika podjetja;</w:t>
            </w:r>
          </w:p>
          <w:p w14:paraId="5956C35B" w14:textId="58ADB35C" w:rsidR="00F043E5" w:rsidRPr="00F408EA" w:rsidRDefault="00F043E5" w:rsidP="00892788">
            <w:pPr>
              <w:rPr>
                <w:rFonts w:asciiTheme="majorHAnsi" w:hAnsiTheme="majorHAnsi" w:cstheme="majorHAnsi"/>
                <w:sz w:val="18"/>
                <w:szCs w:val="18"/>
              </w:rPr>
            </w:pPr>
            <w:r w:rsidRPr="00F408EA">
              <w:rPr>
                <w:rFonts w:asciiTheme="majorHAnsi" w:hAnsiTheme="majorHAnsi" w:cstheme="majorHAnsi"/>
                <w:sz w:val="18"/>
                <w:szCs w:val="18"/>
              </w:rPr>
              <w:t>- mikro, majhna ali srednja podjetja.</w:t>
            </w:r>
          </w:p>
        </w:tc>
        <w:tc>
          <w:tcPr>
            <w:tcW w:w="10065" w:type="dxa"/>
          </w:tcPr>
          <w:p w14:paraId="5D5D49FA" w14:textId="5C01E260"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lastRenderedPageBreak/>
              <w:t>Kreditojemalec:</w:t>
            </w:r>
          </w:p>
          <w:p w14:paraId="4F565D88" w14:textId="3F4F1062"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0F9167A1" w14:textId="31FA28AC" w:rsidR="00F043E5" w:rsidRPr="00F408EA" w:rsidRDefault="00F043E5" w:rsidP="0089278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lastRenderedPageBreak/>
              <w:t>Računovodski izkazi kreditojemalca na dan 31.12.2019.</w:t>
            </w:r>
          </w:p>
          <w:p w14:paraId="6C476FA6" w14:textId="38D70141" w:rsidR="00F043E5" w:rsidRPr="00F408EA" w:rsidRDefault="00F043E5" w:rsidP="008E428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 xml:space="preserve">Računovodski podatki skupine na dan 31. 12. 2019, če </w:t>
            </w:r>
            <w:r w:rsidRPr="008E428B">
              <w:rPr>
                <w:rFonts w:asciiTheme="majorHAnsi" w:hAnsiTheme="majorHAnsi" w:cstheme="majorHAnsi"/>
                <w:b/>
                <w:bCs/>
                <w:sz w:val="24"/>
                <w:szCs w:val="24"/>
              </w:rPr>
              <w:t>je kreditojemalec del skupine</w:t>
            </w:r>
            <w:r w:rsidR="008E428B" w:rsidRPr="008E428B">
              <w:rPr>
                <w:rFonts w:asciiTheme="majorHAnsi" w:hAnsiTheme="majorHAnsi" w:cstheme="majorHAnsi"/>
                <w:b/>
                <w:bCs/>
                <w:sz w:val="24"/>
                <w:szCs w:val="24"/>
              </w:rPr>
              <w:t xml:space="preserve"> </w:t>
            </w:r>
            <w:r w:rsidRPr="008E428B">
              <w:rPr>
                <w:rFonts w:asciiTheme="majorHAnsi" w:hAnsiTheme="majorHAnsi" w:cstheme="majorHAnsi"/>
                <w:b/>
                <w:bCs/>
                <w:sz w:val="24"/>
                <w:szCs w:val="24"/>
              </w:rPr>
              <w:t>v skladu s Prilog</w:t>
            </w:r>
            <w:r w:rsidR="008C725C">
              <w:rPr>
                <w:rFonts w:asciiTheme="majorHAnsi" w:hAnsiTheme="majorHAnsi" w:cstheme="majorHAnsi"/>
                <w:b/>
                <w:bCs/>
                <w:sz w:val="24"/>
                <w:szCs w:val="24"/>
              </w:rPr>
              <w:t>o</w:t>
            </w:r>
            <w:r w:rsidRPr="008E428B">
              <w:rPr>
                <w:rFonts w:asciiTheme="majorHAnsi" w:hAnsiTheme="majorHAnsi" w:cstheme="majorHAnsi"/>
                <w:b/>
                <w:bCs/>
                <w:sz w:val="24"/>
                <w:szCs w:val="24"/>
              </w:rPr>
              <w:t xml:space="preserve"> I k Uredbi Komisije (EU) št. 651/2014.</w:t>
            </w:r>
            <w:r w:rsidRPr="00F408EA">
              <w:rPr>
                <w:rFonts w:asciiTheme="majorHAnsi" w:hAnsiTheme="majorHAnsi" w:cstheme="majorHAnsi"/>
                <w:b/>
                <w:bCs/>
                <w:sz w:val="24"/>
                <w:szCs w:val="24"/>
              </w:rPr>
              <w:t xml:space="preserve"> </w:t>
            </w:r>
          </w:p>
          <w:p w14:paraId="5734619B" w14:textId="0B931384" w:rsidR="00F043E5" w:rsidRPr="00F408EA" w:rsidRDefault="00F043E5" w:rsidP="00374DD5">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p w14:paraId="383E1B43" w14:textId="77777777" w:rsidR="00F043E5" w:rsidRPr="00F408EA" w:rsidRDefault="00F043E5" w:rsidP="0089278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in posredovanje podatkov v zvezi z uveljavljanjem statusa MSP</w:t>
            </w:r>
          </w:p>
          <w:p w14:paraId="188A64E8" w14:textId="127B61FB" w:rsidR="00F043E5" w:rsidRPr="00F408EA" w:rsidRDefault="00F043E5" w:rsidP="00892788">
            <w:pPr>
              <w:pStyle w:val="ListParagraph"/>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object w:dxaOrig="1520" w:dyaOrig="985" w14:anchorId="23B9856E">
                <v:shape id="_x0000_i1030" type="#_x0000_t75" style="width:76.8pt;height:49.2pt" o:ole="">
                  <v:imagedata r:id="rId22" o:title=""/>
                </v:shape>
                <o:OLEObject Type="Embed" ProgID="AcroExch.Document.DC" ShapeID="_x0000_i1030" DrawAspect="Icon" ObjectID="_1652761650" r:id="rId23"/>
              </w:object>
            </w:r>
          </w:p>
          <w:p w14:paraId="7D02B9FA" w14:textId="5EEBD655"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w:t>
            </w:r>
          </w:p>
          <w:p w14:paraId="27CB7646" w14:textId="076EF3DA" w:rsidR="00F043E5" w:rsidRPr="00F408EA" w:rsidRDefault="00F043E5" w:rsidP="00892788">
            <w:pPr>
              <w:pStyle w:val="ListParagraph"/>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b/>
                <w:bCs/>
                <w:sz w:val="24"/>
                <w:szCs w:val="24"/>
              </w:rPr>
              <w:t>Ugotovitev o razvrstitvi podjetja v eno od skupin glede na velikost</w:t>
            </w:r>
            <w:r w:rsidRPr="00F408EA">
              <w:rPr>
                <w:rFonts w:asciiTheme="majorHAnsi" w:hAnsiTheme="majorHAnsi" w:cstheme="majorHAnsi"/>
                <w:sz w:val="24"/>
                <w:szCs w:val="24"/>
              </w:rPr>
              <w:t xml:space="preserve"> (velika podjetja, MSP) na podlagi preverjanja računovodskih izkazov (zgoraj) na stanje 31.12.2019 skladno s pravili iz Priloge I k Uredbi Komisije (EU) št. 651/2014</w:t>
            </w:r>
          </w:p>
          <w:p w14:paraId="6750F5A2" w14:textId="77777777" w:rsidR="00F043E5" w:rsidRPr="00F408EA" w:rsidRDefault="00F043E5" w:rsidP="00892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398FFB58" w14:textId="77777777" w:rsidR="00F043E5" w:rsidRPr="00157EBB" w:rsidRDefault="00F043E5" w:rsidP="00566D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3AA2852" w14:textId="623B152D" w:rsidR="00F043E5" w:rsidRPr="00FA6F27" w:rsidRDefault="00F043E5" w:rsidP="00566D9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 spodnji povezavi je s</w:t>
            </w:r>
            <w:r w:rsidRPr="00FA6F27">
              <w:rPr>
                <w:rFonts w:asciiTheme="majorHAnsi" w:hAnsiTheme="majorHAnsi" w:cstheme="majorHAnsi"/>
                <w:sz w:val="24"/>
                <w:szCs w:val="24"/>
              </w:rPr>
              <w:t xml:space="preserve"> primeri razloženo, kako se določa status MSP</w:t>
            </w:r>
          </w:p>
          <w:p w14:paraId="11D9CB53" w14:textId="77777777" w:rsidR="00F043E5" w:rsidRPr="00374DD5" w:rsidRDefault="00BA12B1" w:rsidP="00566D9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hyperlink r:id="rId24" w:history="1">
              <w:r w:rsidR="00F043E5" w:rsidRPr="00374DD5">
                <w:rPr>
                  <w:rFonts w:asciiTheme="majorHAnsi" w:hAnsiTheme="majorHAnsi" w:cstheme="majorHAnsi"/>
                  <w:sz w:val="24"/>
                  <w:szCs w:val="24"/>
                  <w:u w:val="single"/>
                </w:rPr>
                <w:t>https://op.europa.eu/sl/publication-detail/-/publication/79c0ce87-f4dc-11e6-8a35-01aa75ed71a1</w:t>
              </w:r>
            </w:hyperlink>
          </w:p>
          <w:p w14:paraId="75EA2308" w14:textId="77777777" w:rsidR="00F043E5"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27EC431C" w14:textId="6B59FA74"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408EA">
              <w:rPr>
                <w:rFonts w:asciiTheme="majorHAnsi" w:hAnsiTheme="majorHAnsi" w:cstheme="majorHAnsi"/>
                <w:sz w:val="24"/>
                <w:szCs w:val="24"/>
              </w:rPr>
              <w:t xml:space="preserve">Povezava na Prilogo I k Uredbi Komisije (EU) št. 651/2014: </w:t>
            </w:r>
            <w:hyperlink r:id="rId25" w:history="1">
              <w:r w:rsidRPr="00F408EA">
                <w:rPr>
                  <w:rFonts w:asciiTheme="majorHAnsi" w:hAnsiTheme="majorHAnsi" w:cstheme="majorHAnsi"/>
                  <w:color w:val="0000FF"/>
                  <w:u w:val="single"/>
                </w:rPr>
                <w:t>https://eur-lex.europa.eu/legal-content/SL/TXT/?uri=CELEX%3A32014R0651</w:t>
              </w:r>
            </w:hyperlink>
            <w:r w:rsidRPr="00F408EA">
              <w:rPr>
                <w:rFonts w:asciiTheme="majorHAnsi" w:hAnsiTheme="majorHAnsi" w:cstheme="majorHAnsi"/>
              </w:rPr>
              <w:t>.</w:t>
            </w:r>
          </w:p>
          <w:p w14:paraId="7091601C" w14:textId="63FBD6DD" w:rsidR="00F043E5" w:rsidRPr="00F408EA" w:rsidRDefault="00F043E5" w:rsidP="00892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4DD5">
              <w:rPr>
                <w:rFonts w:asciiTheme="majorHAnsi" w:hAnsiTheme="majorHAnsi" w:cstheme="majorHAnsi"/>
                <w:sz w:val="24"/>
                <w:szCs w:val="24"/>
              </w:rPr>
              <w:t>Pri ugotavljanju, ali je družba MSP ali veliko podjetje, je skladno s Prilogo I k Uredbi Komisije (EU) št. 651/2014 potrebno upoštevati tako povezana kot partnerska podjetja.</w:t>
            </w:r>
          </w:p>
        </w:tc>
      </w:tr>
      <w:bookmarkEnd w:id="2"/>
      <w:tr w:rsidR="00F043E5" w:rsidRPr="00F408EA" w14:paraId="2D933AF9" w14:textId="77777777" w:rsidTr="00F043E5">
        <w:trPr>
          <w:trHeight w:val="468"/>
        </w:trPr>
        <w:tc>
          <w:tcPr>
            <w:cnfStyle w:val="001000000000" w:firstRow="0" w:lastRow="0" w:firstColumn="1" w:lastColumn="0" w:oddVBand="0" w:evenVBand="0" w:oddHBand="0" w:evenHBand="0" w:firstRowFirstColumn="0" w:firstRowLastColumn="0" w:lastRowFirstColumn="0" w:lastRowLastColumn="0"/>
            <w:tcW w:w="4531" w:type="dxa"/>
          </w:tcPr>
          <w:p w14:paraId="15B0B241" w14:textId="77777777" w:rsidR="00F043E5" w:rsidRPr="00F408EA" w:rsidRDefault="00F043E5" w:rsidP="00892788">
            <w:pPr>
              <w:rPr>
                <w:rFonts w:asciiTheme="majorHAnsi" w:hAnsiTheme="majorHAnsi" w:cstheme="majorHAnsi"/>
                <w:sz w:val="18"/>
                <w:szCs w:val="18"/>
              </w:rPr>
            </w:pPr>
            <w:r w:rsidRPr="00F408EA">
              <w:rPr>
                <w:rFonts w:asciiTheme="majorHAnsi" w:hAnsiTheme="majorHAnsi" w:cstheme="majorHAnsi"/>
                <w:sz w:val="18"/>
                <w:szCs w:val="18"/>
              </w:rPr>
              <w:lastRenderedPageBreak/>
              <w:t>9.člen (2)</w:t>
            </w:r>
          </w:p>
          <w:p w14:paraId="0C7BF46B" w14:textId="29C09AA5" w:rsidR="00F043E5" w:rsidRPr="00F408EA" w:rsidRDefault="00F043E5" w:rsidP="00892788">
            <w:pPr>
              <w:rPr>
                <w:rFonts w:asciiTheme="majorHAnsi" w:hAnsiTheme="majorHAnsi" w:cstheme="majorHAnsi"/>
                <w:sz w:val="18"/>
                <w:szCs w:val="18"/>
              </w:rPr>
            </w:pPr>
            <w:r w:rsidRPr="00F408EA">
              <w:rPr>
                <w:rFonts w:asciiTheme="majorHAnsi" w:hAnsiTheme="majorHAnsi" w:cstheme="majorHAnsi"/>
                <w:sz w:val="18"/>
                <w:szCs w:val="18"/>
              </w:rPr>
              <w:t>V primeru, ko je na strani kreditojemalca nastopil dogodek neplačila in kreditojemalec ni poravnal dospele obveznosti iz kreditne</w:t>
            </w:r>
          </w:p>
          <w:p w14:paraId="26D78BCA" w14:textId="5199EE80" w:rsidR="00F043E5" w:rsidRPr="008E428B" w:rsidRDefault="00F043E5" w:rsidP="00892788">
            <w:pPr>
              <w:rPr>
                <w:rFonts w:asciiTheme="majorHAnsi" w:hAnsiTheme="majorHAnsi" w:cstheme="majorHAnsi"/>
                <w:sz w:val="18"/>
                <w:szCs w:val="18"/>
              </w:rPr>
            </w:pPr>
            <w:r w:rsidRPr="00F408EA">
              <w:rPr>
                <w:rFonts w:asciiTheme="majorHAnsi" w:hAnsiTheme="majorHAnsi" w:cstheme="majorHAnsi"/>
                <w:sz w:val="18"/>
                <w:szCs w:val="18"/>
              </w:rPr>
              <w:t>pogodbe, ki je zavarovana s poroštvom Republike Slovenije, se poroštvena obveznost Republike Slovenije izpolni na naslednji način:</w:t>
            </w:r>
          </w:p>
        </w:tc>
        <w:tc>
          <w:tcPr>
            <w:tcW w:w="10065" w:type="dxa"/>
          </w:tcPr>
          <w:p w14:paraId="47D77FFD"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w:t>
            </w:r>
          </w:p>
          <w:p w14:paraId="3155E2EE" w14:textId="77777777" w:rsidR="00F043E5" w:rsidRPr="00F408EA" w:rsidRDefault="00F043E5" w:rsidP="008927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10"/>
              </w:rPr>
            </w:pPr>
          </w:p>
          <w:p w14:paraId="46EF8C04" w14:textId="069FE16E" w:rsidR="00F043E5" w:rsidRPr="00F408EA" w:rsidRDefault="00F043E5" w:rsidP="00892788">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F408EA">
              <w:rPr>
                <w:rFonts w:asciiTheme="majorHAnsi" w:hAnsiTheme="majorHAnsi" w:cstheme="majorHAnsi"/>
                <w:b/>
                <w:bCs/>
                <w:sz w:val="24"/>
                <w:szCs w:val="24"/>
              </w:rPr>
              <w:t>Izjava in dokazila banke, da je na strani kreditojemalca nastopil dogodek neplačila po 178. členu Uredbe (EU) št. 575/2013</w:t>
            </w:r>
          </w:p>
          <w:p w14:paraId="6EDB6133" w14:textId="77777777" w:rsidR="00F043E5" w:rsidRPr="00F408EA" w:rsidRDefault="00F043E5" w:rsidP="00892788">
            <w:pPr>
              <w:pStyle w:val="ListParagraph"/>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p w14:paraId="361A8293" w14:textId="13EA9CA6" w:rsidR="00F043E5" w:rsidRPr="00F408EA" w:rsidRDefault="00F043E5" w:rsidP="00892788">
            <w:pPr>
              <w:spacing w:after="120"/>
              <w:ind w:left="70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08EA">
              <w:rPr>
                <w:rFonts w:asciiTheme="majorHAnsi" w:hAnsiTheme="majorHAnsi" w:cstheme="majorHAnsi"/>
                <w:sz w:val="20"/>
                <w:szCs w:val="20"/>
              </w:rPr>
              <w:t xml:space="preserve">Če banka uveljavlja okoliščino iz točke (a) prvega odstavka 178. člena, mora biti ta ustrezno utemeljena (npr. nastop dogodka </w:t>
            </w:r>
            <w:proofErr w:type="spellStart"/>
            <w:r w:rsidRPr="00F408EA">
              <w:rPr>
                <w:rFonts w:asciiTheme="majorHAnsi" w:hAnsiTheme="majorHAnsi" w:cstheme="majorHAnsi"/>
                <w:sz w:val="20"/>
                <w:szCs w:val="20"/>
              </w:rPr>
              <w:t>insolvence</w:t>
            </w:r>
            <w:proofErr w:type="spellEnd"/>
            <w:r w:rsidRPr="00F408EA">
              <w:rPr>
                <w:rFonts w:asciiTheme="majorHAnsi" w:hAnsiTheme="majorHAnsi" w:cstheme="majorHAnsi"/>
                <w:sz w:val="20"/>
                <w:szCs w:val="20"/>
              </w:rPr>
              <w:t xml:space="preserve">, realizacija </w:t>
            </w:r>
            <w:proofErr w:type="spellStart"/>
            <w:r w:rsidRPr="00F408EA">
              <w:rPr>
                <w:rFonts w:asciiTheme="majorHAnsi" w:hAnsiTheme="majorHAnsi" w:cstheme="majorHAnsi"/>
                <w:sz w:val="20"/>
                <w:szCs w:val="20"/>
              </w:rPr>
              <w:t>katastrofnega</w:t>
            </w:r>
            <w:proofErr w:type="spellEnd"/>
            <w:r w:rsidRPr="00F408EA">
              <w:rPr>
                <w:rFonts w:asciiTheme="majorHAnsi" w:hAnsiTheme="majorHAnsi" w:cstheme="majorHAnsi"/>
                <w:sz w:val="20"/>
                <w:szCs w:val="20"/>
              </w:rPr>
              <w:t xml:space="preserve"> rizika ipd.)</w:t>
            </w:r>
          </w:p>
        </w:tc>
      </w:tr>
    </w:tbl>
    <w:p w14:paraId="4BC806B0" w14:textId="7D8C4360" w:rsidR="002872AE" w:rsidRPr="00F408EA" w:rsidRDefault="002872AE">
      <w:pPr>
        <w:rPr>
          <w:rFonts w:asciiTheme="majorHAnsi" w:hAnsiTheme="majorHAnsi" w:cstheme="majorHAnsi"/>
        </w:rPr>
      </w:pPr>
    </w:p>
    <w:p w14:paraId="407C9051" w14:textId="05B93F55" w:rsidR="00D62DBE" w:rsidRPr="00F408EA" w:rsidRDefault="00D62DBE">
      <w:pPr>
        <w:rPr>
          <w:rFonts w:asciiTheme="majorHAnsi" w:hAnsiTheme="majorHAnsi" w:cstheme="majorHAnsi"/>
        </w:rPr>
      </w:pPr>
    </w:p>
    <w:p w14:paraId="2EBF536E" w14:textId="77777777" w:rsidR="00D62DBE" w:rsidRPr="00F408EA" w:rsidRDefault="00D62DBE">
      <w:pPr>
        <w:rPr>
          <w:rFonts w:asciiTheme="majorHAnsi" w:hAnsiTheme="majorHAnsi" w:cstheme="majorHAnsi"/>
        </w:rPr>
      </w:pPr>
    </w:p>
    <w:p w14:paraId="7329DA24" w14:textId="1E27C838" w:rsidR="002872AE" w:rsidRDefault="008E428B">
      <w:pPr>
        <w:rPr>
          <w:rFonts w:asciiTheme="majorHAnsi" w:hAnsiTheme="majorHAnsi" w:cstheme="majorHAnsi"/>
        </w:rPr>
      </w:pPr>
      <w:r>
        <w:rPr>
          <w:rFonts w:asciiTheme="majorHAnsi" w:hAnsiTheme="majorHAnsi" w:cstheme="majorHAnsi"/>
        </w:rPr>
        <w:lastRenderedPageBreak/>
        <w:t>UREDBA</w:t>
      </w:r>
    </w:p>
    <w:p w14:paraId="7738D612" w14:textId="77777777" w:rsidR="008E428B" w:rsidRPr="00F408EA" w:rsidRDefault="008E428B">
      <w:pPr>
        <w:rPr>
          <w:rFonts w:asciiTheme="majorHAnsi" w:hAnsiTheme="majorHAnsi" w:cstheme="majorHAnsi"/>
        </w:rPr>
      </w:pPr>
    </w:p>
    <w:tbl>
      <w:tblPr>
        <w:tblStyle w:val="GridTable4Accent5"/>
        <w:tblW w:w="14596" w:type="dxa"/>
        <w:tblLook w:val="04A0" w:firstRow="1" w:lastRow="0" w:firstColumn="1" w:lastColumn="0" w:noHBand="0" w:noVBand="1"/>
      </w:tblPr>
      <w:tblGrid>
        <w:gridCol w:w="4531"/>
        <w:gridCol w:w="10065"/>
      </w:tblGrid>
      <w:tr w:rsidR="00A219CC" w:rsidRPr="00F408EA" w14:paraId="2BC44308" w14:textId="77777777" w:rsidTr="008E428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3ABB178F" w14:textId="0B4F3067" w:rsidR="00A219CC" w:rsidRPr="00F408EA" w:rsidRDefault="00A219CC" w:rsidP="005665E3">
            <w:pPr>
              <w:rPr>
                <w:rFonts w:asciiTheme="majorHAnsi" w:hAnsiTheme="majorHAnsi" w:cstheme="majorHAnsi"/>
              </w:rPr>
            </w:pPr>
            <w:r w:rsidRPr="00F408EA">
              <w:rPr>
                <w:rFonts w:asciiTheme="majorHAnsi" w:hAnsiTheme="majorHAnsi" w:cstheme="majorHAnsi"/>
              </w:rPr>
              <w:t>Člen Uredbe ZDLGPE</w:t>
            </w:r>
          </w:p>
        </w:tc>
        <w:tc>
          <w:tcPr>
            <w:tcW w:w="10065" w:type="dxa"/>
          </w:tcPr>
          <w:p w14:paraId="36838FE8" w14:textId="2E533220" w:rsidR="00A219CC" w:rsidRPr="00F408EA" w:rsidRDefault="00A219CC" w:rsidP="005665E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408EA">
              <w:rPr>
                <w:rFonts w:asciiTheme="majorHAnsi" w:hAnsiTheme="majorHAnsi" w:cstheme="majorHAnsi"/>
              </w:rPr>
              <w:t>Dokazilo</w:t>
            </w:r>
          </w:p>
        </w:tc>
      </w:tr>
      <w:tr w:rsidR="00A219CC" w:rsidRPr="00F408EA" w14:paraId="58C33740" w14:textId="77777777" w:rsidTr="008E428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70449F42" w14:textId="77777777" w:rsidR="00A219CC" w:rsidRPr="00F408EA" w:rsidRDefault="00A219CC" w:rsidP="00FD6B99">
            <w:pPr>
              <w:rPr>
                <w:rFonts w:asciiTheme="majorHAnsi" w:hAnsiTheme="majorHAnsi" w:cstheme="majorHAnsi"/>
                <w:b w:val="0"/>
                <w:bCs w:val="0"/>
                <w:sz w:val="18"/>
                <w:szCs w:val="18"/>
              </w:rPr>
            </w:pPr>
            <w:r w:rsidRPr="00F408EA">
              <w:rPr>
                <w:rFonts w:asciiTheme="majorHAnsi" w:hAnsiTheme="majorHAnsi" w:cstheme="majorHAnsi"/>
                <w:sz w:val="18"/>
                <w:szCs w:val="18"/>
              </w:rPr>
              <w:t>5. člen (1)</w:t>
            </w:r>
          </w:p>
          <w:p w14:paraId="09E85466" w14:textId="07D5C675"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e) izjave in dokazila banke, da z izplačilom poroštva banka in Republika Slovenija utrpita</w:t>
            </w:r>
          </w:p>
          <w:p w14:paraId="234C4686" w14:textId="30FA8387" w:rsidR="00A219CC" w:rsidRPr="00F408EA" w:rsidRDefault="00A219CC" w:rsidP="002A2701">
            <w:pPr>
              <w:rPr>
                <w:rFonts w:asciiTheme="majorHAnsi" w:hAnsiTheme="majorHAnsi" w:cstheme="majorHAnsi"/>
                <w:sz w:val="18"/>
              </w:rPr>
            </w:pPr>
            <w:r w:rsidRPr="00F408EA">
              <w:rPr>
                <w:rFonts w:asciiTheme="majorHAnsi" w:hAnsiTheme="majorHAnsi" w:cstheme="majorHAnsi"/>
                <w:sz w:val="18"/>
                <w:szCs w:val="18"/>
              </w:rPr>
              <w:t>sorazmerne izgube pod enakimi pogoji;</w:t>
            </w:r>
          </w:p>
        </w:tc>
        <w:tc>
          <w:tcPr>
            <w:tcW w:w="10065" w:type="dxa"/>
          </w:tcPr>
          <w:p w14:paraId="777DC594" w14:textId="77777777" w:rsidR="00A219CC" w:rsidRPr="00F408EA" w:rsidRDefault="00A219CC" w:rsidP="002A270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Banka:</w:t>
            </w:r>
          </w:p>
          <w:p w14:paraId="3A6991A0" w14:textId="77777777" w:rsidR="00A219CC" w:rsidRPr="00F408EA" w:rsidRDefault="00A219CC" w:rsidP="002A270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0"/>
                <w:szCs w:val="10"/>
              </w:rPr>
            </w:pPr>
          </w:p>
          <w:p w14:paraId="4D0F8A15" w14:textId="53069728" w:rsidR="00A219CC" w:rsidRPr="00F408EA" w:rsidRDefault="00A219CC" w:rsidP="00916A0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408EA">
              <w:rPr>
                <w:rFonts w:asciiTheme="majorHAnsi" w:hAnsiTheme="majorHAnsi" w:cstheme="majorHAnsi"/>
                <w:b/>
                <w:bCs/>
                <w:sz w:val="24"/>
                <w:szCs w:val="24"/>
              </w:rPr>
              <w:t>Izjava banke, da bo od izplačila poroštva dalje</w:t>
            </w:r>
            <w:r w:rsidRPr="00F408EA">
              <w:rPr>
                <w:rFonts w:asciiTheme="majorHAnsi" w:hAnsiTheme="majorHAnsi" w:cstheme="majorHAnsi"/>
                <w:b/>
                <w:sz w:val="24"/>
              </w:rPr>
              <w:t xml:space="preserve"> z </w:t>
            </w:r>
            <w:r w:rsidRPr="00F408EA">
              <w:rPr>
                <w:rFonts w:asciiTheme="majorHAnsi" w:hAnsiTheme="majorHAnsi" w:cstheme="majorHAnsi"/>
                <w:b/>
                <w:bCs/>
                <w:sz w:val="24"/>
                <w:szCs w:val="24"/>
              </w:rPr>
              <w:t xml:space="preserve">RS sorazmerno  (glede na znesek izplačanega </w:t>
            </w:r>
            <w:r w:rsidRPr="00F408EA">
              <w:rPr>
                <w:rFonts w:asciiTheme="majorHAnsi" w:hAnsiTheme="majorHAnsi" w:cstheme="majorHAnsi"/>
                <w:b/>
                <w:sz w:val="24"/>
              </w:rPr>
              <w:t>poroštva</w:t>
            </w:r>
            <w:r w:rsidRPr="00F408EA">
              <w:rPr>
                <w:rFonts w:asciiTheme="majorHAnsi" w:hAnsiTheme="majorHAnsi" w:cstheme="majorHAnsi"/>
                <w:b/>
                <w:bCs/>
                <w:sz w:val="24"/>
                <w:szCs w:val="24"/>
              </w:rPr>
              <w:t>) delila vsak prejeti znesek iz naslova vračila</w:t>
            </w:r>
            <w:r w:rsidRPr="00F408EA">
              <w:rPr>
                <w:rFonts w:asciiTheme="majorHAnsi" w:hAnsiTheme="majorHAnsi" w:cstheme="majorHAnsi"/>
                <w:b/>
                <w:sz w:val="24"/>
              </w:rPr>
              <w:t xml:space="preserve"> tega kredita </w:t>
            </w:r>
            <w:r w:rsidRPr="00F408EA">
              <w:rPr>
                <w:rFonts w:asciiTheme="majorHAnsi" w:hAnsiTheme="majorHAnsi" w:cstheme="majorHAnsi"/>
                <w:b/>
                <w:bCs/>
                <w:sz w:val="24"/>
                <w:szCs w:val="24"/>
              </w:rPr>
              <w:t>(vključno s prilivi iz unovčevanja</w:t>
            </w:r>
            <w:r w:rsidRPr="00F408EA">
              <w:rPr>
                <w:rFonts w:asciiTheme="majorHAnsi" w:hAnsiTheme="majorHAnsi" w:cstheme="majorHAnsi"/>
                <w:b/>
                <w:sz w:val="24"/>
              </w:rPr>
              <w:t xml:space="preserve"> zavarovanj</w:t>
            </w:r>
            <w:r w:rsidRPr="00F408EA">
              <w:rPr>
                <w:rFonts w:asciiTheme="majorHAnsi" w:hAnsiTheme="majorHAnsi" w:cstheme="majorHAnsi"/>
                <w:b/>
                <w:bCs/>
                <w:sz w:val="24"/>
                <w:szCs w:val="24"/>
              </w:rPr>
              <w:t>).</w:t>
            </w:r>
          </w:p>
          <w:p w14:paraId="17BDD949" w14:textId="77777777" w:rsidR="00A219CC" w:rsidRPr="00F408EA"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0"/>
              </w:rPr>
            </w:pPr>
          </w:p>
          <w:p w14:paraId="6E86B09C" w14:textId="37E15CB2" w:rsidR="00A219CC" w:rsidRPr="00F408EA" w:rsidRDefault="00A219CC" w:rsidP="002A270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F408EA">
              <w:rPr>
                <w:rFonts w:asciiTheme="majorHAnsi" w:hAnsiTheme="majorHAnsi" w:cstheme="majorHAnsi"/>
                <w:sz w:val="24"/>
                <w:szCs w:val="24"/>
              </w:rPr>
              <w:t>Če je banka uspešno izterjala del sredstev že</w:t>
            </w:r>
            <w:r w:rsidRPr="00F408EA">
              <w:rPr>
                <w:rFonts w:asciiTheme="majorHAnsi" w:hAnsiTheme="majorHAnsi" w:cstheme="majorHAnsi"/>
                <w:sz w:val="24"/>
              </w:rPr>
              <w:t xml:space="preserve"> pred </w:t>
            </w:r>
            <w:r w:rsidRPr="00F408EA">
              <w:rPr>
                <w:rFonts w:asciiTheme="majorHAnsi" w:hAnsiTheme="majorHAnsi" w:cstheme="majorHAnsi"/>
                <w:sz w:val="24"/>
                <w:szCs w:val="24"/>
              </w:rPr>
              <w:t>unovčitvijo</w:t>
            </w:r>
            <w:r w:rsidRPr="00F408EA">
              <w:rPr>
                <w:rFonts w:asciiTheme="majorHAnsi" w:hAnsiTheme="majorHAnsi" w:cstheme="majorHAnsi"/>
                <w:sz w:val="24"/>
              </w:rPr>
              <w:t xml:space="preserve"> poroštva RS</w:t>
            </w:r>
            <w:r w:rsidRPr="00F408EA">
              <w:rPr>
                <w:rFonts w:asciiTheme="majorHAnsi" w:hAnsiTheme="majorHAnsi" w:cstheme="majorHAnsi"/>
                <w:sz w:val="24"/>
                <w:szCs w:val="24"/>
              </w:rPr>
              <w:t xml:space="preserve">, se je obveznost kreditojemalca po </w:t>
            </w:r>
            <w:r w:rsidRPr="00F408EA">
              <w:rPr>
                <w:rFonts w:asciiTheme="majorHAnsi" w:hAnsiTheme="majorHAnsi" w:cstheme="majorHAnsi"/>
                <w:sz w:val="24"/>
              </w:rPr>
              <w:t xml:space="preserve">kreditni pogodbi </w:t>
            </w:r>
            <w:r w:rsidRPr="00F408EA">
              <w:rPr>
                <w:rFonts w:asciiTheme="majorHAnsi" w:hAnsiTheme="majorHAnsi" w:cstheme="majorHAnsi"/>
                <w:sz w:val="24"/>
                <w:szCs w:val="24"/>
              </w:rPr>
              <w:t>zmanjšala in se poroštvo nanaša le še na del preostalega kredita</w:t>
            </w:r>
            <w:r w:rsidRPr="00F408EA">
              <w:rPr>
                <w:rFonts w:asciiTheme="majorHAnsi" w:hAnsiTheme="majorHAnsi" w:cstheme="majorHAnsi"/>
                <w:sz w:val="24"/>
              </w:rPr>
              <w:t xml:space="preserve">. </w:t>
            </w:r>
          </w:p>
          <w:p w14:paraId="403A5A7F" w14:textId="403234E4" w:rsidR="00A219CC" w:rsidRPr="00F408EA" w:rsidRDefault="00A219CC" w:rsidP="0034652D">
            <w:pPr>
              <w:pStyle w:val="CommentText"/>
              <w:ind w:left="7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p>
        </w:tc>
      </w:tr>
      <w:tr w:rsidR="00A219CC" w:rsidRPr="00F408EA" w14:paraId="6E9ADD10" w14:textId="77777777" w:rsidTr="008E428B">
        <w:trPr>
          <w:trHeight w:val="468"/>
        </w:trPr>
        <w:tc>
          <w:tcPr>
            <w:tcW w:w="4531" w:type="dxa"/>
          </w:tcPr>
          <w:p w14:paraId="43193996" w14:textId="020665BA" w:rsidR="00A219CC" w:rsidRPr="00F408EA" w:rsidRDefault="00A219CC" w:rsidP="00014B3F">
            <w:pPr>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b w:val="0"/>
                <w:sz w:val="18"/>
              </w:rPr>
            </w:pPr>
            <w:r w:rsidRPr="00F408EA">
              <w:rPr>
                <w:rFonts w:asciiTheme="majorHAnsi" w:hAnsiTheme="majorHAnsi" w:cstheme="majorHAnsi"/>
                <w:sz w:val="18"/>
                <w:szCs w:val="18"/>
              </w:rPr>
              <w:t xml:space="preserve">5. </w:t>
            </w:r>
            <w:r w:rsidRPr="00F408EA">
              <w:rPr>
                <w:rFonts w:asciiTheme="majorHAnsi" w:hAnsiTheme="majorHAnsi" w:cstheme="majorHAnsi"/>
                <w:sz w:val="18"/>
              </w:rPr>
              <w:t>člen (</w:t>
            </w:r>
            <w:r w:rsidRPr="00F408EA">
              <w:rPr>
                <w:rFonts w:asciiTheme="majorHAnsi" w:hAnsiTheme="majorHAnsi" w:cstheme="majorHAnsi"/>
                <w:sz w:val="18"/>
                <w:szCs w:val="18"/>
              </w:rPr>
              <w:t>1)</w:t>
            </w:r>
          </w:p>
          <w:p w14:paraId="542B7CB9" w14:textId="59B2BE0A" w:rsidR="00A219CC" w:rsidRPr="00F408EA" w:rsidRDefault="00A219CC" w:rsidP="00FD6B99">
            <w:pPr>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sz w:val="18"/>
                <w:szCs w:val="18"/>
              </w:rPr>
            </w:pPr>
            <w:r w:rsidRPr="00F408EA">
              <w:rPr>
                <w:rFonts w:asciiTheme="majorHAnsi" w:hAnsiTheme="majorHAnsi" w:cstheme="majorHAnsi"/>
                <w:sz w:val="18"/>
                <w:szCs w:val="18"/>
              </w:rPr>
              <w:t>g) dokazil, skladno z odločbo Evropske komisije z dne 30. 4. 2020 (SA.57143), da je banka prenesla finančno prednost, ki izhaja iz poroštva, na kreditojemalca z znižanjem obrestne mere kredita s poroštvom v primerjavi s hipotetično obrestno mero tega kredita brez vseh kreditnih zavarovanj in da banka ni zaračunala višjih nadomestil (na primer za odobritev in vodenje kredita), kot so veljala po tarifi banke pred 12. marcem 2020.</w:t>
            </w:r>
          </w:p>
        </w:tc>
        <w:tc>
          <w:tcPr>
            <w:tcW w:w="10065" w:type="dxa"/>
          </w:tcPr>
          <w:p w14:paraId="5E07DF90" w14:textId="77777777" w:rsidR="00A219CC" w:rsidRPr="00F408EA" w:rsidRDefault="00A219CC" w:rsidP="002A2701">
            <w:pPr>
              <w:autoSpaceDE w:val="0"/>
              <w:autoSpaceDN w:val="0"/>
              <w:adjustRightInd w:val="0"/>
              <w:rPr>
                <w:rFonts w:asciiTheme="majorHAnsi" w:hAnsiTheme="majorHAnsi" w:cstheme="majorHAnsi"/>
                <w:sz w:val="24"/>
                <w:szCs w:val="24"/>
              </w:rPr>
            </w:pPr>
            <w:r w:rsidRPr="00F408EA">
              <w:rPr>
                <w:rFonts w:asciiTheme="majorHAnsi" w:hAnsiTheme="majorHAnsi" w:cstheme="majorHAnsi"/>
                <w:sz w:val="24"/>
                <w:szCs w:val="24"/>
              </w:rPr>
              <w:t>Banka:</w:t>
            </w:r>
          </w:p>
          <w:p w14:paraId="17E7B4C6" w14:textId="77777777" w:rsidR="00A219CC" w:rsidRPr="00F408EA" w:rsidRDefault="00A219CC" w:rsidP="002A2701">
            <w:pPr>
              <w:autoSpaceDE w:val="0"/>
              <w:autoSpaceDN w:val="0"/>
              <w:adjustRightInd w:val="0"/>
              <w:rPr>
                <w:rFonts w:asciiTheme="majorHAnsi" w:hAnsiTheme="majorHAnsi" w:cstheme="majorHAnsi"/>
                <w:b/>
                <w:bCs/>
                <w:sz w:val="10"/>
                <w:szCs w:val="10"/>
              </w:rPr>
            </w:pPr>
          </w:p>
          <w:p w14:paraId="36A6C08E" w14:textId="0D13C1ED" w:rsidR="00A219CC" w:rsidRPr="00F408EA" w:rsidRDefault="00A219CC" w:rsidP="00FD6B99">
            <w:pPr>
              <w:pStyle w:val="ListParagraph"/>
              <w:numPr>
                <w:ilvl w:val="0"/>
                <w:numId w:val="1"/>
              </w:numPr>
              <w:autoSpaceDE w:val="0"/>
              <w:autoSpaceDN w:val="0"/>
              <w:adjustRightInd w:val="0"/>
              <w:rPr>
                <w:rFonts w:asciiTheme="majorHAnsi" w:hAnsiTheme="majorHAnsi" w:cstheme="majorHAnsi"/>
                <w:b/>
                <w:bCs/>
                <w:sz w:val="24"/>
                <w:szCs w:val="24"/>
              </w:rPr>
            </w:pPr>
            <w:r w:rsidRPr="00F408EA">
              <w:rPr>
                <w:rFonts w:asciiTheme="majorHAnsi" w:hAnsiTheme="majorHAnsi" w:cstheme="majorHAnsi"/>
                <w:b/>
                <w:bCs/>
                <w:sz w:val="24"/>
                <w:szCs w:val="24"/>
              </w:rPr>
              <w:t xml:space="preserve">Banka mora dokazati razliko med ceno kredita s poroštvom in brez poroštva </w:t>
            </w:r>
          </w:p>
          <w:p w14:paraId="52BA975E" w14:textId="5B4DC7C4" w:rsidR="00A219CC" w:rsidRPr="00F408EA" w:rsidRDefault="00A219CC" w:rsidP="00FD6B99">
            <w:pPr>
              <w:pStyle w:val="ListParagraph"/>
              <w:autoSpaceDE w:val="0"/>
              <w:autoSpaceDN w:val="0"/>
              <w:adjustRightInd w:val="0"/>
              <w:ind w:left="720"/>
              <w:rPr>
                <w:rFonts w:asciiTheme="majorHAnsi" w:hAnsiTheme="majorHAnsi" w:cstheme="majorHAnsi"/>
                <w:b/>
                <w:bCs/>
                <w:sz w:val="24"/>
                <w:szCs w:val="24"/>
              </w:rPr>
            </w:pPr>
          </w:p>
          <w:p w14:paraId="52B4ED38" w14:textId="61FF1599" w:rsidR="00A219CC" w:rsidRPr="0034652D" w:rsidRDefault="00A219CC" w:rsidP="0034652D">
            <w:pPr>
              <w:jc w:val="both"/>
              <w:rPr>
                <w:rFonts w:asciiTheme="majorHAnsi" w:hAnsiTheme="majorHAnsi" w:cstheme="majorHAnsi"/>
                <w:sz w:val="24"/>
                <w:szCs w:val="24"/>
              </w:rPr>
            </w:pPr>
            <w:r w:rsidRPr="0034652D">
              <w:rPr>
                <w:rFonts w:asciiTheme="majorHAnsi" w:hAnsiTheme="majorHAnsi" w:cstheme="majorHAnsi"/>
                <w:sz w:val="24"/>
                <w:szCs w:val="24"/>
              </w:rPr>
              <w:t>V skladu z odločbo Evropske komisije SA.57143 z dne 30. 4. 2020 morajo banke finančno prednost, ki izhaja iz poroštva, prenesti na kreditojemalce tako, da se obrestna mera kredita s poroštvom v primerjavi s hipotetično obrestno mero tega kredita brez vseh kreditnih zavarovanj zniža.</w:t>
            </w:r>
          </w:p>
          <w:p w14:paraId="01FD61D4" w14:textId="77777777" w:rsidR="00A219CC" w:rsidRPr="0034652D" w:rsidRDefault="00A219CC" w:rsidP="0034652D">
            <w:pPr>
              <w:jc w:val="both"/>
              <w:rPr>
                <w:rFonts w:asciiTheme="majorHAnsi" w:hAnsiTheme="majorHAnsi" w:cstheme="majorHAnsi"/>
                <w:sz w:val="24"/>
                <w:szCs w:val="24"/>
              </w:rPr>
            </w:pPr>
          </w:p>
          <w:p w14:paraId="3F59826D" w14:textId="32774D96" w:rsidR="00A219CC" w:rsidRPr="0034652D" w:rsidRDefault="00A219CC" w:rsidP="0034652D">
            <w:pPr>
              <w:autoSpaceDE w:val="0"/>
              <w:autoSpaceDN w:val="0"/>
              <w:adjustRightInd w:val="0"/>
              <w:jc w:val="both"/>
              <w:rPr>
                <w:rFonts w:asciiTheme="majorHAnsi" w:hAnsiTheme="majorHAnsi" w:cstheme="majorHAnsi"/>
                <w:sz w:val="24"/>
                <w:szCs w:val="24"/>
              </w:rPr>
            </w:pPr>
            <w:r w:rsidRPr="0034652D">
              <w:rPr>
                <w:rFonts w:asciiTheme="majorHAnsi" w:hAnsiTheme="majorHAnsi" w:cstheme="majorHAnsi"/>
                <w:sz w:val="24"/>
                <w:szCs w:val="24"/>
              </w:rPr>
              <w:t xml:space="preserve">Šteje se, da je banka prenesla finančno prednost, če obrestna mera kredita ne presega obrestnih mer navedenih v bazičnih točkah v spodnji tabeli, ki se povečajo ali znižajo glede na vsakokratno višino </w:t>
            </w:r>
            <w:r w:rsidR="00FF615B">
              <w:rPr>
                <w:rFonts w:asciiTheme="majorHAnsi" w:hAnsiTheme="majorHAnsi" w:cstheme="majorHAnsi"/>
                <w:sz w:val="24"/>
                <w:szCs w:val="24"/>
              </w:rPr>
              <w:t xml:space="preserve">referenčne obrestne mere (3 ali 6 mesečni EURIBOR) </w:t>
            </w:r>
          </w:p>
          <w:p w14:paraId="7FE52C40" w14:textId="2BC39DAB" w:rsidR="00A219CC" w:rsidRPr="00F408EA" w:rsidRDefault="00A219CC" w:rsidP="00B0460B">
            <w:pPr>
              <w:rPr>
                <w:rFonts w:asciiTheme="majorHAnsi" w:hAnsiTheme="majorHAnsi" w:cstheme="majorHAnsi"/>
                <w:color w:val="000000"/>
              </w:rPr>
            </w:pPr>
          </w:p>
          <w:p w14:paraId="0A846C2F" w14:textId="178204E0" w:rsidR="00A219CC" w:rsidRPr="00F408EA" w:rsidRDefault="00A219CC" w:rsidP="00B0460B">
            <w:pPr>
              <w:rPr>
                <w:rFonts w:asciiTheme="majorHAnsi" w:hAnsiTheme="majorHAnsi" w:cstheme="majorHAnsi"/>
                <w:color w:val="000000"/>
              </w:rPr>
            </w:pPr>
            <w:r w:rsidRPr="00F408EA">
              <w:rPr>
                <w:rFonts w:asciiTheme="majorHAnsi" w:hAnsiTheme="majorHAnsi" w:cstheme="majorHAnsi"/>
                <w:color w:val="000000"/>
              </w:rPr>
              <w:t>Ocena kreditne sposobnosti</w:t>
            </w:r>
          </w:p>
          <w:tbl>
            <w:tblPr>
              <w:tblW w:w="4619" w:type="pct"/>
              <w:tblCellSpacing w:w="0" w:type="dxa"/>
              <w:tblCellMar>
                <w:left w:w="0" w:type="dxa"/>
                <w:right w:w="0" w:type="dxa"/>
              </w:tblCellMar>
              <w:tblLook w:val="04A0" w:firstRow="1" w:lastRow="0" w:firstColumn="1" w:lastColumn="0" w:noHBand="0" w:noVBand="1"/>
            </w:tblPr>
            <w:tblGrid>
              <w:gridCol w:w="9099"/>
            </w:tblGrid>
            <w:tr w:rsidR="00A219CC" w:rsidRPr="00F408EA" w14:paraId="47E2EF7C" w14:textId="77777777" w:rsidTr="001352BB">
              <w:trPr>
                <w:tblCellSpacing w:w="0" w:type="dxa"/>
              </w:trPr>
              <w:tc>
                <w:tcPr>
                  <w:tcW w:w="853" w:type="pct"/>
                  <w:hideMark/>
                </w:tcPr>
                <w:p w14:paraId="2ACAF9EE" w14:textId="4F226DB8" w:rsidR="00A219CC" w:rsidRPr="00F408EA" w:rsidRDefault="00A219CC" w:rsidP="001352BB">
                  <w:pPr>
                    <w:pStyle w:val="tbl-txt"/>
                    <w:spacing w:line="252" w:lineRule="auto"/>
                    <w:rPr>
                      <w:rFonts w:asciiTheme="majorHAnsi" w:hAnsiTheme="majorHAnsi" w:cstheme="majorHAnsi"/>
                      <w:sz w:val="20"/>
                      <w:szCs w:val="20"/>
                    </w:rPr>
                  </w:pPr>
                  <w:r w:rsidRPr="00F408EA">
                    <w:rPr>
                      <w:rFonts w:asciiTheme="majorHAnsi" w:hAnsiTheme="majorHAnsi" w:cstheme="majorHAnsi"/>
                      <w:sz w:val="20"/>
                      <w:szCs w:val="20"/>
                    </w:rPr>
                    <w:t>Zelo dobra (AAA-A)                                     60</w:t>
                  </w:r>
                </w:p>
              </w:tc>
            </w:tr>
            <w:tr w:rsidR="00A219CC" w:rsidRPr="00F408EA" w14:paraId="6C82F3A7" w14:textId="77777777" w:rsidTr="001352BB">
              <w:trPr>
                <w:tblCellSpacing w:w="0" w:type="dxa"/>
              </w:trPr>
              <w:tc>
                <w:tcPr>
                  <w:tcW w:w="853" w:type="pct"/>
                  <w:hideMark/>
                </w:tcPr>
                <w:p w14:paraId="680A4196" w14:textId="5BAE2CA8" w:rsidR="00A219CC" w:rsidRPr="00F408EA" w:rsidRDefault="00A219CC" w:rsidP="001352BB">
                  <w:pPr>
                    <w:pStyle w:val="tbl-txt"/>
                    <w:spacing w:line="252" w:lineRule="auto"/>
                    <w:rPr>
                      <w:rFonts w:asciiTheme="majorHAnsi" w:hAnsiTheme="majorHAnsi" w:cstheme="majorHAnsi"/>
                      <w:sz w:val="20"/>
                      <w:szCs w:val="20"/>
                    </w:rPr>
                  </w:pPr>
                  <w:r w:rsidRPr="00F408EA">
                    <w:rPr>
                      <w:rFonts w:asciiTheme="majorHAnsi" w:hAnsiTheme="majorHAnsi" w:cstheme="majorHAnsi"/>
                      <w:sz w:val="20"/>
                      <w:szCs w:val="20"/>
                    </w:rPr>
                    <w:t xml:space="preserve">Dobra (BBB)                                              </w:t>
                  </w:r>
                  <w:r>
                    <w:rPr>
                      <w:rFonts w:asciiTheme="majorHAnsi" w:hAnsiTheme="majorHAnsi" w:cstheme="majorHAnsi"/>
                      <w:sz w:val="20"/>
                      <w:szCs w:val="20"/>
                    </w:rPr>
                    <w:t xml:space="preserve">   </w:t>
                  </w:r>
                  <w:r w:rsidRPr="00F408EA">
                    <w:rPr>
                      <w:rFonts w:asciiTheme="majorHAnsi" w:hAnsiTheme="majorHAnsi" w:cstheme="majorHAnsi"/>
                      <w:sz w:val="20"/>
                      <w:szCs w:val="20"/>
                    </w:rPr>
                    <w:t xml:space="preserve"> 75</w:t>
                  </w:r>
                </w:p>
              </w:tc>
            </w:tr>
            <w:tr w:rsidR="00A219CC" w:rsidRPr="00F408EA" w14:paraId="46C19C4C" w14:textId="77777777" w:rsidTr="001352BB">
              <w:trPr>
                <w:tblCellSpacing w:w="0" w:type="dxa"/>
              </w:trPr>
              <w:tc>
                <w:tcPr>
                  <w:tcW w:w="853" w:type="pct"/>
                  <w:hideMark/>
                </w:tcPr>
                <w:p w14:paraId="76CA378A" w14:textId="43F41E12" w:rsidR="00A219CC" w:rsidRPr="00F408EA" w:rsidRDefault="00A219CC" w:rsidP="001352BB">
                  <w:pPr>
                    <w:pStyle w:val="tbl-txt"/>
                    <w:spacing w:line="252" w:lineRule="auto"/>
                    <w:rPr>
                      <w:rFonts w:asciiTheme="majorHAnsi" w:hAnsiTheme="majorHAnsi" w:cstheme="majorHAnsi"/>
                      <w:sz w:val="20"/>
                      <w:szCs w:val="20"/>
                    </w:rPr>
                  </w:pPr>
                  <w:r w:rsidRPr="00F408EA">
                    <w:rPr>
                      <w:rFonts w:asciiTheme="majorHAnsi" w:hAnsiTheme="majorHAnsi" w:cstheme="majorHAnsi"/>
                      <w:sz w:val="20"/>
                      <w:szCs w:val="20"/>
                    </w:rPr>
                    <w:t xml:space="preserve">Zadovoljiva (BB)                                       </w:t>
                  </w:r>
                  <w:r>
                    <w:rPr>
                      <w:rFonts w:asciiTheme="majorHAnsi" w:hAnsiTheme="majorHAnsi" w:cstheme="majorHAnsi"/>
                      <w:sz w:val="20"/>
                      <w:szCs w:val="20"/>
                    </w:rPr>
                    <w:t xml:space="preserve"> </w:t>
                  </w:r>
                  <w:r w:rsidRPr="00F408EA">
                    <w:rPr>
                      <w:rFonts w:asciiTheme="majorHAnsi" w:hAnsiTheme="majorHAnsi" w:cstheme="majorHAnsi"/>
                      <w:sz w:val="20"/>
                      <w:szCs w:val="20"/>
                    </w:rPr>
                    <w:t xml:space="preserve"> 100</w:t>
                  </w:r>
                </w:p>
              </w:tc>
            </w:tr>
            <w:tr w:rsidR="00A219CC" w:rsidRPr="00F408EA" w14:paraId="6F37E64A" w14:textId="77777777" w:rsidTr="001352BB">
              <w:trPr>
                <w:tblCellSpacing w:w="0" w:type="dxa"/>
              </w:trPr>
              <w:tc>
                <w:tcPr>
                  <w:tcW w:w="853" w:type="pct"/>
                  <w:hideMark/>
                </w:tcPr>
                <w:p w14:paraId="0C95F07F" w14:textId="07327335" w:rsidR="00A219CC" w:rsidRPr="00F408EA" w:rsidRDefault="00A219CC" w:rsidP="001352BB">
                  <w:pPr>
                    <w:pStyle w:val="tbl-txt"/>
                    <w:spacing w:line="252" w:lineRule="auto"/>
                    <w:rPr>
                      <w:rFonts w:asciiTheme="majorHAnsi" w:hAnsiTheme="majorHAnsi" w:cstheme="majorHAnsi"/>
                      <w:sz w:val="20"/>
                      <w:szCs w:val="20"/>
                    </w:rPr>
                  </w:pPr>
                  <w:r w:rsidRPr="00F408EA">
                    <w:rPr>
                      <w:rFonts w:asciiTheme="majorHAnsi" w:hAnsiTheme="majorHAnsi" w:cstheme="majorHAnsi"/>
                      <w:sz w:val="20"/>
                      <w:szCs w:val="20"/>
                    </w:rPr>
                    <w:t xml:space="preserve">Šibka (B)                                                  </w:t>
                  </w:r>
                  <w:r>
                    <w:rPr>
                      <w:rFonts w:asciiTheme="majorHAnsi" w:hAnsiTheme="majorHAnsi" w:cstheme="majorHAnsi"/>
                      <w:sz w:val="20"/>
                      <w:szCs w:val="20"/>
                    </w:rPr>
                    <w:t xml:space="preserve">    </w:t>
                  </w:r>
                  <w:r w:rsidRPr="00F408EA">
                    <w:rPr>
                      <w:rFonts w:asciiTheme="majorHAnsi" w:hAnsiTheme="majorHAnsi" w:cstheme="majorHAnsi"/>
                      <w:sz w:val="20"/>
                      <w:szCs w:val="20"/>
                    </w:rPr>
                    <w:t>220</w:t>
                  </w:r>
                </w:p>
              </w:tc>
            </w:tr>
            <w:tr w:rsidR="00A219CC" w:rsidRPr="00F408EA" w14:paraId="374B15FB" w14:textId="77777777" w:rsidTr="0034652D">
              <w:trPr>
                <w:trHeight w:val="80"/>
                <w:tblCellSpacing w:w="0" w:type="dxa"/>
              </w:trPr>
              <w:tc>
                <w:tcPr>
                  <w:tcW w:w="853" w:type="pct"/>
                  <w:hideMark/>
                </w:tcPr>
                <w:p w14:paraId="4E8AA0E3" w14:textId="0E61F4C8" w:rsidR="00A219CC" w:rsidRPr="00F408EA" w:rsidRDefault="00A219CC" w:rsidP="001352BB">
                  <w:pPr>
                    <w:pStyle w:val="tbl-txt"/>
                    <w:spacing w:line="252" w:lineRule="auto"/>
                    <w:rPr>
                      <w:rFonts w:asciiTheme="majorHAnsi" w:hAnsiTheme="majorHAnsi" w:cstheme="majorHAnsi"/>
                      <w:sz w:val="20"/>
                      <w:szCs w:val="20"/>
                    </w:rPr>
                  </w:pPr>
                  <w:r w:rsidRPr="00F408EA">
                    <w:rPr>
                      <w:rFonts w:asciiTheme="majorHAnsi" w:hAnsiTheme="majorHAnsi" w:cstheme="majorHAnsi"/>
                      <w:sz w:val="20"/>
                      <w:szCs w:val="20"/>
                    </w:rPr>
                    <w:t>Slaba/Finančne težave (CCC+ in CCC)    400</w:t>
                  </w:r>
                </w:p>
              </w:tc>
            </w:tr>
          </w:tbl>
          <w:p w14:paraId="3DE9324C" w14:textId="265D041D" w:rsidR="00A219CC" w:rsidRPr="00F408EA" w:rsidRDefault="00A219CC" w:rsidP="00B0460B">
            <w:pPr>
              <w:rPr>
                <w:rFonts w:asciiTheme="majorHAnsi" w:hAnsiTheme="majorHAnsi" w:cstheme="majorHAnsi"/>
                <w:color w:val="000000"/>
                <w:sz w:val="20"/>
                <w:szCs w:val="20"/>
              </w:rPr>
            </w:pPr>
          </w:p>
          <w:p w14:paraId="0547179E" w14:textId="5BD70CA2" w:rsidR="00A219CC" w:rsidRDefault="00A219CC" w:rsidP="0034652D">
            <w:pPr>
              <w:jc w:val="both"/>
              <w:rPr>
                <w:rFonts w:asciiTheme="majorHAnsi" w:hAnsiTheme="majorHAnsi" w:cstheme="majorHAnsi"/>
                <w:sz w:val="24"/>
                <w:szCs w:val="24"/>
              </w:rPr>
            </w:pPr>
          </w:p>
          <w:p w14:paraId="4C7C7676" w14:textId="77777777" w:rsidR="00BA12B1" w:rsidRPr="0034652D" w:rsidRDefault="00BA12B1" w:rsidP="0034652D">
            <w:pPr>
              <w:jc w:val="both"/>
              <w:rPr>
                <w:rFonts w:asciiTheme="majorHAnsi" w:hAnsiTheme="majorHAnsi" w:cstheme="majorHAnsi"/>
                <w:sz w:val="24"/>
                <w:szCs w:val="24"/>
              </w:rPr>
            </w:pPr>
          </w:p>
          <w:p w14:paraId="4D9EA036" w14:textId="155B491C" w:rsidR="00A219CC" w:rsidRPr="0034652D" w:rsidRDefault="00A219CC" w:rsidP="0034652D">
            <w:pPr>
              <w:jc w:val="both"/>
              <w:rPr>
                <w:rFonts w:asciiTheme="majorHAnsi" w:hAnsiTheme="majorHAnsi" w:cstheme="majorHAnsi"/>
                <w:sz w:val="24"/>
                <w:szCs w:val="24"/>
              </w:rPr>
            </w:pPr>
            <w:r w:rsidRPr="0034652D">
              <w:rPr>
                <w:rFonts w:asciiTheme="majorHAnsi" w:hAnsiTheme="majorHAnsi" w:cstheme="majorHAnsi"/>
                <w:sz w:val="24"/>
                <w:szCs w:val="24"/>
              </w:rPr>
              <w:lastRenderedPageBreak/>
              <w:t>Bonitetne ocene iz tabele pomenijo ocene bonitetne agencije S&amp;P. Banka svoje lastne bonitetne ocene pretvori v bonitetne ocene S&amp;P upoštevajoč razpon verjetnosti neplačila, ki pretežno najbolj ustreza določeni bonitetni oceni.</w:t>
            </w:r>
          </w:p>
          <w:p w14:paraId="05F97232" w14:textId="77777777" w:rsidR="00A219CC" w:rsidRPr="00F408EA" w:rsidRDefault="00A219CC" w:rsidP="00FD6B99">
            <w:pPr>
              <w:rPr>
                <w:rFonts w:asciiTheme="majorHAnsi" w:hAnsiTheme="majorHAnsi" w:cstheme="majorHAnsi"/>
              </w:rPr>
            </w:pPr>
          </w:p>
          <w:p w14:paraId="62E1CF09" w14:textId="77777777" w:rsidR="00A219CC" w:rsidRPr="00F408EA" w:rsidRDefault="00A219CC" w:rsidP="00FD6B99">
            <w:pPr>
              <w:autoSpaceDE w:val="0"/>
              <w:autoSpaceDN w:val="0"/>
              <w:adjustRightInd w:val="0"/>
              <w:rPr>
                <w:rFonts w:asciiTheme="majorHAnsi" w:hAnsiTheme="majorHAnsi" w:cstheme="majorHAnsi"/>
                <w:b/>
                <w:bCs/>
                <w:sz w:val="24"/>
                <w:szCs w:val="24"/>
              </w:rPr>
            </w:pPr>
          </w:p>
          <w:p w14:paraId="335E80D3" w14:textId="3FE14551" w:rsidR="00A219CC" w:rsidRPr="00F408EA" w:rsidRDefault="00A219CC" w:rsidP="00FD6B99">
            <w:pPr>
              <w:pStyle w:val="ListParagraph"/>
              <w:numPr>
                <w:ilvl w:val="0"/>
                <w:numId w:val="1"/>
              </w:numPr>
              <w:autoSpaceDE w:val="0"/>
              <w:autoSpaceDN w:val="0"/>
              <w:adjustRightInd w:val="0"/>
              <w:rPr>
                <w:rFonts w:asciiTheme="majorHAnsi" w:hAnsiTheme="majorHAnsi" w:cstheme="majorHAnsi"/>
                <w:b/>
                <w:bCs/>
                <w:sz w:val="24"/>
                <w:szCs w:val="24"/>
              </w:rPr>
            </w:pPr>
            <w:r w:rsidRPr="00F408EA">
              <w:rPr>
                <w:rFonts w:asciiTheme="majorHAnsi" w:hAnsiTheme="majorHAnsi" w:cstheme="majorHAnsi"/>
                <w:b/>
                <w:bCs/>
                <w:sz w:val="24"/>
                <w:szCs w:val="24"/>
              </w:rPr>
              <w:t>Izjava banke, da za kredit ni zaračunala višjih nadomestil (</w:t>
            </w:r>
            <w:r w:rsidRPr="00F408EA">
              <w:rPr>
                <w:rFonts w:asciiTheme="majorHAnsi" w:hAnsiTheme="majorHAnsi" w:cstheme="majorHAnsi"/>
                <w:sz w:val="24"/>
                <w:szCs w:val="24"/>
              </w:rPr>
              <w:t>na primer za odobritev</w:t>
            </w:r>
            <w:r w:rsidRPr="00F408EA">
              <w:rPr>
                <w:rFonts w:asciiTheme="majorHAnsi" w:hAnsiTheme="majorHAnsi" w:cstheme="majorHAnsi"/>
                <w:b/>
                <w:bCs/>
                <w:sz w:val="24"/>
                <w:szCs w:val="24"/>
              </w:rPr>
              <w:t xml:space="preserve"> </w:t>
            </w:r>
            <w:r w:rsidRPr="00F408EA">
              <w:rPr>
                <w:rFonts w:asciiTheme="majorHAnsi" w:hAnsiTheme="majorHAnsi" w:cstheme="majorHAnsi"/>
                <w:sz w:val="24"/>
                <w:szCs w:val="24"/>
              </w:rPr>
              <w:t>in</w:t>
            </w:r>
            <w:r w:rsidRPr="00F408EA">
              <w:rPr>
                <w:rFonts w:asciiTheme="majorHAnsi" w:hAnsiTheme="majorHAnsi" w:cstheme="majorHAnsi"/>
                <w:b/>
                <w:bCs/>
                <w:sz w:val="24"/>
                <w:szCs w:val="24"/>
              </w:rPr>
              <w:t xml:space="preserve"> </w:t>
            </w:r>
            <w:r w:rsidRPr="00F408EA">
              <w:rPr>
                <w:rFonts w:asciiTheme="majorHAnsi" w:hAnsiTheme="majorHAnsi" w:cstheme="majorHAnsi"/>
                <w:sz w:val="24"/>
                <w:szCs w:val="24"/>
              </w:rPr>
              <w:t>vodenje kredita</w:t>
            </w:r>
            <w:r w:rsidRPr="00F408EA">
              <w:rPr>
                <w:rFonts w:asciiTheme="majorHAnsi" w:hAnsiTheme="majorHAnsi" w:cstheme="majorHAnsi"/>
                <w:b/>
                <w:bCs/>
                <w:sz w:val="24"/>
                <w:szCs w:val="24"/>
              </w:rPr>
              <w:t>), kot so veljala po tarifi banke</w:t>
            </w:r>
            <w:r w:rsidRPr="00F408EA">
              <w:rPr>
                <w:rFonts w:asciiTheme="majorHAnsi" w:hAnsiTheme="majorHAnsi" w:cstheme="majorHAnsi"/>
                <w:b/>
                <w:sz w:val="24"/>
              </w:rPr>
              <w:t xml:space="preserve"> pred </w:t>
            </w:r>
            <w:r w:rsidRPr="00F408EA">
              <w:rPr>
                <w:rFonts w:asciiTheme="majorHAnsi" w:hAnsiTheme="majorHAnsi" w:cstheme="majorHAnsi"/>
                <w:b/>
                <w:bCs/>
                <w:sz w:val="24"/>
                <w:szCs w:val="24"/>
              </w:rPr>
              <w:t>12. 3. 2020.</w:t>
            </w:r>
          </w:p>
          <w:p w14:paraId="402D014D" w14:textId="77777777" w:rsidR="00A219CC" w:rsidRPr="00F408EA" w:rsidRDefault="00A219CC" w:rsidP="00DC04B0">
            <w:pPr>
              <w:autoSpaceDE w:val="0"/>
              <w:autoSpaceDN w:val="0"/>
              <w:adjustRightInd w:val="0"/>
              <w:rPr>
                <w:rFonts w:asciiTheme="majorHAnsi" w:hAnsiTheme="majorHAnsi" w:cstheme="majorHAnsi"/>
                <w:b/>
                <w:bCs/>
                <w:sz w:val="24"/>
                <w:szCs w:val="24"/>
              </w:rPr>
            </w:pPr>
          </w:p>
          <w:p w14:paraId="7B3CC785" w14:textId="094C0E5B" w:rsidR="00A219CC" w:rsidRPr="00F408EA" w:rsidRDefault="00A219CC" w:rsidP="00FD6B99">
            <w:pPr>
              <w:pStyle w:val="ListParagraph"/>
              <w:numPr>
                <w:ilvl w:val="0"/>
                <w:numId w:val="1"/>
              </w:numPr>
              <w:autoSpaceDE w:val="0"/>
              <w:autoSpaceDN w:val="0"/>
              <w:adjustRightInd w:val="0"/>
              <w:rPr>
                <w:rFonts w:asciiTheme="majorHAnsi" w:hAnsiTheme="majorHAnsi" w:cstheme="majorHAnsi"/>
                <w:b/>
                <w:bCs/>
                <w:sz w:val="24"/>
                <w:szCs w:val="24"/>
              </w:rPr>
            </w:pPr>
            <w:r w:rsidRPr="00F408EA">
              <w:rPr>
                <w:rFonts w:asciiTheme="majorHAnsi" w:hAnsiTheme="majorHAnsi" w:cstheme="majorHAnsi"/>
                <w:b/>
                <w:bCs/>
                <w:sz w:val="24"/>
                <w:szCs w:val="24"/>
              </w:rPr>
              <w:t>Priloga k izjavi je Tarifa banke, veljavna na dan 12. 3. 2020 in Tarifa banke, veljavna na dan odobritve kredita s poroštvom RS.</w:t>
            </w:r>
          </w:p>
          <w:p w14:paraId="5F8D2040" w14:textId="77777777" w:rsidR="00A219CC" w:rsidRPr="00F408EA" w:rsidRDefault="00A219CC" w:rsidP="00FD6B99">
            <w:pPr>
              <w:pStyle w:val="ListParagraph"/>
              <w:autoSpaceDE w:val="0"/>
              <w:autoSpaceDN w:val="0"/>
              <w:adjustRightInd w:val="0"/>
              <w:ind w:left="720"/>
              <w:rPr>
                <w:rFonts w:asciiTheme="majorHAnsi" w:hAnsiTheme="majorHAnsi" w:cstheme="majorHAnsi"/>
                <w:b/>
                <w:bCs/>
                <w:sz w:val="24"/>
                <w:szCs w:val="24"/>
              </w:rPr>
            </w:pPr>
          </w:p>
          <w:p w14:paraId="467D6861" w14:textId="4BBD9AA3" w:rsidR="00A219CC" w:rsidRPr="00794413" w:rsidRDefault="00A219CC" w:rsidP="00FD6B99">
            <w:pPr>
              <w:autoSpaceDE w:val="0"/>
              <w:autoSpaceDN w:val="0"/>
              <w:adjustRightInd w:val="0"/>
              <w:rPr>
                <w:rFonts w:asciiTheme="majorHAnsi" w:hAnsiTheme="majorHAnsi" w:cstheme="majorHAnsi"/>
                <w:sz w:val="24"/>
                <w:szCs w:val="24"/>
              </w:rPr>
            </w:pPr>
            <w:r w:rsidRPr="00794413">
              <w:rPr>
                <w:rFonts w:asciiTheme="majorHAnsi" w:hAnsiTheme="majorHAnsi" w:cstheme="majorHAnsi"/>
                <w:sz w:val="24"/>
                <w:szCs w:val="24"/>
              </w:rPr>
              <w:t xml:space="preserve">Po izplačilu poroštva RS bo agent preveril višino nadomestil banke v Tarifi banke, veljavni v obdobju odobritve kredita, primerjaje s Tarifo veljavno na dan 12.3.2020, in primerjaje z navedbo višine nadomestil v kreditni pogodbi s poroštvom RS. </w:t>
            </w:r>
          </w:p>
          <w:p w14:paraId="60445B37" w14:textId="159D120F" w:rsidR="00A219CC" w:rsidRPr="00F408EA" w:rsidRDefault="00A219CC" w:rsidP="00FD6B99">
            <w:pPr>
              <w:autoSpaceDE w:val="0"/>
              <w:autoSpaceDN w:val="0"/>
              <w:adjustRightInd w:val="0"/>
              <w:rPr>
                <w:rFonts w:asciiTheme="majorHAnsi" w:hAnsiTheme="majorHAnsi" w:cstheme="majorHAnsi"/>
              </w:rPr>
            </w:pPr>
          </w:p>
          <w:p w14:paraId="235CA352" w14:textId="29A8A98E" w:rsidR="00A219CC" w:rsidRPr="00F408EA" w:rsidRDefault="00A219CC" w:rsidP="00FD6B99">
            <w:pPr>
              <w:autoSpaceDE w:val="0"/>
              <w:autoSpaceDN w:val="0"/>
              <w:adjustRightInd w:val="0"/>
              <w:rPr>
                <w:rFonts w:asciiTheme="majorHAnsi" w:hAnsiTheme="majorHAnsi" w:cstheme="majorHAnsi"/>
              </w:rPr>
            </w:pPr>
          </w:p>
        </w:tc>
      </w:tr>
      <w:tr w:rsidR="00A219CC" w:rsidRPr="00F408EA" w14:paraId="6839831C" w14:textId="77777777" w:rsidTr="008E428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531" w:type="dxa"/>
          </w:tcPr>
          <w:p w14:paraId="0DBF762D" w14:textId="7EC66F4A" w:rsidR="00A219CC" w:rsidRPr="00F408EA" w:rsidRDefault="00A219CC" w:rsidP="00FD6B99">
            <w:pPr>
              <w:rPr>
                <w:rFonts w:asciiTheme="majorHAnsi" w:hAnsiTheme="majorHAnsi" w:cstheme="majorHAnsi"/>
                <w:b w:val="0"/>
                <w:bCs w:val="0"/>
                <w:sz w:val="18"/>
                <w:szCs w:val="18"/>
              </w:rPr>
            </w:pPr>
            <w:r w:rsidRPr="00F408EA">
              <w:rPr>
                <w:rFonts w:asciiTheme="majorHAnsi" w:hAnsiTheme="majorHAnsi" w:cstheme="majorHAnsi"/>
                <w:sz w:val="18"/>
                <w:szCs w:val="18"/>
              </w:rPr>
              <w:lastRenderedPageBreak/>
              <w:t>7.člen (1)</w:t>
            </w:r>
          </w:p>
          <w:p w14:paraId="052556A5" w14:textId="1DA86C43"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Za dokazovanje izpolnjevanja pogojev iz drugega in tretjega odstavka 5. člena ZDLGPE</w:t>
            </w:r>
          </w:p>
          <w:p w14:paraId="4C83A497" w14:textId="27D07CC3"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kreditojemalec predloži banki letno poročilo za kreditojemalca za poslovno leto 2019 oziroma računovodske izkaze in druga relevantna dokazila ter listine, iz katerih izhajajo verodostojni podatki o</w:t>
            </w:r>
          </w:p>
          <w:p w14:paraId="461F9264" w14:textId="4D0ECEE7"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doseženih prihodkih od prodaje v letu 2019 in o stroških dela kreditojemalca za poslovno leto 2019 (obračunanih in izplačanih bruto plačah).</w:t>
            </w:r>
          </w:p>
        </w:tc>
        <w:tc>
          <w:tcPr>
            <w:tcW w:w="10065" w:type="dxa"/>
          </w:tcPr>
          <w:p w14:paraId="60C4AC03" w14:textId="77777777" w:rsidR="00A219CC" w:rsidRPr="00794413" w:rsidRDefault="00A219CC" w:rsidP="00FD6B9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sz w:val="24"/>
                <w:szCs w:val="24"/>
              </w:rPr>
              <w:t xml:space="preserve">Prihodki od prodaje = </w:t>
            </w:r>
            <w:r w:rsidRPr="00794413">
              <w:rPr>
                <w:rFonts w:asciiTheme="majorHAnsi" w:hAnsiTheme="majorHAnsi" w:cstheme="majorHAnsi"/>
                <w:b/>
                <w:bCs/>
                <w:sz w:val="24"/>
                <w:szCs w:val="24"/>
              </w:rPr>
              <w:t>AOP 110</w:t>
            </w:r>
            <w:r w:rsidRPr="00794413">
              <w:rPr>
                <w:rFonts w:asciiTheme="majorHAnsi" w:hAnsiTheme="majorHAnsi" w:cstheme="majorHAnsi"/>
                <w:sz w:val="24"/>
                <w:szCs w:val="24"/>
              </w:rPr>
              <w:t xml:space="preserve"> v izkazu poslovnega izida</w:t>
            </w:r>
          </w:p>
          <w:p w14:paraId="287A9E60"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59A96CFD"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sz w:val="24"/>
                <w:szCs w:val="24"/>
              </w:rPr>
              <w:t>Vir: Izkaz poslovnega izida:</w:t>
            </w:r>
          </w:p>
          <w:p w14:paraId="0872F004" w14:textId="4539E8EC"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sz w:val="24"/>
                <w:szCs w:val="24"/>
              </w:rPr>
              <w:t>Letni znesek bruto plač kreditojemalca je izračun vsote</w:t>
            </w:r>
          </w:p>
          <w:p w14:paraId="3C6E8911"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b/>
                <w:bCs/>
                <w:sz w:val="24"/>
                <w:szCs w:val="24"/>
              </w:rPr>
              <w:t>AOP 140</w:t>
            </w:r>
            <w:r w:rsidRPr="00794413">
              <w:rPr>
                <w:rFonts w:asciiTheme="majorHAnsi" w:hAnsiTheme="majorHAnsi" w:cstheme="majorHAnsi"/>
                <w:sz w:val="24"/>
                <w:szCs w:val="24"/>
              </w:rPr>
              <w:t xml:space="preserve"> [bruto plače in nadomestila plač brez prevoza in prehrane] + </w:t>
            </w:r>
          </w:p>
          <w:p w14:paraId="778D332E"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b/>
                <w:bCs/>
                <w:sz w:val="24"/>
                <w:szCs w:val="24"/>
              </w:rPr>
              <w:t>AOP 141</w:t>
            </w:r>
            <w:r w:rsidRPr="00794413">
              <w:rPr>
                <w:rFonts w:asciiTheme="majorHAnsi" w:hAnsiTheme="majorHAnsi" w:cstheme="majorHAnsi"/>
                <w:sz w:val="24"/>
                <w:szCs w:val="24"/>
              </w:rPr>
              <w:t xml:space="preserve"> [prispevki za dodatno pokojninsko zavarovanje]+ </w:t>
            </w:r>
          </w:p>
          <w:p w14:paraId="7EF15C06"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b/>
                <w:bCs/>
                <w:sz w:val="24"/>
                <w:szCs w:val="24"/>
              </w:rPr>
              <w:t>AOP 142</w:t>
            </w:r>
            <w:r w:rsidRPr="00794413">
              <w:rPr>
                <w:rFonts w:asciiTheme="majorHAnsi" w:hAnsiTheme="majorHAnsi" w:cstheme="majorHAnsi"/>
                <w:sz w:val="24"/>
                <w:szCs w:val="24"/>
              </w:rPr>
              <w:t xml:space="preserve"> [prispevke od plač in nadomestil] </w:t>
            </w:r>
          </w:p>
          <w:p w14:paraId="0C645D2D"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24132A4D" w14:textId="77777777" w:rsidR="00A219CC" w:rsidRPr="00794413"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94413">
              <w:rPr>
                <w:rFonts w:asciiTheme="majorHAnsi" w:hAnsiTheme="majorHAnsi" w:cstheme="majorHAnsi"/>
                <w:sz w:val="24"/>
                <w:szCs w:val="24"/>
              </w:rPr>
              <w:t>NE sme se upoštevati AOP 143 [drugi stroški dela: regres, jubilejne, odpravnine, prehrana, prevoz]).</w:t>
            </w:r>
          </w:p>
          <w:p w14:paraId="5DD97B76" w14:textId="77777777" w:rsidR="00A219CC" w:rsidRDefault="00A219CC"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7B623B99" w14:textId="77777777" w:rsidR="00BA12B1" w:rsidRDefault="00BA12B1"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029565B4" w14:textId="77777777" w:rsidR="00BA12B1" w:rsidRDefault="00BA12B1"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386B6D74" w14:textId="77777777" w:rsidR="00BA12B1" w:rsidRDefault="00BA12B1"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443FEF9A" w14:textId="143E011C" w:rsidR="00BA12B1" w:rsidRPr="00794413" w:rsidRDefault="00BA12B1" w:rsidP="00FD6B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bookmarkStart w:id="3" w:name="_GoBack"/>
            <w:bookmarkEnd w:id="3"/>
          </w:p>
        </w:tc>
      </w:tr>
      <w:tr w:rsidR="00A219CC" w:rsidRPr="00F408EA" w14:paraId="013C87C4" w14:textId="77777777" w:rsidTr="008E428B">
        <w:trPr>
          <w:trHeight w:val="448"/>
        </w:trPr>
        <w:tc>
          <w:tcPr>
            <w:cnfStyle w:val="001000000000" w:firstRow="0" w:lastRow="0" w:firstColumn="1" w:lastColumn="0" w:oddVBand="0" w:evenVBand="0" w:oddHBand="0" w:evenHBand="0" w:firstRowFirstColumn="0" w:firstRowLastColumn="0" w:lastRowFirstColumn="0" w:lastRowLastColumn="0"/>
            <w:tcW w:w="4531" w:type="dxa"/>
          </w:tcPr>
          <w:p w14:paraId="09412280" w14:textId="4AE4CE8A" w:rsidR="00A219CC" w:rsidRPr="00F408EA" w:rsidRDefault="00A219CC" w:rsidP="00FD6B99">
            <w:pPr>
              <w:rPr>
                <w:rFonts w:asciiTheme="majorHAnsi" w:hAnsiTheme="majorHAnsi" w:cstheme="majorHAnsi"/>
                <w:b w:val="0"/>
                <w:bCs w:val="0"/>
                <w:sz w:val="18"/>
                <w:szCs w:val="18"/>
              </w:rPr>
            </w:pPr>
            <w:r w:rsidRPr="00F408EA">
              <w:rPr>
                <w:rFonts w:asciiTheme="majorHAnsi" w:hAnsiTheme="majorHAnsi" w:cstheme="majorHAnsi"/>
                <w:sz w:val="18"/>
                <w:szCs w:val="18"/>
              </w:rPr>
              <w:lastRenderedPageBreak/>
              <w:t>7.člen (1)</w:t>
            </w:r>
          </w:p>
          <w:p w14:paraId="5D64FCC6" w14:textId="77777777"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Kreditojemalec predloži banki tudi izjavo, v kateri navede:</w:t>
            </w:r>
          </w:p>
          <w:p w14:paraId="300F5FF9" w14:textId="0359CC81"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a) ali ima sklenjene odloge plačil obveznosti po Zakonu o interventnem ukrepu odloga plačila obveznosti kreditojemalcev (Uradni list RS, št. 36/20 in 49/20 – ZIUZEOP; v nadaljnjem besedilu:</w:t>
            </w:r>
          </w:p>
          <w:p w14:paraId="58E197F1" w14:textId="0EDE96D2"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ZIUOPOK) v zvezi s poroštvom RS po 65. členu ZIUZEOP tudi pri drugih bankah,</w:t>
            </w:r>
          </w:p>
          <w:p w14:paraId="618ED323" w14:textId="77777777"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b) ali je za odlog plačila obveznosti po ZIUOPOK zaprosil tudi druge banke,</w:t>
            </w:r>
          </w:p>
          <w:p w14:paraId="3F46D6B5" w14:textId="77777777"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c) ali ima sklenjene kreditne pogodbe po ZDLGPE tudi pri drugih bankah,</w:t>
            </w:r>
          </w:p>
          <w:p w14:paraId="1BA7B44C" w14:textId="77777777"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d) ali je za kredit po ZDGLPE zaprosil tudi druge banke,</w:t>
            </w:r>
          </w:p>
          <w:p w14:paraId="0167BE37" w14:textId="3C796408" w:rsidR="00A219CC" w:rsidRPr="00F408EA" w:rsidRDefault="00A219CC" w:rsidP="00FD6B99">
            <w:pPr>
              <w:autoSpaceDE w:val="0"/>
              <w:autoSpaceDN w:val="0"/>
              <w:adjustRightInd w:val="0"/>
              <w:rPr>
                <w:rFonts w:asciiTheme="majorHAnsi" w:hAnsiTheme="majorHAnsi" w:cstheme="majorHAnsi"/>
                <w:sz w:val="18"/>
                <w:szCs w:val="18"/>
              </w:rPr>
            </w:pPr>
            <w:r w:rsidRPr="00F408EA">
              <w:rPr>
                <w:rFonts w:asciiTheme="majorHAnsi" w:hAnsiTheme="majorHAnsi" w:cstheme="majorHAnsi"/>
                <w:sz w:val="18"/>
                <w:szCs w:val="18"/>
              </w:rPr>
              <w:t>e) da bo banko nemudoma obveščal o vloženih zahtevkih za kredit po ZDLGPE pri drugih bankah.</w:t>
            </w:r>
          </w:p>
        </w:tc>
        <w:tc>
          <w:tcPr>
            <w:tcW w:w="10065" w:type="dxa"/>
          </w:tcPr>
          <w:p w14:paraId="1268F883" w14:textId="77777777" w:rsidR="00A219CC" w:rsidRPr="00F408EA" w:rsidRDefault="00A219CC" w:rsidP="00FD6B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408EA">
              <w:rPr>
                <w:rFonts w:asciiTheme="majorHAnsi" w:hAnsiTheme="majorHAnsi" w:cstheme="majorHAnsi"/>
                <w:sz w:val="24"/>
                <w:szCs w:val="24"/>
              </w:rPr>
              <w:t>Kreditojemalec</w:t>
            </w:r>
            <w:r w:rsidRPr="00F408EA">
              <w:rPr>
                <w:rFonts w:asciiTheme="majorHAnsi" w:hAnsiTheme="majorHAnsi" w:cstheme="majorHAnsi"/>
                <w:b/>
                <w:bCs/>
                <w:sz w:val="20"/>
                <w:szCs w:val="20"/>
              </w:rPr>
              <w:t>:</w:t>
            </w:r>
          </w:p>
          <w:p w14:paraId="22D8A930" w14:textId="77777777" w:rsidR="00A219CC" w:rsidRPr="00F408EA" w:rsidRDefault="00A219CC" w:rsidP="00FD6B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10"/>
              </w:rPr>
            </w:pPr>
          </w:p>
          <w:p w14:paraId="120E2C67" w14:textId="5F2E7B19" w:rsidR="00A219CC" w:rsidRPr="00F408EA" w:rsidRDefault="00A219CC" w:rsidP="007473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u w:val="single"/>
              </w:rPr>
            </w:pPr>
            <w:r w:rsidRPr="00F408EA">
              <w:rPr>
                <w:rFonts w:asciiTheme="majorHAnsi" w:hAnsiTheme="majorHAnsi" w:cstheme="majorHAnsi"/>
                <w:b/>
                <w:bCs/>
                <w:sz w:val="24"/>
                <w:szCs w:val="24"/>
              </w:rPr>
              <w:t>Izjava kreditojemalca z navedbo zneskov glavnic kreditov po ZDLGPE s statusom ali je vloga v obravnavi ali že odobrena in zneskov odlogov plačil obveznosti</w:t>
            </w:r>
            <w:r w:rsidRPr="00F408EA">
              <w:rPr>
                <w:rFonts w:asciiTheme="majorHAnsi" w:hAnsiTheme="majorHAnsi" w:cstheme="majorHAnsi"/>
                <w:b/>
                <w:bCs/>
                <w:strike/>
                <w:sz w:val="24"/>
                <w:szCs w:val="24"/>
              </w:rPr>
              <w:t>,</w:t>
            </w:r>
            <w:r w:rsidRPr="00F408EA">
              <w:rPr>
                <w:rFonts w:asciiTheme="majorHAnsi" w:hAnsiTheme="majorHAnsi" w:cstheme="majorHAnsi"/>
                <w:b/>
                <w:bCs/>
                <w:sz w:val="24"/>
                <w:szCs w:val="24"/>
              </w:rPr>
              <w:t xml:space="preserve"> sklenjenih </w:t>
            </w:r>
            <w:r w:rsidR="00F043E5">
              <w:rPr>
                <w:rFonts w:asciiTheme="majorHAnsi" w:hAnsiTheme="majorHAnsi" w:cstheme="majorHAnsi"/>
                <w:b/>
                <w:bCs/>
                <w:sz w:val="24"/>
                <w:szCs w:val="24"/>
              </w:rPr>
              <w:t xml:space="preserve">z novo kreditno pogodbo </w:t>
            </w:r>
            <w:r w:rsidRPr="00F408EA">
              <w:rPr>
                <w:rFonts w:asciiTheme="majorHAnsi" w:hAnsiTheme="majorHAnsi" w:cstheme="majorHAnsi"/>
                <w:b/>
                <w:bCs/>
                <w:sz w:val="24"/>
                <w:szCs w:val="24"/>
              </w:rPr>
              <w:t xml:space="preserve">skladno s pogoji ZIUOPOK </w:t>
            </w:r>
            <w:r w:rsidR="00F043E5">
              <w:rPr>
                <w:rFonts w:asciiTheme="majorHAnsi" w:hAnsiTheme="majorHAnsi" w:cstheme="majorHAnsi"/>
                <w:b/>
                <w:bCs/>
                <w:sz w:val="24"/>
                <w:szCs w:val="24"/>
              </w:rPr>
              <w:t>v povezavi s</w:t>
            </w:r>
            <w:r w:rsidRPr="00F408EA">
              <w:rPr>
                <w:rFonts w:asciiTheme="majorHAnsi" w:hAnsiTheme="majorHAnsi" w:cstheme="majorHAnsi"/>
                <w:b/>
                <w:bCs/>
                <w:sz w:val="24"/>
                <w:szCs w:val="24"/>
              </w:rPr>
              <w:t xml:space="preserve"> 65. člen</w:t>
            </w:r>
            <w:r w:rsidR="00F043E5">
              <w:rPr>
                <w:rFonts w:asciiTheme="majorHAnsi" w:hAnsiTheme="majorHAnsi" w:cstheme="majorHAnsi"/>
                <w:b/>
                <w:bCs/>
                <w:sz w:val="24"/>
                <w:szCs w:val="24"/>
              </w:rPr>
              <w:t>om</w:t>
            </w:r>
            <w:r w:rsidRPr="00F408EA">
              <w:rPr>
                <w:rFonts w:asciiTheme="majorHAnsi" w:hAnsiTheme="majorHAnsi" w:cstheme="majorHAnsi"/>
                <w:b/>
                <w:bCs/>
                <w:sz w:val="24"/>
                <w:szCs w:val="24"/>
              </w:rPr>
              <w:t xml:space="preserve"> ZIUZEOP, ter pri kateri banki </w:t>
            </w:r>
            <w:r w:rsidR="00F043E5">
              <w:rPr>
                <w:rFonts w:asciiTheme="majorHAnsi" w:hAnsiTheme="majorHAnsi" w:cstheme="majorHAnsi"/>
                <w:b/>
                <w:bCs/>
                <w:sz w:val="24"/>
                <w:szCs w:val="24"/>
              </w:rPr>
              <w:t xml:space="preserve">. </w:t>
            </w:r>
            <w:r w:rsidR="00F043E5">
              <w:rPr>
                <w:rFonts w:asciiTheme="majorHAnsi" w:hAnsiTheme="majorHAnsi" w:cstheme="majorHAnsi"/>
                <w:sz w:val="24"/>
                <w:szCs w:val="24"/>
              </w:rPr>
              <w:t xml:space="preserve">Nove kreditne pogodbe skladno s ZIUOPOK morajo biti sklenjene po </w:t>
            </w:r>
            <w:r w:rsidR="0009749A">
              <w:rPr>
                <w:rFonts w:asciiTheme="majorHAnsi" w:hAnsiTheme="majorHAnsi" w:cstheme="majorHAnsi"/>
                <w:sz w:val="24"/>
                <w:szCs w:val="24"/>
              </w:rPr>
              <w:t>29</w:t>
            </w:r>
            <w:r w:rsidR="00F043E5">
              <w:rPr>
                <w:rFonts w:asciiTheme="majorHAnsi" w:hAnsiTheme="majorHAnsi" w:cstheme="majorHAnsi"/>
                <w:sz w:val="24"/>
                <w:szCs w:val="24"/>
              </w:rPr>
              <w:t>. 3. 2020.</w:t>
            </w:r>
          </w:p>
          <w:p w14:paraId="4CF9FD7F" w14:textId="77777777" w:rsidR="00A219CC" w:rsidRPr="00F408EA" w:rsidRDefault="00A219CC" w:rsidP="00FD6B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0"/>
                <w:szCs w:val="10"/>
              </w:rPr>
            </w:pPr>
          </w:p>
          <w:p w14:paraId="44393914" w14:textId="1614BF07" w:rsidR="00A219CC" w:rsidRDefault="00A219CC" w:rsidP="00FD6B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408EA">
              <w:rPr>
                <w:rFonts w:asciiTheme="majorHAnsi" w:hAnsiTheme="majorHAnsi" w:cstheme="majorHAnsi"/>
                <w:sz w:val="24"/>
                <w:szCs w:val="24"/>
              </w:rPr>
              <w:t xml:space="preserve">Za kreditojemalca </w:t>
            </w:r>
            <w:r w:rsidR="00F043E5">
              <w:rPr>
                <w:rFonts w:asciiTheme="majorHAnsi" w:hAnsiTheme="majorHAnsi" w:cstheme="majorHAnsi"/>
                <w:sz w:val="24"/>
                <w:szCs w:val="24"/>
              </w:rPr>
              <w:t>vsaka banka</w:t>
            </w:r>
            <w:r w:rsidRPr="00F408EA">
              <w:rPr>
                <w:rFonts w:asciiTheme="majorHAnsi" w:hAnsiTheme="majorHAnsi" w:cstheme="majorHAnsi"/>
                <w:sz w:val="24"/>
                <w:szCs w:val="24"/>
              </w:rPr>
              <w:t xml:space="preserve"> pripravi informacij</w:t>
            </w:r>
            <w:r w:rsidR="00F043E5">
              <w:rPr>
                <w:rFonts w:asciiTheme="majorHAnsi" w:hAnsiTheme="majorHAnsi" w:cstheme="majorHAnsi"/>
                <w:sz w:val="24"/>
                <w:szCs w:val="24"/>
              </w:rPr>
              <w:t>o</w:t>
            </w:r>
            <w:r w:rsidRPr="00F408EA">
              <w:rPr>
                <w:rFonts w:asciiTheme="majorHAnsi" w:hAnsiTheme="majorHAnsi" w:cstheme="majorHAnsi"/>
                <w:sz w:val="24"/>
                <w:szCs w:val="24"/>
              </w:rPr>
              <w:t xml:space="preserve"> o višini odloga, če se ta dogovori z novo kreditno pogodbo skladno z ZIUOPOK</w:t>
            </w:r>
            <w:r w:rsidR="00F043E5">
              <w:rPr>
                <w:rFonts w:asciiTheme="majorHAnsi" w:hAnsiTheme="majorHAnsi" w:cstheme="majorHAnsi"/>
                <w:sz w:val="24"/>
                <w:szCs w:val="24"/>
              </w:rPr>
              <w:t>. Podatke bo kreditojemalec</w:t>
            </w:r>
            <w:r w:rsidRPr="00F408EA">
              <w:rPr>
                <w:rFonts w:asciiTheme="majorHAnsi" w:hAnsiTheme="majorHAnsi" w:cstheme="majorHAnsi"/>
                <w:sz w:val="24"/>
                <w:szCs w:val="24"/>
              </w:rPr>
              <w:t xml:space="preserve"> moral navesti v izjav</w:t>
            </w:r>
            <w:r w:rsidR="00F043E5">
              <w:rPr>
                <w:rFonts w:asciiTheme="majorHAnsi" w:hAnsiTheme="majorHAnsi" w:cstheme="majorHAnsi"/>
                <w:sz w:val="24"/>
                <w:szCs w:val="24"/>
              </w:rPr>
              <w:t>i k vlogi za kredit</w:t>
            </w:r>
            <w:r w:rsidRPr="00F408EA">
              <w:rPr>
                <w:rFonts w:asciiTheme="majorHAnsi" w:hAnsiTheme="majorHAnsi" w:cstheme="majorHAnsi"/>
                <w:sz w:val="24"/>
                <w:szCs w:val="24"/>
              </w:rPr>
              <w:t xml:space="preserve"> pri drugi banki.</w:t>
            </w:r>
          </w:p>
          <w:p w14:paraId="03F8ECD2" w14:textId="240A8FA1" w:rsidR="00A219CC" w:rsidRPr="00F043E5" w:rsidRDefault="00A219CC" w:rsidP="00F043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p>
        </w:tc>
      </w:tr>
    </w:tbl>
    <w:p w14:paraId="5C5EBB51" w14:textId="77777777" w:rsidR="00B428B1" w:rsidRPr="00F408EA" w:rsidRDefault="00B428B1">
      <w:pPr>
        <w:rPr>
          <w:rFonts w:asciiTheme="majorHAnsi" w:hAnsiTheme="majorHAnsi" w:cstheme="majorHAnsi"/>
        </w:rPr>
      </w:pPr>
    </w:p>
    <w:sectPr w:rsidR="00B428B1" w:rsidRPr="00F408EA" w:rsidSect="003306C8">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BDD0" w14:textId="77777777" w:rsidR="000A1EC4" w:rsidRDefault="000A1EC4" w:rsidP="002304C8">
      <w:r>
        <w:separator/>
      </w:r>
    </w:p>
  </w:endnote>
  <w:endnote w:type="continuationSeparator" w:id="0">
    <w:p w14:paraId="5DDE6BA7" w14:textId="77777777" w:rsidR="000A1EC4" w:rsidRDefault="000A1EC4" w:rsidP="002304C8">
      <w:r>
        <w:continuationSeparator/>
      </w:r>
    </w:p>
  </w:endnote>
  <w:endnote w:type="continuationNotice" w:id="1">
    <w:p w14:paraId="55284B5F" w14:textId="77777777" w:rsidR="000A1EC4" w:rsidRDefault="000A1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10222"/>
      <w:docPartObj>
        <w:docPartGallery w:val="Page Numbers (Bottom of Page)"/>
        <w:docPartUnique/>
      </w:docPartObj>
    </w:sdtPr>
    <w:sdtEndPr/>
    <w:sdtContent>
      <w:p w14:paraId="6D94F916" w14:textId="252ECE47" w:rsidR="00695663" w:rsidRDefault="00695663">
        <w:pPr>
          <w:pStyle w:val="Footer"/>
          <w:jc w:val="center"/>
        </w:pPr>
        <w:r>
          <w:fldChar w:fldCharType="begin"/>
        </w:r>
        <w:r>
          <w:instrText>PAGE   \* MERGEFORMAT</w:instrText>
        </w:r>
        <w:r>
          <w:fldChar w:fldCharType="separate"/>
        </w:r>
        <w:r w:rsidR="00BA12B1">
          <w:rPr>
            <w:noProof/>
          </w:rPr>
          <w:t>10</w:t>
        </w:r>
        <w:r>
          <w:fldChar w:fldCharType="end"/>
        </w:r>
      </w:p>
    </w:sdtContent>
  </w:sdt>
  <w:p w14:paraId="58543710" w14:textId="77777777" w:rsidR="00695663" w:rsidRDefault="0069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C69CA" w14:textId="77777777" w:rsidR="000A1EC4" w:rsidRDefault="000A1EC4" w:rsidP="002304C8">
      <w:r>
        <w:separator/>
      </w:r>
    </w:p>
  </w:footnote>
  <w:footnote w:type="continuationSeparator" w:id="0">
    <w:p w14:paraId="74E5ABBD" w14:textId="77777777" w:rsidR="000A1EC4" w:rsidRDefault="000A1EC4" w:rsidP="002304C8">
      <w:r>
        <w:continuationSeparator/>
      </w:r>
    </w:p>
  </w:footnote>
  <w:footnote w:type="continuationNotice" w:id="1">
    <w:p w14:paraId="03E42B98" w14:textId="77777777" w:rsidR="000A1EC4" w:rsidRDefault="000A1E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4F8B" w14:textId="2FC804C8" w:rsidR="00695663" w:rsidRDefault="00695663">
    <w:pPr>
      <w:pStyle w:val="Header"/>
    </w:pPr>
    <w:r>
      <w:t>Seznam členov po ZDLGPE z možnimi dokazili</w:t>
    </w:r>
  </w:p>
  <w:p w14:paraId="3D353C6B" w14:textId="26732A1D" w:rsidR="00695663" w:rsidRPr="00576B10" w:rsidRDefault="00695663" w:rsidP="00D91369">
    <w:pPr>
      <w:rPr>
        <w:sz w:val="20"/>
        <w:szCs w:val="20"/>
      </w:rPr>
    </w:pP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rPr>
        <w:b/>
        <w:bCs/>
        <w:color w:val="7030A0"/>
        <w:sz w:val="24"/>
        <w:szCs w:val="24"/>
      </w:rPr>
      <w:tab/>
    </w:r>
    <w:r>
      <w:tab/>
    </w:r>
    <w:r>
      <w:tab/>
    </w:r>
    <w:r>
      <w:tab/>
    </w:r>
  </w:p>
  <w:p w14:paraId="3E0C0BAE" w14:textId="247D951F" w:rsidR="00695663" w:rsidRPr="00576B10" w:rsidRDefault="00695663" w:rsidP="00D9136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822"/>
    <w:multiLevelType w:val="multilevel"/>
    <w:tmpl w:val="1098F71A"/>
    <w:lvl w:ilvl="0">
      <w:start w:val="1"/>
      <w:numFmt w:val="bullet"/>
      <w:lvlText w:val=""/>
      <w:lvlJc w:val="left"/>
      <w:pPr>
        <w:tabs>
          <w:tab w:val="num" w:pos="6520"/>
        </w:tabs>
        <w:ind w:left="6520" w:hanging="360"/>
      </w:pPr>
      <w:rPr>
        <w:rFonts w:ascii="Symbol" w:hAnsi="Symbol" w:hint="default"/>
        <w:sz w:val="20"/>
      </w:rPr>
    </w:lvl>
    <w:lvl w:ilvl="1">
      <w:start w:val="1"/>
      <w:numFmt w:val="bullet"/>
      <w:lvlText w:val=""/>
      <w:lvlJc w:val="left"/>
      <w:pPr>
        <w:tabs>
          <w:tab w:val="num" w:pos="7240"/>
        </w:tabs>
        <w:ind w:left="7240" w:hanging="360"/>
      </w:pPr>
      <w:rPr>
        <w:rFonts w:ascii="Symbol" w:hAnsi="Symbol" w:hint="default"/>
        <w:sz w:val="20"/>
      </w:rPr>
    </w:lvl>
    <w:lvl w:ilvl="2">
      <w:start w:val="1"/>
      <w:numFmt w:val="bullet"/>
      <w:lvlText w:val=""/>
      <w:lvlJc w:val="left"/>
      <w:pPr>
        <w:tabs>
          <w:tab w:val="num" w:pos="7960"/>
        </w:tabs>
        <w:ind w:left="7960" w:hanging="360"/>
      </w:pPr>
      <w:rPr>
        <w:rFonts w:ascii="Symbol" w:hAnsi="Symbol" w:hint="default"/>
        <w:sz w:val="20"/>
      </w:rPr>
    </w:lvl>
    <w:lvl w:ilvl="3">
      <w:start w:val="1"/>
      <w:numFmt w:val="bullet"/>
      <w:lvlText w:val=""/>
      <w:lvlJc w:val="left"/>
      <w:pPr>
        <w:tabs>
          <w:tab w:val="num" w:pos="8680"/>
        </w:tabs>
        <w:ind w:left="8680" w:hanging="360"/>
      </w:pPr>
      <w:rPr>
        <w:rFonts w:ascii="Symbol" w:hAnsi="Symbol" w:hint="default"/>
        <w:sz w:val="20"/>
      </w:rPr>
    </w:lvl>
    <w:lvl w:ilvl="4">
      <w:start w:val="1"/>
      <w:numFmt w:val="bullet"/>
      <w:lvlText w:val=""/>
      <w:lvlJc w:val="left"/>
      <w:pPr>
        <w:tabs>
          <w:tab w:val="num" w:pos="9400"/>
        </w:tabs>
        <w:ind w:left="9400" w:hanging="360"/>
      </w:pPr>
      <w:rPr>
        <w:rFonts w:ascii="Symbol" w:hAnsi="Symbol" w:hint="default"/>
        <w:sz w:val="20"/>
      </w:rPr>
    </w:lvl>
    <w:lvl w:ilvl="5">
      <w:start w:val="1"/>
      <w:numFmt w:val="bullet"/>
      <w:lvlText w:val=""/>
      <w:lvlJc w:val="left"/>
      <w:pPr>
        <w:tabs>
          <w:tab w:val="num" w:pos="10120"/>
        </w:tabs>
        <w:ind w:left="10120" w:hanging="360"/>
      </w:pPr>
      <w:rPr>
        <w:rFonts w:ascii="Symbol" w:hAnsi="Symbol" w:hint="default"/>
        <w:sz w:val="20"/>
      </w:rPr>
    </w:lvl>
    <w:lvl w:ilvl="6">
      <w:start w:val="1"/>
      <w:numFmt w:val="bullet"/>
      <w:lvlText w:val=""/>
      <w:lvlJc w:val="left"/>
      <w:pPr>
        <w:tabs>
          <w:tab w:val="num" w:pos="10840"/>
        </w:tabs>
        <w:ind w:left="10840" w:hanging="360"/>
      </w:pPr>
      <w:rPr>
        <w:rFonts w:ascii="Symbol" w:hAnsi="Symbol" w:hint="default"/>
        <w:sz w:val="20"/>
      </w:rPr>
    </w:lvl>
    <w:lvl w:ilvl="7">
      <w:start w:val="1"/>
      <w:numFmt w:val="bullet"/>
      <w:lvlText w:val=""/>
      <w:lvlJc w:val="left"/>
      <w:pPr>
        <w:tabs>
          <w:tab w:val="num" w:pos="11560"/>
        </w:tabs>
        <w:ind w:left="11560" w:hanging="360"/>
      </w:pPr>
      <w:rPr>
        <w:rFonts w:ascii="Symbol" w:hAnsi="Symbol" w:hint="default"/>
        <w:sz w:val="20"/>
      </w:rPr>
    </w:lvl>
    <w:lvl w:ilvl="8">
      <w:start w:val="1"/>
      <w:numFmt w:val="bullet"/>
      <w:lvlText w:val=""/>
      <w:lvlJc w:val="left"/>
      <w:pPr>
        <w:tabs>
          <w:tab w:val="num" w:pos="12280"/>
        </w:tabs>
        <w:ind w:left="12280" w:hanging="360"/>
      </w:pPr>
      <w:rPr>
        <w:rFonts w:ascii="Symbol" w:hAnsi="Symbol" w:hint="default"/>
        <w:sz w:val="20"/>
      </w:rPr>
    </w:lvl>
  </w:abstractNum>
  <w:abstractNum w:abstractNumId="1">
    <w:nsid w:val="014143C7"/>
    <w:multiLevelType w:val="hybridMultilevel"/>
    <w:tmpl w:val="2FC6371A"/>
    <w:lvl w:ilvl="0" w:tplc="ED6CDAD8">
      <w:numFmt w:val="bullet"/>
      <w:lvlText w:val="-"/>
      <w:lvlJc w:val="left"/>
      <w:pPr>
        <w:ind w:left="720" w:hanging="360"/>
      </w:pPr>
      <w:rPr>
        <w:rFonts w:ascii="Calibri" w:eastAsia="Calibri" w:hAnsi="Calibri" w:cs="Calibri" w:hint="default"/>
        <w:b/>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49B6D8F"/>
    <w:multiLevelType w:val="hybridMultilevel"/>
    <w:tmpl w:val="F2625D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7D6ADA"/>
    <w:multiLevelType w:val="hybridMultilevel"/>
    <w:tmpl w:val="D826E2F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C0554E1"/>
    <w:multiLevelType w:val="hybridMultilevel"/>
    <w:tmpl w:val="7F5EA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1A6333"/>
    <w:multiLevelType w:val="hybridMultilevel"/>
    <w:tmpl w:val="7F5EA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E470D2"/>
    <w:multiLevelType w:val="hybridMultilevel"/>
    <w:tmpl w:val="B882D260"/>
    <w:lvl w:ilvl="0" w:tplc="0F8AA014">
      <w:start w:val="2"/>
      <w:numFmt w:val="bullet"/>
      <w:lvlText w:val="-"/>
      <w:lvlJc w:val="left"/>
      <w:pPr>
        <w:ind w:left="720" w:hanging="360"/>
      </w:pPr>
      <w:rPr>
        <w:rFonts w:ascii="CIDFont+F2" w:eastAsiaTheme="minorHAnsi"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EB02B6"/>
    <w:multiLevelType w:val="hybridMultilevel"/>
    <w:tmpl w:val="348653B2"/>
    <w:lvl w:ilvl="0" w:tplc="3730BD1A">
      <w:start w:val="5"/>
      <w:numFmt w:val="bullet"/>
      <w:lvlText w:val=""/>
      <w:lvlJc w:val="left"/>
      <w:pPr>
        <w:ind w:left="720" w:hanging="360"/>
      </w:pPr>
      <w:rPr>
        <w:rFonts w:ascii="Wingdings" w:eastAsiaTheme="minorHAns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344BD5"/>
    <w:multiLevelType w:val="hybridMultilevel"/>
    <w:tmpl w:val="A3742900"/>
    <w:lvl w:ilvl="0" w:tplc="67DA886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B4906D4"/>
    <w:multiLevelType w:val="hybridMultilevel"/>
    <w:tmpl w:val="2818A74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D13C84"/>
    <w:multiLevelType w:val="hybridMultilevel"/>
    <w:tmpl w:val="424814E6"/>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663D43"/>
    <w:multiLevelType w:val="hybridMultilevel"/>
    <w:tmpl w:val="06CE86A0"/>
    <w:lvl w:ilvl="0" w:tplc="CFAA6648">
      <w:start w:val="5"/>
      <w:numFmt w:val="lowerLetter"/>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2E2C17"/>
    <w:multiLevelType w:val="hybridMultilevel"/>
    <w:tmpl w:val="BDACF66C"/>
    <w:lvl w:ilvl="0" w:tplc="90440B8E">
      <w:start w:val="2"/>
      <w:numFmt w:val="bullet"/>
      <w:lvlText w:val="-"/>
      <w:lvlJc w:val="left"/>
      <w:pPr>
        <w:ind w:left="720" w:hanging="360"/>
      </w:pPr>
      <w:rPr>
        <w:rFonts w:ascii="CIDFont+F2" w:eastAsiaTheme="minorHAnsi"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9B5E18"/>
    <w:multiLevelType w:val="hybridMultilevel"/>
    <w:tmpl w:val="424814E6"/>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7E7223"/>
    <w:multiLevelType w:val="hybridMultilevel"/>
    <w:tmpl w:val="E5A44E08"/>
    <w:lvl w:ilvl="0" w:tplc="2676C884">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593B88"/>
    <w:multiLevelType w:val="hybridMultilevel"/>
    <w:tmpl w:val="7750D99C"/>
    <w:lvl w:ilvl="0" w:tplc="E4BEC86C">
      <w:start w:val="3"/>
      <w:numFmt w:val="bullet"/>
      <w:lvlText w:val="-"/>
      <w:lvlJc w:val="left"/>
      <w:pPr>
        <w:ind w:left="720" w:hanging="360"/>
      </w:pPr>
      <w:rPr>
        <w:rFonts w:ascii="Calibri" w:eastAsiaTheme="minorHAnsi" w:hAnsi="Calibri" w:cstheme="minorBid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65200D"/>
    <w:multiLevelType w:val="hybridMultilevel"/>
    <w:tmpl w:val="B3EAB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D5143AD"/>
    <w:multiLevelType w:val="hybridMultilevel"/>
    <w:tmpl w:val="6EEA69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2D914754"/>
    <w:multiLevelType w:val="hybridMultilevel"/>
    <w:tmpl w:val="C83070F4"/>
    <w:lvl w:ilvl="0" w:tplc="FB00E39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07E012B"/>
    <w:multiLevelType w:val="hybridMultilevel"/>
    <w:tmpl w:val="424814E6"/>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1A76AD"/>
    <w:multiLevelType w:val="hybridMultilevel"/>
    <w:tmpl w:val="0F2C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D9376AA"/>
    <w:multiLevelType w:val="hybridMultilevel"/>
    <w:tmpl w:val="54408612"/>
    <w:lvl w:ilvl="0" w:tplc="455A1E36">
      <w:start w:val="1"/>
      <w:numFmt w:val="decimal"/>
      <w:lvlText w:val="%1."/>
      <w:lvlJc w:val="left"/>
      <w:pPr>
        <w:ind w:left="720" w:hanging="360"/>
      </w:pPr>
      <w:rPr>
        <w:rFonts w:ascii="Calibri" w:hAnsi="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4CE4CF8"/>
    <w:multiLevelType w:val="multilevel"/>
    <w:tmpl w:val="013A5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0C00D7"/>
    <w:multiLevelType w:val="hybridMultilevel"/>
    <w:tmpl w:val="424814E6"/>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387C28"/>
    <w:multiLevelType w:val="hybridMultilevel"/>
    <w:tmpl w:val="F9EA2C46"/>
    <w:lvl w:ilvl="0" w:tplc="EED05A16">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8F80D42"/>
    <w:multiLevelType w:val="hybridMultilevel"/>
    <w:tmpl w:val="C83070F4"/>
    <w:lvl w:ilvl="0" w:tplc="FB00E39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9592771"/>
    <w:multiLevelType w:val="hybridMultilevel"/>
    <w:tmpl w:val="0F2C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7A0AB5"/>
    <w:multiLevelType w:val="hybridMultilevel"/>
    <w:tmpl w:val="43440248"/>
    <w:lvl w:ilvl="0" w:tplc="04240017">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CF5162F"/>
    <w:multiLevelType w:val="hybridMultilevel"/>
    <w:tmpl w:val="6DA84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DFD226C"/>
    <w:multiLevelType w:val="hybridMultilevel"/>
    <w:tmpl w:val="83421E1A"/>
    <w:lvl w:ilvl="0" w:tplc="BDF84A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ED87558"/>
    <w:multiLevelType w:val="hybridMultilevel"/>
    <w:tmpl w:val="0764EF76"/>
    <w:lvl w:ilvl="0" w:tplc="FE64C8B6">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0AD33D7"/>
    <w:multiLevelType w:val="hybridMultilevel"/>
    <w:tmpl w:val="3E08032C"/>
    <w:lvl w:ilvl="0" w:tplc="14CC42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796374"/>
    <w:multiLevelType w:val="hybridMultilevel"/>
    <w:tmpl w:val="2818A74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5403DE9"/>
    <w:multiLevelType w:val="hybridMultilevel"/>
    <w:tmpl w:val="90DAA812"/>
    <w:lvl w:ilvl="0" w:tplc="F5E4BD16">
      <w:start w:val="1"/>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9D92426"/>
    <w:multiLevelType w:val="hybridMultilevel"/>
    <w:tmpl w:val="74A4147E"/>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EC58F4"/>
    <w:multiLevelType w:val="hybridMultilevel"/>
    <w:tmpl w:val="9AB0D9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5FBB4285"/>
    <w:multiLevelType w:val="hybridMultilevel"/>
    <w:tmpl w:val="5EC07C46"/>
    <w:lvl w:ilvl="0" w:tplc="04240011">
      <w:start w:val="1"/>
      <w:numFmt w:val="decimal"/>
      <w:lvlText w:val="%1)"/>
      <w:lvlJc w:val="left"/>
      <w:pPr>
        <w:ind w:left="720" w:hanging="360"/>
      </w:pPr>
      <w:rPr>
        <w:rFonts w:hint="default"/>
      </w:rPr>
    </w:lvl>
    <w:lvl w:ilvl="1" w:tplc="F5E4BD16">
      <w:start w:val="1"/>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E215AF"/>
    <w:multiLevelType w:val="hybridMultilevel"/>
    <w:tmpl w:val="9D3A22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nsid w:val="663136BF"/>
    <w:multiLevelType w:val="hybridMultilevel"/>
    <w:tmpl w:val="2818A74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8111D5A"/>
    <w:multiLevelType w:val="hybridMultilevel"/>
    <w:tmpl w:val="8598806C"/>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9411D9D"/>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9EE1DCB"/>
    <w:multiLevelType w:val="hybridMultilevel"/>
    <w:tmpl w:val="53E6005C"/>
    <w:lvl w:ilvl="0" w:tplc="13B08314">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BC53268"/>
    <w:multiLevelType w:val="hybridMultilevel"/>
    <w:tmpl w:val="D86A08B6"/>
    <w:lvl w:ilvl="0" w:tplc="0424000F">
      <w:start w:val="1"/>
      <w:numFmt w:val="decimal"/>
      <w:lvlText w:val="%1."/>
      <w:lvlJc w:val="left"/>
      <w:pPr>
        <w:ind w:left="1080" w:hanging="72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DA52866"/>
    <w:multiLevelType w:val="hybridMultilevel"/>
    <w:tmpl w:val="424814E6"/>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DEF2C04"/>
    <w:multiLevelType w:val="hybridMultilevel"/>
    <w:tmpl w:val="E33E4ED6"/>
    <w:lvl w:ilvl="0" w:tplc="81760908">
      <w:start w:val="2"/>
      <w:numFmt w:val="bullet"/>
      <w:lvlText w:val="-"/>
      <w:lvlJc w:val="left"/>
      <w:pPr>
        <w:ind w:left="1080" w:hanging="360"/>
      </w:pPr>
      <w:rPr>
        <w:rFonts w:ascii="Calibri Light" w:eastAsiaTheme="minorHAnsi" w:hAnsi="Calibri Light" w:cs="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6E574A1E"/>
    <w:multiLevelType w:val="hybridMultilevel"/>
    <w:tmpl w:val="8092F572"/>
    <w:lvl w:ilvl="0" w:tplc="F1F0215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094297E"/>
    <w:multiLevelType w:val="hybridMultilevel"/>
    <w:tmpl w:val="74A4147E"/>
    <w:lvl w:ilvl="0" w:tplc="2676C884">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14944F2"/>
    <w:multiLevelType w:val="hybridMultilevel"/>
    <w:tmpl w:val="7E2CC602"/>
    <w:lvl w:ilvl="0" w:tplc="A01A92F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38A4BFB"/>
    <w:multiLevelType w:val="hybridMultilevel"/>
    <w:tmpl w:val="C83070F4"/>
    <w:lvl w:ilvl="0" w:tplc="FB00E39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51C7A3B"/>
    <w:multiLevelType w:val="multilevel"/>
    <w:tmpl w:val="F878C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A2F2EF9"/>
    <w:multiLevelType w:val="hybridMultilevel"/>
    <w:tmpl w:val="65C007D2"/>
    <w:lvl w:ilvl="0" w:tplc="FE64C8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D740D20"/>
    <w:multiLevelType w:val="hybridMultilevel"/>
    <w:tmpl w:val="281E6D84"/>
    <w:lvl w:ilvl="0" w:tplc="6EAA139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nsid w:val="7F054467"/>
    <w:multiLevelType w:val="hybridMultilevel"/>
    <w:tmpl w:val="2B42084E"/>
    <w:lvl w:ilvl="0" w:tplc="9990BAE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F6E72C7"/>
    <w:multiLevelType w:val="hybridMultilevel"/>
    <w:tmpl w:val="264CA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49"/>
  </w:num>
  <w:num w:numId="4">
    <w:abstractNumId w:val="46"/>
  </w:num>
  <w:num w:numId="5">
    <w:abstractNumId w:val="10"/>
  </w:num>
  <w:num w:numId="6">
    <w:abstractNumId w:val="32"/>
  </w:num>
  <w:num w:numId="7">
    <w:abstractNumId w:val="39"/>
  </w:num>
  <w:num w:numId="8">
    <w:abstractNumId w:val="43"/>
  </w:num>
  <w:num w:numId="9">
    <w:abstractNumId w:val="51"/>
  </w:num>
  <w:num w:numId="10">
    <w:abstractNumId w:val="50"/>
  </w:num>
  <w:num w:numId="11">
    <w:abstractNumId w:val="30"/>
  </w:num>
  <w:num w:numId="12">
    <w:abstractNumId w:val="15"/>
  </w:num>
  <w:num w:numId="13">
    <w:abstractNumId w:val="16"/>
  </w:num>
  <w:num w:numId="14">
    <w:abstractNumId w:val="5"/>
  </w:num>
  <w:num w:numId="15">
    <w:abstractNumId w:val="38"/>
  </w:num>
  <w:num w:numId="16">
    <w:abstractNumId w:val="33"/>
  </w:num>
  <w:num w:numId="17">
    <w:abstractNumId w:val="9"/>
  </w:num>
  <w:num w:numId="18">
    <w:abstractNumId w:val="20"/>
  </w:num>
  <w:num w:numId="19">
    <w:abstractNumId w:val="26"/>
  </w:num>
  <w:num w:numId="20">
    <w:abstractNumId w:val="53"/>
  </w:num>
  <w:num w:numId="21">
    <w:abstractNumId w:val="34"/>
  </w:num>
  <w:num w:numId="22">
    <w:abstractNumId w:val="7"/>
  </w:num>
  <w:num w:numId="23">
    <w:abstractNumId w:val="4"/>
  </w:num>
  <w:num w:numId="24">
    <w:abstractNumId w:val="36"/>
  </w:num>
  <w:num w:numId="25">
    <w:abstractNumId w:val="27"/>
  </w:num>
  <w:num w:numId="26">
    <w:abstractNumId w:val="42"/>
  </w:num>
  <w:num w:numId="27">
    <w:abstractNumId w:val="28"/>
  </w:num>
  <w:num w:numId="28">
    <w:abstractNumId w:val="6"/>
  </w:num>
  <w:num w:numId="29">
    <w:abstractNumId w:val="31"/>
  </w:num>
  <w:num w:numId="30">
    <w:abstractNumId w:val="3"/>
  </w:num>
  <w:num w:numId="31">
    <w:abstractNumId w:val="19"/>
  </w:num>
  <w:num w:numId="32">
    <w:abstractNumId w:val="17"/>
  </w:num>
  <w:num w:numId="33">
    <w:abstractNumId w:val="35"/>
  </w:num>
  <w:num w:numId="34">
    <w:abstractNumId w:val="14"/>
  </w:num>
  <w:num w:numId="35">
    <w:abstractNumId w:val="47"/>
  </w:num>
  <w:num w:numId="36">
    <w:abstractNumId w:val="2"/>
  </w:num>
  <w:num w:numId="37">
    <w:abstractNumId w:val="13"/>
  </w:num>
  <w:num w:numId="38">
    <w:abstractNumId w:val="37"/>
  </w:num>
  <w:num w:numId="39">
    <w:abstractNumId w:val="29"/>
  </w:num>
  <w:num w:numId="40">
    <w:abstractNumId w:val="5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1"/>
  </w:num>
  <w:num w:numId="45">
    <w:abstractNumId w:val="5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1"/>
  </w:num>
  <w:num w:numId="49">
    <w:abstractNumId w:val="41"/>
  </w:num>
  <w:num w:numId="50">
    <w:abstractNumId w:val="23"/>
  </w:num>
  <w:num w:numId="51">
    <w:abstractNumId w:val="8"/>
  </w:num>
  <w:num w:numId="52">
    <w:abstractNumId w:val="48"/>
  </w:num>
  <w:num w:numId="53">
    <w:abstractNumId w:val="18"/>
  </w:num>
  <w:num w:numId="54">
    <w:abstractNumId w:val="45"/>
  </w:num>
  <w:num w:numId="55">
    <w:abstractNumId w:val="0"/>
  </w:num>
  <w:num w:numId="56">
    <w:abstractNumId w:val="44"/>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DC"/>
    <w:rsid w:val="000007EA"/>
    <w:rsid w:val="00001F98"/>
    <w:rsid w:val="00004223"/>
    <w:rsid w:val="00004514"/>
    <w:rsid w:val="00004BCF"/>
    <w:rsid w:val="000072CB"/>
    <w:rsid w:val="00011523"/>
    <w:rsid w:val="00013081"/>
    <w:rsid w:val="00014484"/>
    <w:rsid w:val="00014B3F"/>
    <w:rsid w:val="00016727"/>
    <w:rsid w:val="0001692B"/>
    <w:rsid w:val="00021C36"/>
    <w:rsid w:val="00023798"/>
    <w:rsid w:val="0002526E"/>
    <w:rsid w:val="000265DF"/>
    <w:rsid w:val="0003363B"/>
    <w:rsid w:val="000402BC"/>
    <w:rsid w:val="0004037D"/>
    <w:rsid w:val="0004399A"/>
    <w:rsid w:val="00050BC2"/>
    <w:rsid w:val="000522D4"/>
    <w:rsid w:val="0006250B"/>
    <w:rsid w:val="0006348F"/>
    <w:rsid w:val="0006562B"/>
    <w:rsid w:val="00067208"/>
    <w:rsid w:val="0007067D"/>
    <w:rsid w:val="00070AA5"/>
    <w:rsid w:val="000718BF"/>
    <w:rsid w:val="00085DC4"/>
    <w:rsid w:val="000869F6"/>
    <w:rsid w:val="000874B5"/>
    <w:rsid w:val="000878C6"/>
    <w:rsid w:val="0009352B"/>
    <w:rsid w:val="000947AF"/>
    <w:rsid w:val="00095EFE"/>
    <w:rsid w:val="00096A72"/>
    <w:rsid w:val="0009749A"/>
    <w:rsid w:val="000A191E"/>
    <w:rsid w:val="000A1EC4"/>
    <w:rsid w:val="000A4A46"/>
    <w:rsid w:val="000A6D71"/>
    <w:rsid w:val="000B394E"/>
    <w:rsid w:val="000C3EEA"/>
    <w:rsid w:val="000C5D3A"/>
    <w:rsid w:val="000D30AB"/>
    <w:rsid w:val="000D780D"/>
    <w:rsid w:val="000E74D9"/>
    <w:rsid w:val="000F00D7"/>
    <w:rsid w:val="000F536B"/>
    <w:rsid w:val="000F58E3"/>
    <w:rsid w:val="000F721A"/>
    <w:rsid w:val="000F7D6C"/>
    <w:rsid w:val="00102ACE"/>
    <w:rsid w:val="001033DB"/>
    <w:rsid w:val="001036A5"/>
    <w:rsid w:val="00111607"/>
    <w:rsid w:val="00112088"/>
    <w:rsid w:val="00114CBE"/>
    <w:rsid w:val="0011667F"/>
    <w:rsid w:val="00120B35"/>
    <w:rsid w:val="00121E89"/>
    <w:rsid w:val="0012367C"/>
    <w:rsid w:val="00130481"/>
    <w:rsid w:val="00130F55"/>
    <w:rsid w:val="001352BB"/>
    <w:rsid w:val="001456DE"/>
    <w:rsid w:val="001629CD"/>
    <w:rsid w:val="001666F7"/>
    <w:rsid w:val="00173517"/>
    <w:rsid w:val="00183852"/>
    <w:rsid w:val="00186F99"/>
    <w:rsid w:val="00191D5B"/>
    <w:rsid w:val="00194A66"/>
    <w:rsid w:val="00194D07"/>
    <w:rsid w:val="00195AD5"/>
    <w:rsid w:val="00195FBB"/>
    <w:rsid w:val="001C5FA6"/>
    <w:rsid w:val="001D5D1A"/>
    <w:rsid w:val="001E156F"/>
    <w:rsid w:val="001E359D"/>
    <w:rsid w:val="001E4A2E"/>
    <w:rsid w:val="001E5378"/>
    <w:rsid w:val="001E5A41"/>
    <w:rsid w:val="001F1D36"/>
    <w:rsid w:val="001F58CD"/>
    <w:rsid w:val="001F6249"/>
    <w:rsid w:val="002004AE"/>
    <w:rsid w:val="00202166"/>
    <w:rsid w:val="00207FF7"/>
    <w:rsid w:val="00210151"/>
    <w:rsid w:val="00212717"/>
    <w:rsid w:val="00215558"/>
    <w:rsid w:val="00217BBF"/>
    <w:rsid w:val="00223F3D"/>
    <w:rsid w:val="00224181"/>
    <w:rsid w:val="0023041F"/>
    <w:rsid w:val="002304C8"/>
    <w:rsid w:val="002365C3"/>
    <w:rsid w:val="002527B4"/>
    <w:rsid w:val="00255F01"/>
    <w:rsid w:val="00263458"/>
    <w:rsid w:val="00263CB7"/>
    <w:rsid w:val="0026491E"/>
    <w:rsid w:val="00264FEB"/>
    <w:rsid w:val="00271838"/>
    <w:rsid w:val="002756FA"/>
    <w:rsid w:val="00277393"/>
    <w:rsid w:val="002872AE"/>
    <w:rsid w:val="00290060"/>
    <w:rsid w:val="00292F99"/>
    <w:rsid w:val="002973D8"/>
    <w:rsid w:val="002A2701"/>
    <w:rsid w:val="002A5E2A"/>
    <w:rsid w:val="002B3D99"/>
    <w:rsid w:val="002B49B7"/>
    <w:rsid w:val="002B6B80"/>
    <w:rsid w:val="002C021E"/>
    <w:rsid w:val="002C42F5"/>
    <w:rsid w:val="002C6273"/>
    <w:rsid w:val="002D79B5"/>
    <w:rsid w:val="002E19A1"/>
    <w:rsid w:val="002E2F17"/>
    <w:rsid w:val="002E2FB6"/>
    <w:rsid w:val="002E3F04"/>
    <w:rsid w:val="002E5B14"/>
    <w:rsid w:val="002F6782"/>
    <w:rsid w:val="00301834"/>
    <w:rsid w:val="00301F27"/>
    <w:rsid w:val="003033B0"/>
    <w:rsid w:val="0030689D"/>
    <w:rsid w:val="00307457"/>
    <w:rsid w:val="00316B1B"/>
    <w:rsid w:val="00317262"/>
    <w:rsid w:val="00321377"/>
    <w:rsid w:val="00330598"/>
    <w:rsid w:val="003306C8"/>
    <w:rsid w:val="00332DAF"/>
    <w:rsid w:val="003442F7"/>
    <w:rsid w:val="0034652D"/>
    <w:rsid w:val="003501D0"/>
    <w:rsid w:val="00356D57"/>
    <w:rsid w:val="00357120"/>
    <w:rsid w:val="003639D8"/>
    <w:rsid w:val="00366F51"/>
    <w:rsid w:val="003675B2"/>
    <w:rsid w:val="00374DD5"/>
    <w:rsid w:val="00380A3A"/>
    <w:rsid w:val="0038246C"/>
    <w:rsid w:val="00384E21"/>
    <w:rsid w:val="00387CA0"/>
    <w:rsid w:val="00390585"/>
    <w:rsid w:val="00391822"/>
    <w:rsid w:val="003937A3"/>
    <w:rsid w:val="003953BF"/>
    <w:rsid w:val="003A1903"/>
    <w:rsid w:val="003A55AF"/>
    <w:rsid w:val="003A7A47"/>
    <w:rsid w:val="003B15C9"/>
    <w:rsid w:val="003B5068"/>
    <w:rsid w:val="003C3DCD"/>
    <w:rsid w:val="003D1CAF"/>
    <w:rsid w:val="003D1DFB"/>
    <w:rsid w:val="003E7FF5"/>
    <w:rsid w:val="003F1234"/>
    <w:rsid w:val="003F26B0"/>
    <w:rsid w:val="004007BA"/>
    <w:rsid w:val="0040114E"/>
    <w:rsid w:val="004022C9"/>
    <w:rsid w:val="00402407"/>
    <w:rsid w:val="0040353D"/>
    <w:rsid w:val="00406EA5"/>
    <w:rsid w:val="00412495"/>
    <w:rsid w:val="00412872"/>
    <w:rsid w:val="00416208"/>
    <w:rsid w:val="00422947"/>
    <w:rsid w:val="00423EF7"/>
    <w:rsid w:val="004268EB"/>
    <w:rsid w:val="00427A37"/>
    <w:rsid w:val="00432E12"/>
    <w:rsid w:val="0043550C"/>
    <w:rsid w:val="00437681"/>
    <w:rsid w:val="0044169C"/>
    <w:rsid w:val="00441722"/>
    <w:rsid w:val="00443721"/>
    <w:rsid w:val="004453B5"/>
    <w:rsid w:val="00446220"/>
    <w:rsid w:val="00450D90"/>
    <w:rsid w:val="0045277F"/>
    <w:rsid w:val="0045719B"/>
    <w:rsid w:val="00463233"/>
    <w:rsid w:val="0046515E"/>
    <w:rsid w:val="00467DC1"/>
    <w:rsid w:val="00474635"/>
    <w:rsid w:val="00476675"/>
    <w:rsid w:val="0048369D"/>
    <w:rsid w:val="00483A73"/>
    <w:rsid w:val="00484403"/>
    <w:rsid w:val="00487186"/>
    <w:rsid w:val="004A42C1"/>
    <w:rsid w:val="004A5522"/>
    <w:rsid w:val="004C1843"/>
    <w:rsid w:val="004C3C05"/>
    <w:rsid w:val="004C3F2D"/>
    <w:rsid w:val="004C500D"/>
    <w:rsid w:val="004C7C0D"/>
    <w:rsid w:val="004D1155"/>
    <w:rsid w:val="004D771A"/>
    <w:rsid w:val="004E3B59"/>
    <w:rsid w:val="004F02DF"/>
    <w:rsid w:val="004F1472"/>
    <w:rsid w:val="004F3D14"/>
    <w:rsid w:val="004F3E51"/>
    <w:rsid w:val="00500669"/>
    <w:rsid w:val="00505F61"/>
    <w:rsid w:val="00512873"/>
    <w:rsid w:val="00514171"/>
    <w:rsid w:val="00515A8B"/>
    <w:rsid w:val="00516165"/>
    <w:rsid w:val="0051619E"/>
    <w:rsid w:val="005170CF"/>
    <w:rsid w:val="0052013C"/>
    <w:rsid w:val="005209F2"/>
    <w:rsid w:val="00522B56"/>
    <w:rsid w:val="00526E78"/>
    <w:rsid w:val="00530469"/>
    <w:rsid w:val="005312A1"/>
    <w:rsid w:val="00534069"/>
    <w:rsid w:val="00534989"/>
    <w:rsid w:val="00535834"/>
    <w:rsid w:val="00537793"/>
    <w:rsid w:val="00543F03"/>
    <w:rsid w:val="0054474B"/>
    <w:rsid w:val="0055316B"/>
    <w:rsid w:val="00562A80"/>
    <w:rsid w:val="005637C2"/>
    <w:rsid w:val="00565914"/>
    <w:rsid w:val="00566159"/>
    <w:rsid w:val="005665E3"/>
    <w:rsid w:val="00566A4D"/>
    <w:rsid w:val="00566D9C"/>
    <w:rsid w:val="00574909"/>
    <w:rsid w:val="00576483"/>
    <w:rsid w:val="00576B10"/>
    <w:rsid w:val="00577F4F"/>
    <w:rsid w:val="005803C4"/>
    <w:rsid w:val="00580FC7"/>
    <w:rsid w:val="00582695"/>
    <w:rsid w:val="00582BDB"/>
    <w:rsid w:val="00590C2C"/>
    <w:rsid w:val="0059118F"/>
    <w:rsid w:val="00592CCE"/>
    <w:rsid w:val="00593997"/>
    <w:rsid w:val="005948E7"/>
    <w:rsid w:val="005962E3"/>
    <w:rsid w:val="005A12C4"/>
    <w:rsid w:val="005A6B1F"/>
    <w:rsid w:val="005B079B"/>
    <w:rsid w:val="005B16AA"/>
    <w:rsid w:val="005B62F5"/>
    <w:rsid w:val="005C0E30"/>
    <w:rsid w:val="005C3EE5"/>
    <w:rsid w:val="005E6341"/>
    <w:rsid w:val="005F0A92"/>
    <w:rsid w:val="005F223B"/>
    <w:rsid w:val="005F3C83"/>
    <w:rsid w:val="00600943"/>
    <w:rsid w:val="00600E72"/>
    <w:rsid w:val="006045F9"/>
    <w:rsid w:val="00612FC0"/>
    <w:rsid w:val="006139E1"/>
    <w:rsid w:val="00615BCB"/>
    <w:rsid w:val="00615D6F"/>
    <w:rsid w:val="00616323"/>
    <w:rsid w:val="00616C04"/>
    <w:rsid w:val="0061730D"/>
    <w:rsid w:val="006224B3"/>
    <w:rsid w:val="00627497"/>
    <w:rsid w:val="00635B23"/>
    <w:rsid w:val="00637C01"/>
    <w:rsid w:val="006418F1"/>
    <w:rsid w:val="00642400"/>
    <w:rsid w:val="00643C19"/>
    <w:rsid w:val="006465F7"/>
    <w:rsid w:val="00662756"/>
    <w:rsid w:val="00662DD3"/>
    <w:rsid w:val="00662E09"/>
    <w:rsid w:val="00662EB8"/>
    <w:rsid w:val="0066532A"/>
    <w:rsid w:val="006706C9"/>
    <w:rsid w:val="00670C60"/>
    <w:rsid w:val="0067162B"/>
    <w:rsid w:val="00673664"/>
    <w:rsid w:val="00674E24"/>
    <w:rsid w:val="00675AFE"/>
    <w:rsid w:val="00681AB7"/>
    <w:rsid w:val="0068243A"/>
    <w:rsid w:val="00686BAD"/>
    <w:rsid w:val="00686CC3"/>
    <w:rsid w:val="00687589"/>
    <w:rsid w:val="00690A31"/>
    <w:rsid w:val="0069286D"/>
    <w:rsid w:val="00695663"/>
    <w:rsid w:val="00696604"/>
    <w:rsid w:val="006A1BFE"/>
    <w:rsid w:val="006A409B"/>
    <w:rsid w:val="006A4754"/>
    <w:rsid w:val="006B1AA8"/>
    <w:rsid w:val="006B1EFB"/>
    <w:rsid w:val="006B33E6"/>
    <w:rsid w:val="006B3D56"/>
    <w:rsid w:val="006B5573"/>
    <w:rsid w:val="006B6BF3"/>
    <w:rsid w:val="006C5647"/>
    <w:rsid w:val="006C7103"/>
    <w:rsid w:val="006D4A2F"/>
    <w:rsid w:val="006E4595"/>
    <w:rsid w:val="006E4AB5"/>
    <w:rsid w:val="006F51B9"/>
    <w:rsid w:val="006F75BE"/>
    <w:rsid w:val="00701563"/>
    <w:rsid w:val="007032E6"/>
    <w:rsid w:val="007050E3"/>
    <w:rsid w:val="007050E6"/>
    <w:rsid w:val="0070675E"/>
    <w:rsid w:val="00710A1B"/>
    <w:rsid w:val="00712142"/>
    <w:rsid w:val="00712AC2"/>
    <w:rsid w:val="00714521"/>
    <w:rsid w:val="00717B46"/>
    <w:rsid w:val="00717F9C"/>
    <w:rsid w:val="00722107"/>
    <w:rsid w:val="0072509E"/>
    <w:rsid w:val="00725479"/>
    <w:rsid w:val="00725A62"/>
    <w:rsid w:val="00732468"/>
    <w:rsid w:val="007328DF"/>
    <w:rsid w:val="00733376"/>
    <w:rsid w:val="007402C7"/>
    <w:rsid w:val="00742BDA"/>
    <w:rsid w:val="0074393A"/>
    <w:rsid w:val="007473C5"/>
    <w:rsid w:val="00747ABB"/>
    <w:rsid w:val="00751C62"/>
    <w:rsid w:val="00752C7A"/>
    <w:rsid w:val="0075303B"/>
    <w:rsid w:val="00754CB0"/>
    <w:rsid w:val="00762E08"/>
    <w:rsid w:val="0077217D"/>
    <w:rsid w:val="00773BC7"/>
    <w:rsid w:val="00777676"/>
    <w:rsid w:val="007806EF"/>
    <w:rsid w:val="00780DA5"/>
    <w:rsid w:val="0078302F"/>
    <w:rsid w:val="00792CFB"/>
    <w:rsid w:val="00794413"/>
    <w:rsid w:val="00796400"/>
    <w:rsid w:val="007975D0"/>
    <w:rsid w:val="007A6E11"/>
    <w:rsid w:val="007B16C9"/>
    <w:rsid w:val="007B1D0C"/>
    <w:rsid w:val="007C0CED"/>
    <w:rsid w:val="007C4F95"/>
    <w:rsid w:val="007C5CFB"/>
    <w:rsid w:val="007C6593"/>
    <w:rsid w:val="007D098A"/>
    <w:rsid w:val="007D5A08"/>
    <w:rsid w:val="007D6869"/>
    <w:rsid w:val="007E5C3E"/>
    <w:rsid w:val="007E6CED"/>
    <w:rsid w:val="007F1EB0"/>
    <w:rsid w:val="007F3BAC"/>
    <w:rsid w:val="007F6DD3"/>
    <w:rsid w:val="008106F8"/>
    <w:rsid w:val="00810C1A"/>
    <w:rsid w:val="008121E6"/>
    <w:rsid w:val="00814D97"/>
    <w:rsid w:val="00814E22"/>
    <w:rsid w:val="008200B2"/>
    <w:rsid w:val="008239B2"/>
    <w:rsid w:val="0082611B"/>
    <w:rsid w:val="0083168A"/>
    <w:rsid w:val="008319B6"/>
    <w:rsid w:val="00832322"/>
    <w:rsid w:val="00833172"/>
    <w:rsid w:val="00835B7A"/>
    <w:rsid w:val="00835CB5"/>
    <w:rsid w:val="0083688F"/>
    <w:rsid w:val="00846E3B"/>
    <w:rsid w:val="00850D53"/>
    <w:rsid w:val="008530ED"/>
    <w:rsid w:val="00855F03"/>
    <w:rsid w:val="00860FAD"/>
    <w:rsid w:val="00862D16"/>
    <w:rsid w:val="008705A4"/>
    <w:rsid w:val="00871E64"/>
    <w:rsid w:val="0088111E"/>
    <w:rsid w:val="008842FE"/>
    <w:rsid w:val="00885BC9"/>
    <w:rsid w:val="00892788"/>
    <w:rsid w:val="00897214"/>
    <w:rsid w:val="008A0119"/>
    <w:rsid w:val="008A14C3"/>
    <w:rsid w:val="008A2317"/>
    <w:rsid w:val="008B4F95"/>
    <w:rsid w:val="008B7A3C"/>
    <w:rsid w:val="008C04F2"/>
    <w:rsid w:val="008C17CD"/>
    <w:rsid w:val="008C725C"/>
    <w:rsid w:val="008C7908"/>
    <w:rsid w:val="008D0786"/>
    <w:rsid w:val="008D5E62"/>
    <w:rsid w:val="008E428B"/>
    <w:rsid w:val="008E4ED8"/>
    <w:rsid w:val="008E5097"/>
    <w:rsid w:val="008E59DE"/>
    <w:rsid w:val="008E668E"/>
    <w:rsid w:val="008F4032"/>
    <w:rsid w:val="008F6385"/>
    <w:rsid w:val="009020C0"/>
    <w:rsid w:val="00912C98"/>
    <w:rsid w:val="00913CA6"/>
    <w:rsid w:val="00916920"/>
    <w:rsid w:val="00916A02"/>
    <w:rsid w:val="009177E8"/>
    <w:rsid w:val="00920AA2"/>
    <w:rsid w:val="00922D75"/>
    <w:rsid w:val="00931E8A"/>
    <w:rsid w:val="0093339A"/>
    <w:rsid w:val="00934372"/>
    <w:rsid w:val="00943C5F"/>
    <w:rsid w:val="00961370"/>
    <w:rsid w:val="00965495"/>
    <w:rsid w:val="009705D9"/>
    <w:rsid w:val="0097068C"/>
    <w:rsid w:val="00971E3D"/>
    <w:rsid w:val="00972969"/>
    <w:rsid w:val="00973136"/>
    <w:rsid w:val="009763EE"/>
    <w:rsid w:val="00980495"/>
    <w:rsid w:val="00993196"/>
    <w:rsid w:val="00994ED8"/>
    <w:rsid w:val="00995F03"/>
    <w:rsid w:val="009961CF"/>
    <w:rsid w:val="009A0077"/>
    <w:rsid w:val="009A2C13"/>
    <w:rsid w:val="009A32DA"/>
    <w:rsid w:val="009A6F8D"/>
    <w:rsid w:val="009A77B7"/>
    <w:rsid w:val="009C21A3"/>
    <w:rsid w:val="009D25A1"/>
    <w:rsid w:val="009D4962"/>
    <w:rsid w:val="009D62D8"/>
    <w:rsid w:val="009E0523"/>
    <w:rsid w:val="009F5E17"/>
    <w:rsid w:val="00A027BE"/>
    <w:rsid w:val="00A02A2A"/>
    <w:rsid w:val="00A05110"/>
    <w:rsid w:val="00A07336"/>
    <w:rsid w:val="00A12267"/>
    <w:rsid w:val="00A143A1"/>
    <w:rsid w:val="00A17827"/>
    <w:rsid w:val="00A219CC"/>
    <w:rsid w:val="00A22A5D"/>
    <w:rsid w:val="00A26F0C"/>
    <w:rsid w:val="00A35345"/>
    <w:rsid w:val="00A35FBC"/>
    <w:rsid w:val="00A42358"/>
    <w:rsid w:val="00A45711"/>
    <w:rsid w:val="00A513FD"/>
    <w:rsid w:val="00A55FAF"/>
    <w:rsid w:val="00A57FA1"/>
    <w:rsid w:val="00A7039C"/>
    <w:rsid w:val="00A71F04"/>
    <w:rsid w:val="00A733A5"/>
    <w:rsid w:val="00A77A78"/>
    <w:rsid w:val="00A80AE6"/>
    <w:rsid w:val="00A8271B"/>
    <w:rsid w:val="00A84D28"/>
    <w:rsid w:val="00A86A53"/>
    <w:rsid w:val="00A90C52"/>
    <w:rsid w:val="00A95AA0"/>
    <w:rsid w:val="00A96489"/>
    <w:rsid w:val="00A96619"/>
    <w:rsid w:val="00AA03F4"/>
    <w:rsid w:val="00AA5214"/>
    <w:rsid w:val="00AA5990"/>
    <w:rsid w:val="00AA7BCB"/>
    <w:rsid w:val="00AB1289"/>
    <w:rsid w:val="00AB1727"/>
    <w:rsid w:val="00AC01B2"/>
    <w:rsid w:val="00AC040B"/>
    <w:rsid w:val="00AC0A79"/>
    <w:rsid w:val="00AC154C"/>
    <w:rsid w:val="00AC5D55"/>
    <w:rsid w:val="00AD2631"/>
    <w:rsid w:val="00AD461B"/>
    <w:rsid w:val="00AD4D55"/>
    <w:rsid w:val="00AE67F0"/>
    <w:rsid w:val="00AE6B34"/>
    <w:rsid w:val="00AF0264"/>
    <w:rsid w:val="00AF7265"/>
    <w:rsid w:val="00B0460B"/>
    <w:rsid w:val="00B06A25"/>
    <w:rsid w:val="00B07729"/>
    <w:rsid w:val="00B1294B"/>
    <w:rsid w:val="00B14228"/>
    <w:rsid w:val="00B16A9E"/>
    <w:rsid w:val="00B260FC"/>
    <w:rsid w:val="00B311F1"/>
    <w:rsid w:val="00B35E64"/>
    <w:rsid w:val="00B40185"/>
    <w:rsid w:val="00B41187"/>
    <w:rsid w:val="00B428B1"/>
    <w:rsid w:val="00B525F2"/>
    <w:rsid w:val="00B60D7C"/>
    <w:rsid w:val="00B65E89"/>
    <w:rsid w:val="00B66C9D"/>
    <w:rsid w:val="00B66D06"/>
    <w:rsid w:val="00B67060"/>
    <w:rsid w:val="00B72156"/>
    <w:rsid w:val="00B723E6"/>
    <w:rsid w:val="00B738DB"/>
    <w:rsid w:val="00B81495"/>
    <w:rsid w:val="00B818FB"/>
    <w:rsid w:val="00B91408"/>
    <w:rsid w:val="00B93E1B"/>
    <w:rsid w:val="00B941BA"/>
    <w:rsid w:val="00B9634D"/>
    <w:rsid w:val="00B97EF8"/>
    <w:rsid w:val="00BA0A5E"/>
    <w:rsid w:val="00BA12B1"/>
    <w:rsid w:val="00BA2B71"/>
    <w:rsid w:val="00BA2E6A"/>
    <w:rsid w:val="00BA50D2"/>
    <w:rsid w:val="00BA57D5"/>
    <w:rsid w:val="00BA5A5B"/>
    <w:rsid w:val="00BA75E3"/>
    <w:rsid w:val="00BB02F5"/>
    <w:rsid w:val="00BC47AF"/>
    <w:rsid w:val="00BC5561"/>
    <w:rsid w:val="00BC6EE2"/>
    <w:rsid w:val="00BC7873"/>
    <w:rsid w:val="00BC79EF"/>
    <w:rsid w:val="00BD391E"/>
    <w:rsid w:val="00BD48F0"/>
    <w:rsid w:val="00BD6008"/>
    <w:rsid w:val="00BE0350"/>
    <w:rsid w:val="00BE1A12"/>
    <w:rsid w:val="00BE2260"/>
    <w:rsid w:val="00BE44D9"/>
    <w:rsid w:val="00BE5872"/>
    <w:rsid w:val="00BE6E90"/>
    <w:rsid w:val="00BF2C68"/>
    <w:rsid w:val="00C004AA"/>
    <w:rsid w:val="00C02ED5"/>
    <w:rsid w:val="00C037CB"/>
    <w:rsid w:val="00C07B91"/>
    <w:rsid w:val="00C1056B"/>
    <w:rsid w:val="00C12E44"/>
    <w:rsid w:val="00C12E87"/>
    <w:rsid w:val="00C1454D"/>
    <w:rsid w:val="00C15F7B"/>
    <w:rsid w:val="00C164B8"/>
    <w:rsid w:val="00C1749D"/>
    <w:rsid w:val="00C21A4D"/>
    <w:rsid w:val="00C22E84"/>
    <w:rsid w:val="00C23213"/>
    <w:rsid w:val="00C3093E"/>
    <w:rsid w:val="00C30F62"/>
    <w:rsid w:val="00C3109C"/>
    <w:rsid w:val="00C3198A"/>
    <w:rsid w:val="00C31B08"/>
    <w:rsid w:val="00C3392A"/>
    <w:rsid w:val="00C35318"/>
    <w:rsid w:val="00C3700C"/>
    <w:rsid w:val="00C435A0"/>
    <w:rsid w:val="00C47BBE"/>
    <w:rsid w:val="00C47E57"/>
    <w:rsid w:val="00C52794"/>
    <w:rsid w:val="00C55E8B"/>
    <w:rsid w:val="00C64601"/>
    <w:rsid w:val="00C6556C"/>
    <w:rsid w:val="00C65D9E"/>
    <w:rsid w:val="00C70D55"/>
    <w:rsid w:val="00C70EE5"/>
    <w:rsid w:val="00C71B51"/>
    <w:rsid w:val="00C76259"/>
    <w:rsid w:val="00C77710"/>
    <w:rsid w:val="00C8237C"/>
    <w:rsid w:val="00C82B53"/>
    <w:rsid w:val="00C84077"/>
    <w:rsid w:val="00C87441"/>
    <w:rsid w:val="00C90C11"/>
    <w:rsid w:val="00C919B9"/>
    <w:rsid w:val="00C92D7C"/>
    <w:rsid w:val="00C96315"/>
    <w:rsid w:val="00C96420"/>
    <w:rsid w:val="00CA04A8"/>
    <w:rsid w:val="00CA1814"/>
    <w:rsid w:val="00CB01BE"/>
    <w:rsid w:val="00CB2437"/>
    <w:rsid w:val="00CB307B"/>
    <w:rsid w:val="00CB44EC"/>
    <w:rsid w:val="00CC325F"/>
    <w:rsid w:val="00CC4359"/>
    <w:rsid w:val="00CC47A3"/>
    <w:rsid w:val="00CC78DA"/>
    <w:rsid w:val="00CD4485"/>
    <w:rsid w:val="00CD4D5B"/>
    <w:rsid w:val="00CD689B"/>
    <w:rsid w:val="00CE698E"/>
    <w:rsid w:val="00CE7ADC"/>
    <w:rsid w:val="00CF180F"/>
    <w:rsid w:val="00CF3233"/>
    <w:rsid w:val="00CF7B93"/>
    <w:rsid w:val="00D00314"/>
    <w:rsid w:val="00D026C9"/>
    <w:rsid w:val="00D03F94"/>
    <w:rsid w:val="00D04746"/>
    <w:rsid w:val="00D04A6C"/>
    <w:rsid w:val="00D05658"/>
    <w:rsid w:val="00D05D01"/>
    <w:rsid w:val="00D121B4"/>
    <w:rsid w:val="00D21965"/>
    <w:rsid w:val="00D324E0"/>
    <w:rsid w:val="00D343CD"/>
    <w:rsid w:val="00D347C0"/>
    <w:rsid w:val="00D405BC"/>
    <w:rsid w:val="00D41FF6"/>
    <w:rsid w:val="00D42B5A"/>
    <w:rsid w:val="00D43A18"/>
    <w:rsid w:val="00D43B8B"/>
    <w:rsid w:val="00D45185"/>
    <w:rsid w:val="00D505E8"/>
    <w:rsid w:val="00D51BBE"/>
    <w:rsid w:val="00D5411C"/>
    <w:rsid w:val="00D54552"/>
    <w:rsid w:val="00D57205"/>
    <w:rsid w:val="00D57D96"/>
    <w:rsid w:val="00D6183B"/>
    <w:rsid w:val="00D62DBE"/>
    <w:rsid w:val="00D63109"/>
    <w:rsid w:val="00D75AB2"/>
    <w:rsid w:val="00D75D15"/>
    <w:rsid w:val="00D84455"/>
    <w:rsid w:val="00D84A8C"/>
    <w:rsid w:val="00D84CB8"/>
    <w:rsid w:val="00D91369"/>
    <w:rsid w:val="00D93610"/>
    <w:rsid w:val="00D96FE8"/>
    <w:rsid w:val="00DA0742"/>
    <w:rsid w:val="00DA0B10"/>
    <w:rsid w:val="00DA70A1"/>
    <w:rsid w:val="00DB3972"/>
    <w:rsid w:val="00DB501A"/>
    <w:rsid w:val="00DB7B0D"/>
    <w:rsid w:val="00DC04B0"/>
    <w:rsid w:val="00DC3527"/>
    <w:rsid w:val="00DC3F83"/>
    <w:rsid w:val="00DD1799"/>
    <w:rsid w:val="00DE0FBF"/>
    <w:rsid w:val="00DE0FEC"/>
    <w:rsid w:val="00DE3B98"/>
    <w:rsid w:val="00DE7665"/>
    <w:rsid w:val="00DF0C14"/>
    <w:rsid w:val="00DF5C0A"/>
    <w:rsid w:val="00DF7574"/>
    <w:rsid w:val="00E00CA6"/>
    <w:rsid w:val="00E02306"/>
    <w:rsid w:val="00E02DE5"/>
    <w:rsid w:val="00E04040"/>
    <w:rsid w:val="00E12AED"/>
    <w:rsid w:val="00E20E01"/>
    <w:rsid w:val="00E25D16"/>
    <w:rsid w:val="00E3529B"/>
    <w:rsid w:val="00E37B83"/>
    <w:rsid w:val="00E41381"/>
    <w:rsid w:val="00E41E1D"/>
    <w:rsid w:val="00E5173D"/>
    <w:rsid w:val="00E62A9D"/>
    <w:rsid w:val="00E70A27"/>
    <w:rsid w:val="00E72A69"/>
    <w:rsid w:val="00E73219"/>
    <w:rsid w:val="00E74CF1"/>
    <w:rsid w:val="00E74EE8"/>
    <w:rsid w:val="00E75898"/>
    <w:rsid w:val="00E80845"/>
    <w:rsid w:val="00E96682"/>
    <w:rsid w:val="00E97D5D"/>
    <w:rsid w:val="00EA3F38"/>
    <w:rsid w:val="00EA68EC"/>
    <w:rsid w:val="00EB1E1E"/>
    <w:rsid w:val="00EB3139"/>
    <w:rsid w:val="00EB3E44"/>
    <w:rsid w:val="00EB4EF2"/>
    <w:rsid w:val="00EC4910"/>
    <w:rsid w:val="00EC5029"/>
    <w:rsid w:val="00EC59D4"/>
    <w:rsid w:val="00ED14FE"/>
    <w:rsid w:val="00ED1695"/>
    <w:rsid w:val="00ED3141"/>
    <w:rsid w:val="00EE14B4"/>
    <w:rsid w:val="00EE3B16"/>
    <w:rsid w:val="00EE4C31"/>
    <w:rsid w:val="00EE5E9A"/>
    <w:rsid w:val="00EF11B4"/>
    <w:rsid w:val="00EF6008"/>
    <w:rsid w:val="00EF7D7A"/>
    <w:rsid w:val="00F001D3"/>
    <w:rsid w:val="00F043E5"/>
    <w:rsid w:val="00F04635"/>
    <w:rsid w:val="00F1195B"/>
    <w:rsid w:val="00F13DA0"/>
    <w:rsid w:val="00F15379"/>
    <w:rsid w:val="00F2691A"/>
    <w:rsid w:val="00F27730"/>
    <w:rsid w:val="00F3654A"/>
    <w:rsid w:val="00F408EA"/>
    <w:rsid w:val="00F40D7D"/>
    <w:rsid w:val="00F42441"/>
    <w:rsid w:val="00F42BDC"/>
    <w:rsid w:val="00F44A5D"/>
    <w:rsid w:val="00F45303"/>
    <w:rsid w:val="00F455F5"/>
    <w:rsid w:val="00F46282"/>
    <w:rsid w:val="00F46EE6"/>
    <w:rsid w:val="00F4771F"/>
    <w:rsid w:val="00F605EC"/>
    <w:rsid w:val="00F628C9"/>
    <w:rsid w:val="00F62E1D"/>
    <w:rsid w:val="00F641D8"/>
    <w:rsid w:val="00F6470A"/>
    <w:rsid w:val="00F64FD3"/>
    <w:rsid w:val="00F72BE1"/>
    <w:rsid w:val="00F72FA5"/>
    <w:rsid w:val="00F740EC"/>
    <w:rsid w:val="00F80178"/>
    <w:rsid w:val="00F8032F"/>
    <w:rsid w:val="00F858C4"/>
    <w:rsid w:val="00F8593B"/>
    <w:rsid w:val="00F8692A"/>
    <w:rsid w:val="00F93255"/>
    <w:rsid w:val="00F955DD"/>
    <w:rsid w:val="00F97958"/>
    <w:rsid w:val="00FA6F27"/>
    <w:rsid w:val="00FB03F2"/>
    <w:rsid w:val="00FB16D9"/>
    <w:rsid w:val="00FB2D2D"/>
    <w:rsid w:val="00FB3E4E"/>
    <w:rsid w:val="00FB49CD"/>
    <w:rsid w:val="00FB65C7"/>
    <w:rsid w:val="00FB7125"/>
    <w:rsid w:val="00FB7262"/>
    <w:rsid w:val="00FC1C9D"/>
    <w:rsid w:val="00FC48C4"/>
    <w:rsid w:val="00FC5BBA"/>
    <w:rsid w:val="00FC66DB"/>
    <w:rsid w:val="00FD3E75"/>
    <w:rsid w:val="00FD592E"/>
    <w:rsid w:val="00FD6B99"/>
    <w:rsid w:val="00FE43D5"/>
    <w:rsid w:val="00FE685F"/>
    <w:rsid w:val="00FE69CE"/>
    <w:rsid w:val="00FF3AF6"/>
    <w:rsid w:val="00FF615B"/>
    <w:rsid w:val="00FF7C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A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4C8"/>
    <w:pPr>
      <w:tabs>
        <w:tab w:val="center" w:pos="4536"/>
        <w:tab w:val="right" w:pos="9072"/>
      </w:tabs>
    </w:pPr>
  </w:style>
  <w:style w:type="character" w:customStyle="1" w:styleId="HeaderChar">
    <w:name w:val="Header Char"/>
    <w:basedOn w:val="DefaultParagraphFont"/>
    <w:link w:val="Header"/>
    <w:uiPriority w:val="99"/>
    <w:rsid w:val="002304C8"/>
  </w:style>
  <w:style w:type="paragraph" w:styleId="Footer">
    <w:name w:val="footer"/>
    <w:basedOn w:val="Normal"/>
    <w:link w:val="FooterChar"/>
    <w:uiPriority w:val="99"/>
    <w:unhideWhenUsed/>
    <w:rsid w:val="002304C8"/>
    <w:pPr>
      <w:tabs>
        <w:tab w:val="center" w:pos="4536"/>
        <w:tab w:val="right" w:pos="9072"/>
      </w:tabs>
    </w:pPr>
  </w:style>
  <w:style w:type="character" w:customStyle="1" w:styleId="FooterChar">
    <w:name w:val="Footer Char"/>
    <w:basedOn w:val="DefaultParagraphFont"/>
    <w:link w:val="Footer"/>
    <w:uiPriority w:val="99"/>
    <w:rsid w:val="002304C8"/>
  </w:style>
  <w:style w:type="character" w:styleId="Hyperlink">
    <w:name w:val="Hyperlink"/>
    <w:basedOn w:val="DefaultParagraphFont"/>
    <w:uiPriority w:val="99"/>
    <w:semiHidden/>
    <w:unhideWhenUsed/>
    <w:rsid w:val="002304C8"/>
    <w:rPr>
      <w:color w:val="0563C1"/>
      <w:u w:val="single"/>
    </w:rPr>
  </w:style>
  <w:style w:type="character" w:customStyle="1" w:styleId="ListParagraphChar">
    <w:name w:val="List Paragraph Char"/>
    <w:aliases w:val="Normal bullet 2 Char,K1 Char,Table of contents numbered Char,Elenco num ARGEA Char,body Char,Odsek zoznamu2 Char"/>
    <w:basedOn w:val="DefaultParagraphFont"/>
    <w:link w:val="ListParagraph"/>
    <w:uiPriority w:val="34"/>
    <w:locked/>
    <w:rsid w:val="002304C8"/>
    <w:rPr>
      <w:rFonts w:ascii="Calibri" w:hAnsi="Calibri" w:cs="Calibri"/>
    </w:rPr>
  </w:style>
  <w:style w:type="paragraph" w:styleId="ListParagraph">
    <w:name w:val="List Paragraph"/>
    <w:aliases w:val="Normal bullet 2,K1,Table of contents numbered,Elenco num ARGEA,body,Odsek zoznamu2"/>
    <w:basedOn w:val="Normal"/>
    <w:link w:val="ListParagraphChar"/>
    <w:uiPriority w:val="34"/>
    <w:qFormat/>
    <w:rsid w:val="002304C8"/>
    <w:rPr>
      <w:rFonts w:cs="Calibri"/>
    </w:rPr>
  </w:style>
  <w:style w:type="table" w:customStyle="1" w:styleId="GridTable4Accent5">
    <w:name w:val="Grid Table 4 Accent 5"/>
    <w:basedOn w:val="TableNormal"/>
    <w:uiPriority w:val="49"/>
    <w:rsid w:val="00DC3F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DC3F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03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5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FE"/>
    <w:rPr>
      <w:rFonts w:ascii="Segoe UI" w:hAnsi="Segoe UI" w:cs="Segoe UI"/>
      <w:sz w:val="18"/>
      <w:szCs w:val="18"/>
    </w:rPr>
  </w:style>
  <w:style w:type="character" w:styleId="CommentReference">
    <w:name w:val="annotation reference"/>
    <w:basedOn w:val="DefaultParagraphFont"/>
    <w:uiPriority w:val="99"/>
    <w:semiHidden/>
    <w:unhideWhenUsed/>
    <w:rsid w:val="00722107"/>
    <w:rPr>
      <w:sz w:val="16"/>
      <w:szCs w:val="16"/>
    </w:rPr>
  </w:style>
  <w:style w:type="paragraph" w:styleId="CommentText">
    <w:name w:val="annotation text"/>
    <w:basedOn w:val="Normal"/>
    <w:link w:val="CommentTextChar"/>
    <w:uiPriority w:val="99"/>
    <w:unhideWhenUsed/>
    <w:rsid w:val="00722107"/>
    <w:rPr>
      <w:sz w:val="20"/>
      <w:szCs w:val="20"/>
    </w:rPr>
  </w:style>
  <w:style w:type="character" w:customStyle="1" w:styleId="CommentTextChar">
    <w:name w:val="Comment Text Char"/>
    <w:basedOn w:val="DefaultParagraphFont"/>
    <w:link w:val="CommentText"/>
    <w:uiPriority w:val="99"/>
    <w:rsid w:val="00722107"/>
    <w:rPr>
      <w:sz w:val="20"/>
      <w:szCs w:val="20"/>
    </w:rPr>
  </w:style>
  <w:style w:type="paragraph" w:customStyle="1" w:styleId="Odstavek">
    <w:name w:val="Odstavek"/>
    <w:basedOn w:val="Normal"/>
    <w:link w:val="OdstavekZnak"/>
    <w:qFormat/>
    <w:rsid w:val="00722107"/>
    <w:pPr>
      <w:overflowPunct w:val="0"/>
      <w:autoSpaceDE w:val="0"/>
      <w:autoSpaceDN w:val="0"/>
      <w:adjustRightInd w:val="0"/>
      <w:spacing w:before="240"/>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722107"/>
    <w:rPr>
      <w:rFonts w:ascii="Arial" w:eastAsia="Times New Roman" w:hAnsi="Arial" w:cs="Times New Roman"/>
      <w:lang w:val="x-none" w:eastAsia="x-none"/>
    </w:rPr>
  </w:style>
  <w:style w:type="paragraph" w:styleId="Revision">
    <w:name w:val="Revision"/>
    <w:hidden/>
    <w:uiPriority w:val="99"/>
    <w:semiHidden/>
    <w:rsid w:val="00500669"/>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02A2A"/>
    <w:rPr>
      <w:b/>
      <w:bCs/>
    </w:rPr>
  </w:style>
  <w:style w:type="character" w:customStyle="1" w:styleId="CommentSubjectChar">
    <w:name w:val="Comment Subject Char"/>
    <w:basedOn w:val="CommentTextChar"/>
    <w:link w:val="CommentSubject"/>
    <w:uiPriority w:val="99"/>
    <w:semiHidden/>
    <w:rsid w:val="00A02A2A"/>
    <w:rPr>
      <w:rFonts w:ascii="Calibri" w:hAnsi="Calibri" w:cs="Times New Roman"/>
      <w:b/>
      <w:bCs/>
      <w:sz w:val="20"/>
      <w:szCs w:val="20"/>
    </w:rPr>
  </w:style>
  <w:style w:type="paragraph" w:customStyle="1" w:styleId="Normal1">
    <w:name w:val="Normal1"/>
    <w:basedOn w:val="Normal"/>
    <w:rsid w:val="005637C2"/>
    <w:pPr>
      <w:spacing w:before="100" w:beforeAutospacing="1" w:after="100" w:afterAutospacing="1"/>
    </w:pPr>
    <w:rPr>
      <w:rFonts w:cs="Calibri"/>
      <w:lang w:eastAsia="sl-SI"/>
    </w:rPr>
  </w:style>
  <w:style w:type="paragraph" w:customStyle="1" w:styleId="tbl-hdr">
    <w:name w:val="tbl-hdr"/>
    <w:basedOn w:val="Normal"/>
    <w:rsid w:val="005637C2"/>
    <w:pPr>
      <w:spacing w:before="100" w:beforeAutospacing="1" w:after="100" w:afterAutospacing="1"/>
    </w:pPr>
    <w:rPr>
      <w:rFonts w:cs="Calibri"/>
      <w:lang w:eastAsia="sl-SI"/>
    </w:rPr>
  </w:style>
  <w:style w:type="paragraph" w:customStyle="1" w:styleId="tbl-txt">
    <w:name w:val="tbl-txt"/>
    <w:basedOn w:val="Normal"/>
    <w:rsid w:val="005637C2"/>
    <w:pPr>
      <w:spacing w:before="100" w:beforeAutospacing="1" w:after="100" w:afterAutospacing="1"/>
    </w:pPr>
    <w:rPr>
      <w:rFonts w:cs="Calibri"/>
      <w:lang w:eastAsia="sl-SI"/>
    </w:rPr>
  </w:style>
  <w:style w:type="paragraph" w:customStyle="1" w:styleId="tbl-num">
    <w:name w:val="tbl-num"/>
    <w:basedOn w:val="Normal"/>
    <w:rsid w:val="005637C2"/>
    <w:pPr>
      <w:spacing w:before="100" w:beforeAutospacing="1" w:after="100" w:afterAutospacing="1"/>
    </w:pPr>
    <w:rPr>
      <w:rFonts w:cs="Calibri"/>
      <w:lang w:eastAsia="sl-SI"/>
    </w:rPr>
  </w:style>
  <w:style w:type="paragraph" w:customStyle="1" w:styleId="odstavek1">
    <w:name w:val="odstavek1"/>
    <w:basedOn w:val="Normal"/>
    <w:rsid w:val="00BC7873"/>
    <w:pPr>
      <w:spacing w:before="240"/>
      <w:ind w:firstLine="1021"/>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4C8"/>
    <w:pPr>
      <w:tabs>
        <w:tab w:val="center" w:pos="4536"/>
        <w:tab w:val="right" w:pos="9072"/>
      </w:tabs>
    </w:pPr>
  </w:style>
  <w:style w:type="character" w:customStyle="1" w:styleId="HeaderChar">
    <w:name w:val="Header Char"/>
    <w:basedOn w:val="DefaultParagraphFont"/>
    <w:link w:val="Header"/>
    <w:uiPriority w:val="99"/>
    <w:rsid w:val="002304C8"/>
  </w:style>
  <w:style w:type="paragraph" w:styleId="Footer">
    <w:name w:val="footer"/>
    <w:basedOn w:val="Normal"/>
    <w:link w:val="FooterChar"/>
    <w:uiPriority w:val="99"/>
    <w:unhideWhenUsed/>
    <w:rsid w:val="002304C8"/>
    <w:pPr>
      <w:tabs>
        <w:tab w:val="center" w:pos="4536"/>
        <w:tab w:val="right" w:pos="9072"/>
      </w:tabs>
    </w:pPr>
  </w:style>
  <w:style w:type="character" w:customStyle="1" w:styleId="FooterChar">
    <w:name w:val="Footer Char"/>
    <w:basedOn w:val="DefaultParagraphFont"/>
    <w:link w:val="Footer"/>
    <w:uiPriority w:val="99"/>
    <w:rsid w:val="002304C8"/>
  </w:style>
  <w:style w:type="character" w:styleId="Hyperlink">
    <w:name w:val="Hyperlink"/>
    <w:basedOn w:val="DefaultParagraphFont"/>
    <w:uiPriority w:val="99"/>
    <w:semiHidden/>
    <w:unhideWhenUsed/>
    <w:rsid w:val="002304C8"/>
    <w:rPr>
      <w:color w:val="0563C1"/>
      <w:u w:val="single"/>
    </w:rPr>
  </w:style>
  <w:style w:type="character" w:customStyle="1" w:styleId="ListParagraphChar">
    <w:name w:val="List Paragraph Char"/>
    <w:aliases w:val="Normal bullet 2 Char,K1 Char,Table of contents numbered Char,Elenco num ARGEA Char,body Char,Odsek zoznamu2 Char"/>
    <w:basedOn w:val="DefaultParagraphFont"/>
    <w:link w:val="ListParagraph"/>
    <w:uiPriority w:val="34"/>
    <w:locked/>
    <w:rsid w:val="002304C8"/>
    <w:rPr>
      <w:rFonts w:ascii="Calibri" w:hAnsi="Calibri" w:cs="Calibri"/>
    </w:rPr>
  </w:style>
  <w:style w:type="paragraph" w:styleId="ListParagraph">
    <w:name w:val="List Paragraph"/>
    <w:aliases w:val="Normal bullet 2,K1,Table of contents numbered,Elenco num ARGEA,body,Odsek zoznamu2"/>
    <w:basedOn w:val="Normal"/>
    <w:link w:val="ListParagraphChar"/>
    <w:uiPriority w:val="34"/>
    <w:qFormat/>
    <w:rsid w:val="002304C8"/>
    <w:rPr>
      <w:rFonts w:cs="Calibri"/>
    </w:rPr>
  </w:style>
  <w:style w:type="table" w:customStyle="1" w:styleId="GridTable4Accent5">
    <w:name w:val="Grid Table 4 Accent 5"/>
    <w:basedOn w:val="TableNormal"/>
    <w:uiPriority w:val="49"/>
    <w:rsid w:val="00DC3F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DC3F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03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5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FE"/>
    <w:rPr>
      <w:rFonts w:ascii="Segoe UI" w:hAnsi="Segoe UI" w:cs="Segoe UI"/>
      <w:sz w:val="18"/>
      <w:szCs w:val="18"/>
    </w:rPr>
  </w:style>
  <w:style w:type="character" w:styleId="CommentReference">
    <w:name w:val="annotation reference"/>
    <w:basedOn w:val="DefaultParagraphFont"/>
    <w:uiPriority w:val="99"/>
    <w:semiHidden/>
    <w:unhideWhenUsed/>
    <w:rsid w:val="00722107"/>
    <w:rPr>
      <w:sz w:val="16"/>
      <w:szCs w:val="16"/>
    </w:rPr>
  </w:style>
  <w:style w:type="paragraph" w:styleId="CommentText">
    <w:name w:val="annotation text"/>
    <w:basedOn w:val="Normal"/>
    <w:link w:val="CommentTextChar"/>
    <w:uiPriority w:val="99"/>
    <w:unhideWhenUsed/>
    <w:rsid w:val="00722107"/>
    <w:rPr>
      <w:sz w:val="20"/>
      <w:szCs w:val="20"/>
    </w:rPr>
  </w:style>
  <w:style w:type="character" w:customStyle="1" w:styleId="CommentTextChar">
    <w:name w:val="Comment Text Char"/>
    <w:basedOn w:val="DefaultParagraphFont"/>
    <w:link w:val="CommentText"/>
    <w:uiPriority w:val="99"/>
    <w:rsid w:val="00722107"/>
    <w:rPr>
      <w:sz w:val="20"/>
      <w:szCs w:val="20"/>
    </w:rPr>
  </w:style>
  <w:style w:type="paragraph" w:customStyle="1" w:styleId="Odstavek">
    <w:name w:val="Odstavek"/>
    <w:basedOn w:val="Normal"/>
    <w:link w:val="OdstavekZnak"/>
    <w:qFormat/>
    <w:rsid w:val="00722107"/>
    <w:pPr>
      <w:overflowPunct w:val="0"/>
      <w:autoSpaceDE w:val="0"/>
      <w:autoSpaceDN w:val="0"/>
      <w:adjustRightInd w:val="0"/>
      <w:spacing w:before="240"/>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722107"/>
    <w:rPr>
      <w:rFonts w:ascii="Arial" w:eastAsia="Times New Roman" w:hAnsi="Arial" w:cs="Times New Roman"/>
      <w:lang w:val="x-none" w:eastAsia="x-none"/>
    </w:rPr>
  </w:style>
  <w:style w:type="paragraph" w:styleId="Revision">
    <w:name w:val="Revision"/>
    <w:hidden/>
    <w:uiPriority w:val="99"/>
    <w:semiHidden/>
    <w:rsid w:val="00500669"/>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02A2A"/>
    <w:rPr>
      <w:b/>
      <w:bCs/>
    </w:rPr>
  </w:style>
  <w:style w:type="character" w:customStyle="1" w:styleId="CommentSubjectChar">
    <w:name w:val="Comment Subject Char"/>
    <w:basedOn w:val="CommentTextChar"/>
    <w:link w:val="CommentSubject"/>
    <w:uiPriority w:val="99"/>
    <w:semiHidden/>
    <w:rsid w:val="00A02A2A"/>
    <w:rPr>
      <w:rFonts w:ascii="Calibri" w:hAnsi="Calibri" w:cs="Times New Roman"/>
      <w:b/>
      <w:bCs/>
      <w:sz w:val="20"/>
      <w:szCs w:val="20"/>
    </w:rPr>
  </w:style>
  <w:style w:type="paragraph" w:customStyle="1" w:styleId="Normal1">
    <w:name w:val="Normal1"/>
    <w:basedOn w:val="Normal"/>
    <w:rsid w:val="005637C2"/>
    <w:pPr>
      <w:spacing w:before="100" w:beforeAutospacing="1" w:after="100" w:afterAutospacing="1"/>
    </w:pPr>
    <w:rPr>
      <w:rFonts w:cs="Calibri"/>
      <w:lang w:eastAsia="sl-SI"/>
    </w:rPr>
  </w:style>
  <w:style w:type="paragraph" w:customStyle="1" w:styleId="tbl-hdr">
    <w:name w:val="tbl-hdr"/>
    <w:basedOn w:val="Normal"/>
    <w:rsid w:val="005637C2"/>
    <w:pPr>
      <w:spacing w:before="100" w:beforeAutospacing="1" w:after="100" w:afterAutospacing="1"/>
    </w:pPr>
    <w:rPr>
      <w:rFonts w:cs="Calibri"/>
      <w:lang w:eastAsia="sl-SI"/>
    </w:rPr>
  </w:style>
  <w:style w:type="paragraph" w:customStyle="1" w:styleId="tbl-txt">
    <w:name w:val="tbl-txt"/>
    <w:basedOn w:val="Normal"/>
    <w:rsid w:val="005637C2"/>
    <w:pPr>
      <w:spacing w:before="100" w:beforeAutospacing="1" w:after="100" w:afterAutospacing="1"/>
    </w:pPr>
    <w:rPr>
      <w:rFonts w:cs="Calibri"/>
      <w:lang w:eastAsia="sl-SI"/>
    </w:rPr>
  </w:style>
  <w:style w:type="paragraph" w:customStyle="1" w:styleId="tbl-num">
    <w:name w:val="tbl-num"/>
    <w:basedOn w:val="Normal"/>
    <w:rsid w:val="005637C2"/>
    <w:pPr>
      <w:spacing w:before="100" w:beforeAutospacing="1" w:after="100" w:afterAutospacing="1"/>
    </w:pPr>
    <w:rPr>
      <w:rFonts w:cs="Calibri"/>
      <w:lang w:eastAsia="sl-SI"/>
    </w:rPr>
  </w:style>
  <w:style w:type="paragraph" w:customStyle="1" w:styleId="odstavek1">
    <w:name w:val="odstavek1"/>
    <w:basedOn w:val="Normal"/>
    <w:rsid w:val="00BC7873"/>
    <w:pPr>
      <w:spacing w:before="240"/>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647">
      <w:bodyDiv w:val="1"/>
      <w:marLeft w:val="0"/>
      <w:marRight w:val="0"/>
      <w:marTop w:val="0"/>
      <w:marBottom w:val="0"/>
      <w:divBdr>
        <w:top w:val="none" w:sz="0" w:space="0" w:color="auto"/>
        <w:left w:val="none" w:sz="0" w:space="0" w:color="auto"/>
        <w:bottom w:val="none" w:sz="0" w:space="0" w:color="auto"/>
        <w:right w:val="none" w:sz="0" w:space="0" w:color="auto"/>
      </w:divBdr>
    </w:div>
    <w:div w:id="258949547">
      <w:bodyDiv w:val="1"/>
      <w:marLeft w:val="0"/>
      <w:marRight w:val="0"/>
      <w:marTop w:val="0"/>
      <w:marBottom w:val="0"/>
      <w:divBdr>
        <w:top w:val="none" w:sz="0" w:space="0" w:color="auto"/>
        <w:left w:val="none" w:sz="0" w:space="0" w:color="auto"/>
        <w:bottom w:val="none" w:sz="0" w:space="0" w:color="auto"/>
        <w:right w:val="none" w:sz="0" w:space="0" w:color="auto"/>
      </w:divBdr>
    </w:div>
    <w:div w:id="275917702">
      <w:bodyDiv w:val="1"/>
      <w:marLeft w:val="0"/>
      <w:marRight w:val="0"/>
      <w:marTop w:val="0"/>
      <w:marBottom w:val="0"/>
      <w:divBdr>
        <w:top w:val="none" w:sz="0" w:space="0" w:color="auto"/>
        <w:left w:val="none" w:sz="0" w:space="0" w:color="auto"/>
        <w:bottom w:val="none" w:sz="0" w:space="0" w:color="auto"/>
        <w:right w:val="none" w:sz="0" w:space="0" w:color="auto"/>
      </w:divBdr>
    </w:div>
    <w:div w:id="304360945">
      <w:bodyDiv w:val="1"/>
      <w:marLeft w:val="0"/>
      <w:marRight w:val="0"/>
      <w:marTop w:val="0"/>
      <w:marBottom w:val="0"/>
      <w:divBdr>
        <w:top w:val="none" w:sz="0" w:space="0" w:color="auto"/>
        <w:left w:val="none" w:sz="0" w:space="0" w:color="auto"/>
        <w:bottom w:val="none" w:sz="0" w:space="0" w:color="auto"/>
        <w:right w:val="none" w:sz="0" w:space="0" w:color="auto"/>
      </w:divBdr>
    </w:div>
    <w:div w:id="315260705">
      <w:bodyDiv w:val="1"/>
      <w:marLeft w:val="0"/>
      <w:marRight w:val="0"/>
      <w:marTop w:val="0"/>
      <w:marBottom w:val="0"/>
      <w:divBdr>
        <w:top w:val="none" w:sz="0" w:space="0" w:color="auto"/>
        <w:left w:val="none" w:sz="0" w:space="0" w:color="auto"/>
        <w:bottom w:val="none" w:sz="0" w:space="0" w:color="auto"/>
        <w:right w:val="none" w:sz="0" w:space="0" w:color="auto"/>
      </w:divBdr>
    </w:div>
    <w:div w:id="362485548">
      <w:bodyDiv w:val="1"/>
      <w:marLeft w:val="0"/>
      <w:marRight w:val="0"/>
      <w:marTop w:val="0"/>
      <w:marBottom w:val="0"/>
      <w:divBdr>
        <w:top w:val="none" w:sz="0" w:space="0" w:color="auto"/>
        <w:left w:val="none" w:sz="0" w:space="0" w:color="auto"/>
        <w:bottom w:val="none" w:sz="0" w:space="0" w:color="auto"/>
        <w:right w:val="none" w:sz="0" w:space="0" w:color="auto"/>
      </w:divBdr>
    </w:div>
    <w:div w:id="391008479">
      <w:bodyDiv w:val="1"/>
      <w:marLeft w:val="0"/>
      <w:marRight w:val="0"/>
      <w:marTop w:val="0"/>
      <w:marBottom w:val="0"/>
      <w:divBdr>
        <w:top w:val="none" w:sz="0" w:space="0" w:color="auto"/>
        <w:left w:val="none" w:sz="0" w:space="0" w:color="auto"/>
        <w:bottom w:val="none" w:sz="0" w:space="0" w:color="auto"/>
        <w:right w:val="none" w:sz="0" w:space="0" w:color="auto"/>
      </w:divBdr>
    </w:div>
    <w:div w:id="440611598">
      <w:bodyDiv w:val="1"/>
      <w:marLeft w:val="0"/>
      <w:marRight w:val="0"/>
      <w:marTop w:val="0"/>
      <w:marBottom w:val="0"/>
      <w:divBdr>
        <w:top w:val="none" w:sz="0" w:space="0" w:color="auto"/>
        <w:left w:val="none" w:sz="0" w:space="0" w:color="auto"/>
        <w:bottom w:val="none" w:sz="0" w:space="0" w:color="auto"/>
        <w:right w:val="none" w:sz="0" w:space="0" w:color="auto"/>
      </w:divBdr>
    </w:div>
    <w:div w:id="468326646">
      <w:bodyDiv w:val="1"/>
      <w:marLeft w:val="0"/>
      <w:marRight w:val="0"/>
      <w:marTop w:val="0"/>
      <w:marBottom w:val="0"/>
      <w:divBdr>
        <w:top w:val="none" w:sz="0" w:space="0" w:color="auto"/>
        <w:left w:val="none" w:sz="0" w:space="0" w:color="auto"/>
        <w:bottom w:val="none" w:sz="0" w:space="0" w:color="auto"/>
        <w:right w:val="none" w:sz="0" w:space="0" w:color="auto"/>
      </w:divBdr>
    </w:div>
    <w:div w:id="500584794">
      <w:bodyDiv w:val="1"/>
      <w:marLeft w:val="0"/>
      <w:marRight w:val="0"/>
      <w:marTop w:val="0"/>
      <w:marBottom w:val="0"/>
      <w:divBdr>
        <w:top w:val="none" w:sz="0" w:space="0" w:color="auto"/>
        <w:left w:val="none" w:sz="0" w:space="0" w:color="auto"/>
        <w:bottom w:val="none" w:sz="0" w:space="0" w:color="auto"/>
        <w:right w:val="none" w:sz="0" w:space="0" w:color="auto"/>
      </w:divBdr>
    </w:div>
    <w:div w:id="687871656">
      <w:bodyDiv w:val="1"/>
      <w:marLeft w:val="0"/>
      <w:marRight w:val="0"/>
      <w:marTop w:val="0"/>
      <w:marBottom w:val="0"/>
      <w:divBdr>
        <w:top w:val="none" w:sz="0" w:space="0" w:color="auto"/>
        <w:left w:val="none" w:sz="0" w:space="0" w:color="auto"/>
        <w:bottom w:val="none" w:sz="0" w:space="0" w:color="auto"/>
        <w:right w:val="none" w:sz="0" w:space="0" w:color="auto"/>
      </w:divBdr>
    </w:div>
    <w:div w:id="707293284">
      <w:bodyDiv w:val="1"/>
      <w:marLeft w:val="0"/>
      <w:marRight w:val="0"/>
      <w:marTop w:val="0"/>
      <w:marBottom w:val="0"/>
      <w:divBdr>
        <w:top w:val="none" w:sz="0" w:space="0" w:color="auto"/>
        <w:left w:val="none" w:sz="0" w:space="0" w:color="auto"/>
        <w:bottom w:val="none" w:sz="0" w:space="0" w:color="auto"/>
        <w:right w:val="none" w:sz="0" w:space="0" w:color="auto"/>
      </w:divBdr>
    </w:div>
    <w:div w:id="747457393">
      <w:bodyDiv w:val="1"/>
      <w:marLeft w:val="0"/>
      <w:marRight w:val="0"/>
      <w:marTop w:val="0"/>
      <w:marBottom w:val="0"/>
      <w:divBdr>
        <w:top w:val="none" w:sz="0" w:space="0" w:color="auto"/>
        <w:left w:val="none" w:sz="0" w:space="0" w:color="auto"/>
        <w:bottom w:val="none" w:sz="0" w:space="0" w:color="auto"/>
        <w:right w:val="none" w:sz="0" w:space="0" w:color="auto"/>
      </w:divBdr>
    </w:div>
    <w:div w:id="818304657">
      <w:bodyDiv w:val="1"/>
      <w:marLeft w:val="0"/>
      <w:marRight w:val="0"/>
      <w:marTop w:val="0"/>
      <w:marBottom w:val="0"/>
      <w:divBdr>
        <w:top w:val="none" w:sz="0" w:space="0" w:color="auto"/>
        <w:left w:val="none" w:sz="0" w:space="0" w:color="auto"/>
        <w:bottom w:val="none" w:sz="0" w:space="0" w:color="auto"/>
        <w:right w:val="none" w:sz="0" w:space="0" w:color="auto"/>
      </w:divBdr>
    </w:div>
    <w:div w:id="949238386">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25861777">
      <w:bodyDiv w:val="1"/>
      <w:marLeft w:val="0"/>
      <w:marRight w:val="0"/>
      <w:marTop w:val="0"/>
      <w:marBottom w:val="0"/>
      <w:divBdr>
        <w:top w:val="none" w:sz="0" w:space="0" w:color="auto"/>
        <w:left w:val="none" w:sz="0" w:space="0" w:color="auto"/>
        <w:bottom w:val="none" w:sz="0" w:space="0" w:color="auto"/>
        <w:right w:val="none" w:sz="0" w:space="0" w:color="auto"/>
      </w:divBdr>
    </w:div>
    <w:div w:id="1044644753">
      <w:bodyDiv w:val="1"/>
      <w:marLeft w:val="0"/>
      <w:marRight w:val="0"/>
      <w:marTop w:val="0"/>
      <w:marBottom w:val="0"/>
      <w:divBdr>
        <w:top w:val="none" w:sz="0" w:space="0" w:color="auto"/>
        <w:left w:val="none" w:sz="0" w:space="0" w:color="auto"/>
        <w:bottom w:val="none" w:sz="0" w:space="0" w:color="auto"/>
        <w:right w:val="none" w:sz="0" w:space="0" w:color="auto"/>
      </w:divBdr>
    </w:div>
    <w:div w:id="1045521640">
      <w:bodyDiv w:val="1"/>
      <w:marLeft w:val="0"/>
      <w:marRight w:val="0"/>
      <w:marTop w:val="0"/>
      <w:marBottom w:val="0"/>
      <w:divBdr>
        <w:top w:val="none" w:sz="0" w:space="0" w:color="auto"/>
        <w:left w:val="none" w:sz="0" w:space="0" w:color="auto"/>
        <w:bottom w:val="none" w:sz="0" w:space="0" w:color="auto"/>
        <w:right w:val="none" w:sz="0" w:space="0" w:color="auto"/>
      </w:divBdr>
    </w:div>
    <w:div w:id="1046028889">
      <w:bodyDiv w:val="1"/>
      <w:marLeft w:val="0"/>
      <w:marRight w:val="0"/>
      <w:marTop w:val="0"/>
      <w:marBottom w:val="0"/>
      <w:divBdr>
        <w:top w:val="none" w:sz="0" w:space="0" w:color="auto"/>
        <w:left w:val="none" w:sz="0" w:space="0" w:color="auto"/>
        <w:bottom w:val="none" w:sz="0" w:space="0" w:color="auto"/>
        <w:right w:val="none" w:sz="0" w:space="0" w:color="auto"/>
      </w:divBdr>
    </w:div>
    <w:div w:id="1053967623">
      <w:bodyDiv w:val="1"/>
      <w:marLeft w:val="0"/>
      <w:marRight w:val="0"/>
      <w:marTop w:val="0"/>
      <w:marBottom w:val="0"/>
      <w:divBdr>
        <w:top w:val="none" w:sz="0" w:space="0" w:color="auto"/>
        <w:left w:val="none" w:sz="0" w:space="0" w:color="auto"/>
        <w:bottom w:val="none" w:sz="0" w:space="0" w:color="auto"/>
        <w:right w:val="none" w:sz="0" w:space="0" w:color="auto"/>
      </w:divBdr>
    </w:div>
    <w:div w:id="1096436654">
      <w:bodyDiv w:val="1"/>
      <w:marLeft w:val="0"/>
      <w:marRight w:val="0"/>
      <w:marTop w:val="0"/>
      <w:marBottom w:val="0"/>
      <w:divBdr>
        <w:top w:val="none" w:sz="0" w:space="0" w:color="auto"/>
        <w:left w:val="none" w:sz="0" w:space="0" w:color="auto"/>
        <w:bottom w:val="none" w:sz="0" w:space="0" w:color="auto"/>
        <w:right w:val="none" w:sz="0" w:space="0" w:color="auto"/>
      </w:divBdr>
    </w:div>
    <w:div w:id="1117870299">
      <w:bodyDiv w:val="1"/>
      <w:marLeft w:val="0"/>
      <w:marRight w:val="0"/>
      <w:marTop w:val="0"/>
      <w:marBottom w:val="0"/>
      <w:divBdr>
        <w:top w:val="none" w:sz="0" w:space="0" w:color="auto"/>
        <w:left w:val="none" w:sz="0" w:space="0" w:color="auto"/>
        <w:bottom w:val="none" w:sz="0" w:space="0" w:color="auto"/>
        <w:right w:val="none" w:sz="0" w:space="0" w:color="auto"/>
      </w:divBdr>
    </w:div>
    <w:div w:id="1134906690">
      <w:bodyDiv w:val="1"/>
      <w:marLeft w:val="0"/>
      <w:marRight w:val="0"/>
      <w:marTop w:val="0"/>
      <w:marBottom w:val="0"/>
      <w:divBdr>
        <w:top w:val="none" w:sz="0" w:space="0" w:color="auto"/>
        <w:left w:val="none" w:sz="0" w:space="0" w:color="auto"/>
        <w:bottom w:val="none" w:sz="0" w:space="0" w:color="auto"/>
        <w:right w:val="none" w:sz="0" w:space="0" w:color="auto"/>
      </w:divBdr>
    </w:div>
    <w:div w:id="1175877471">
      <w:bodyDiv w:val="1"/>
      <w:marLeft w:val="0"/>
      <w:marRight w:val="0"/>
      <w:marTop w:val="0"/>
      <w:marBottom w:val="0"/>
      <w:divBdr>
        <w:top w:val="none" w:sz="0" w:space="0" w:color="auto"/>
        <w:left w:val="none" w:sz="0" w:space="0" w:color="auto"/>
        <w:bottom w:val="none" w:sz="0" w:space="0" w:color="auto"/>
        <w:right w:val="none" w:sz="0" w:space="0" w:color="auto"/>
      </w:divBdr>
    </w:div>
    <w:div w:id="1285429231">
      <w:bodyDiv w:val="1"/>
      <w:marLeft w:val="0"/>
      <w:marRight w:val="0"/>
      <w:marTop w:val="0"/>
      <w:marBottom w:val="0"/>
      <w:divBdr>
        <w:top w:val="none" w:sz="0" w:space="0" w:color="auto"/>
        <w:left w:val="none" w:sz="0" w:space="0" w:color="auto"/>
        <w:bottom w:val="none" w:sz="0" w:space="0" w:color="auto"/>
        <w:right w:val="none" w:sz="0" w:space="0" w:color="auto"/>
      </w:divBdr>
    </w:div>
    <w:div w:id="1322003993">
      <w:bodyDiv w:val="1"/>
      <w:marLeft w:val="0"/>
      <w:marRight w:val="0"/>
      <w:marTop w:val="0"/>
      <w:marBottom w:val="0"/>
      <w:divBdr>
        <w:top w:val="none" w:sz="0" w:space="0" w:color="auto"/>
        <w:left w:val="none" w:sz="0" w:space="0" w:color="auto"/>
        <w:bottom w:val="none" w:sz="0" w:space="0" w:color="auto"/>
        <w:right w:val="none" w:sz="0" w:space="0" w:color="auto"/>
      </w:divBdr>
    </w:div>
    <w:div w:id="1432044833">
      <w:bodyDiv w:val="1"/>
      <w:marLeft w:val="0"/>
      <w:marRight w:val="0"/>
      <w:marTop w:val="0"/>
      <w:marBottom w:val="0"/>
      <w:divBdr>
        <w:top w:val="none" w:sz="0" w:space="0" w:color="auto"/>
        <w:left w:val="none" w:sz="0" w:space="0" w:color="auto"/>
        <w:bottom w:val="none" w:sz="0" w:space="0" w:color="auto"/>
        <w:right w:val="none" w:sz="0" w:space="0" w:color="auto"/>
      </w:divBdr>
    </w:div>
    <w:div w:id="1493374120">
      <w:bodyDiv w:val="1"/>
      <w:marLeft w:val="0"/>
      <w:marRight w:val="0"/>
      <w:marTop w:val="0"/>
      <w:marBottom w:val="0"/>
      <w:divBdr>
        <w:top w:val="none" w:sz="0" w:space="0" w:color="auto"/>
        <w:left w:val="none" w:sz="0" w:space="0" w:color="auto"/>
        <w:bottom w:val="none" w:sz="0" w:space="0" w:color="auto"/>
        <w:right w:val="none" w:sz="0" w:space="0" w:color="auto"/>
      </w:divBdr>
    </w:div>
    <w:div w:id="1577745760">
      <w:bodyDiv w:val="1"/>
      <w:marLeft w:val="0"/>
      <w:marRight w:val="0"/>
      <w:marTop w:val="0"/>
      <w:marBottom w:val="0"/>
      <w:divBdr>
        <w:top w:val="none" w:sz="0" w:space="0" w:color="auto"/>
        <w:left w:val="none" w:sz="0" w:space="0" w:color="auto"/>
        <w:bottom w:val="none" w:sz="0" w:space="0" w:color="auto"/>
        <w:right w:val="none" w:sz="0" w:space="0" w:color="auto"/>
      </w:divBdr>
    </w:div>
    <w:div w:id="1591617036">
      <w:bodyDiv w:val="1"/>
      <w:marLeft w:val="0"/>
      <w:marRight w:val="0"/>
      <w:marTop w:val="0"/>
      <w:marBottom w:val="0"/>
      <w:divBdr>
        <w:top w:val="none" w:sz="0" w:space="0" w:color="auto"/>
        <w:left w:val="none" w:sz="0" w:space="0" w:color="auto"/>
        <w:bottom w:val="none" w:sz="0" w:space="0" w:color="auto"/>
        <w:right w:val="none" w:sz="0" w:space="0" w:color="auto"/>
      </w:divBdr>
    </w:div>
    <w:div w:id="1632200794">
      <w:bodyDiv w:val="1"/>
      <w:marLeft w:val="0"/>
      <w:marRight w:val="0"/>
      <w:marTop w:val="0"/>
      <w:marBottom w:val="0"/>
      <w:divBdr>
        <w:top w:val="none" w:sz="0" w:space="0" w:color="auto"/>
        <w:left w:val="none" w:sz="0" w:space="0" w:color="auto"/>
        <w:bottom w:val="none" w:sz="0" w:space="0" w:color="auto"/>
        <w:right w:val="none" w:sz="0" w:space="0" w:color="auto"/>
      </w:divBdr>
    </w:div>
    <w:div w:id="1775711872">
      <w:bodyDiv w:val="1"/>
      <w:marLeft w:val="0"/>
      <w:marRight w:val="0"/>
      <w:marTop w:val="0"/>
      <w:marBottom w:val="0"/>
      <w:divBdr>
        <w:top w:val="none" w:sz="0" w:space="0" w:color="auto"/>
        <w:left w:val="none" w:sz="0" w:space="0" w:color="auto"/>
        <w:bottom w:val="none" w:sz="0" w:space="0" w:color="auto"/>
        <w:right w:val="none" w:sz="0" w:space="0" w:color="auto"/>
      </w:divBdr>
    </w:div>
    <w:div w:id="1847474482">
      <w:bodyDiv w:val="1"/>
      <w:marLeft w:val="0"/>
      <w:marRight w:val="0"/>
      <w:marTop w:val="0"/>
      <w:marBottom w:val="0"/>
      <w:divBdr>
        <w:top w:val="none" w:sz="0" w:space="0" w:color="auto"/>
        <w:left w:val="none" w:sz="0" w:space="0" w:color="auto"/>
        <w:bottom w:val="none" w:sz="0" w:space="0" w:color="auto"/>
        <w:right w:val="none" w:sz="0" w:space="0" w:color="auto"/>
      </w:divBdr>
    </w:div>
    <w:div w:id="1931888185">
      <w:bodyDiv w:val="1"/>
      <w:marLeft w:val="0"/>
      <w:marRight w:val="0"/>
      <w:marTop w:val="0"/>
      <w:marBottom w:val="0"/>
      <w:divBdr>
        <w:top w:val="none" w:sz="0" w:space="0" w:color="auto"/>
        <w:left w:val="none" w:sz="0" w:space="0" w:color="auto"/>
        <w:bottom w:val="none" w:sz="0" w:space="0" w:color="auto"/>
        <w:right w:val="none" w:sz="0" w:space="0" w:color="auto"/>
      </w:divBdr>
    </w:div>
    <w:div w:id="1938056399">
      <w:bodyDiv w:val="1"/>
      <w:marLeft w:val="0"/>
      <w:marRight w:val="0"/>
      <w:marTop w:val="0"/>
      <w:marBottom w:val="0"/>
      <w:divBdr>
        <w:top w:val="none" w:sz="0" w:space="0" w:color="auto"/>
        <w:left w:val="none" w:sz="0" w:space="0" w:color="auto"/>
        <w:bottom w:val="none" w:sz="0" w:space="0" w:color="auto"/>
        <w:right w:val="none" w:sz="0" w:space="0" w:color="auto"/>
      </w:divBdr>
    </w:div>
    <w:div w:id="1955020898">
      <w:bodyDiv w:val="1"/>
      <w:marLeft w:val="0"/>
      <w:marRight w:val="0"/>
      <w:marTop w:val="0"/>
      <w:marBottom w:val="0"/>
      <w:divBdr>
        <w:top w:val="none" w:sz="0" w:space="0" w:color="auto"/>
        <w:left w:val="none" w:sz="0" w:space="0" w:color="auto"/>
        <w:bottom w:val="none" w:sz="0" w:space="0" w:color="auto"/>
        <w:right w:val="none" w:sz="0" w:space="0" w:color="auto"/>
      </w:divBdr>
    </w:div>
    <w:div w:id="1972323634">
      <w:bodyDiv w:val="1"/>
      <w:marLeft w:val="0"/>
      <w:marRight w:val="0"/>
      <w:marTop w:val="0"/>
      <w:marBottom w:val="0"/>
      <w:divBdr>
        <w:top w:val="none" w:sz="0" w:space="0" w:color="auto"/>
        <w:left w:val="none" w:sz="0" w:space="0" w:color="auto"/>
        <w:bottom w:val="none" w:sz="0" w:space="0" w:color="auto"/>
        <w:right w:val="none" w:sz="0" w:space="0" w:color="auto"/>
      </w:divBdr>
    </w:div>
    <w:div w:id="20819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op.europa.eu/sl/publication-detail/-/publication/79c0ce87-f4dc-11e6-8a35-01aa75ed71a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nsilium.europa.eu/en/policies/eu-list-of-non-cooperative-jurisdictions/"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s://eur-lex.europa.eu/legal-content/SL/TXT/?uri=CELEX%3A32014R0651" TargetMode="External"/><Relationship Id="rId25" Type="http://schemas.openxmlformats.org/officeDocument/2006/relationships/hyperlink" Target="https://eur-lex.europa.eu/legal-content/SL/TXT/?uri=CELEX%3A32014R0651"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package" Target="embeddings/Microsoft_Excel_Worksheet2.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op.europa.eu/sl/publication-detail/-/publication/79c0ce87-f4dc-11e6-8a35-01aa75ed71a1"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2208-9A8C-4A87-801C-00413AA5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2020-06-04T05:39:00Z</dcterms:created>
  <dcterms:modified xsi:type="dcterms:W3CDTF">2020-06-04T05:41:00Z</dcterms:modified>
</cp:coreProperties>
</file>