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D4C" w:rsidRPr="00DD13FE" w:rsidRDefault="00DD13FE" w:rsidP="00DD13FE">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ocument Cover Page.&#10;Document Number: 8833/20.&#10;Subject Codes: ACP 49 FIN 363 PTOM 8.&#10;Heading: PREDLOG.&#10;Originator: za generalno sekretarko Evropske komisije: direktor Jordi AYET PUIGARNAU.&#10;Recipient: generalni sekretar Sveta Evropske unije Jeppe TRANHOLM-MIKKELSEN.&#10;Subject: Predlog SKLEPA SVETA o finančnih prispevkih držav članic za financiranje Evropskega razvojnega sklada, vključno z drugim obrokom za leto 2020.&#10;Commission Document Number: COM(2020) 234 final.&#10;Preceeding Document Number: Not Set.&#10;Location: Bruselj.&#10;Date: 15. junij 2020.&#10;Interinstitutional Files: 2020/0115 (NLE).&#10;Institutional Framework: Svet Evropske unije.&#10;Language: SL.&#10;Distribution Code: PUBLIC.&#10;GUID: 4925395989418664969_0" style="width:568.9pt;height:382.3pt">
            <v:imagedata r:id="rId7" o:title=""/>
          </v:shape>
        </w:pict>
      </w:r>
      <w:bookmarkEnd w:id="0"/>
    </w:p>
    <w:p w:rsidR="00860D4C" w:rsidRDefault="00860D4C" w:rsidP="00DD13FE">
      <w:pPr>
        <w:pStyle w:val="EntText"/>
        <w:spacing w:before="480"/>
      </w:pPr>
      <w:bookmarkStart w:id="1" w:name="_GoBack"/>
      <w:bookmarkEnd w:id="1"/>
      <w:r w:rsidRPr="00860D4C">
        <w:t xml:space="preserve">Delegacije prejmejo priloženi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DD13FE" w:rsidRPr="00DD13FE">
        <w:instrText>COM(2020) 234 final</w:instrText>
      </w:r>
      <w:r>
        <w:instrText xml:space="preserve">" </w:instrText>
      </w:r>
      <w:r>
        <w:fldChar w:fldCharType="separate"/>
      </w:r>
      <w:r w:rsidR="00DD13FE" w:rsidRPr="00DD13FE">
        <w:t>COM(2020) 234 final</w:t>
      </w:r>
      <w:r>
        <w:fldChar w:fldCharType="end"/>
      </w:r>
      <w:r w:rsidRPr="00860D4C">
        <w:t>.</w:t>
      </w:r>
    </w:p>
    <w:p w:rsidR="00860D4C" w:rsidRDefault="00860D4C" w:rsidP="00860D4C">
      <w:pPr>
        <w:pStyle w:val="Lignefinal"/>
      </w:pPr>
    </w:p>
    <w:p w:rsidR="00860D4C" w:rsidRDefault="00860D4C" w:rsidP="00DD13FE">
      <w:pPr>
        <w:pStyle w:val="pj"/>
        <w:spacing w:before="120"/>
      </w:pPr>
      <w:r w:rsidRPr="00860D4C">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DD13FE" w:rsidRPr="00DD13FE">
        <w:instrText>COM(2020) 234 final</w:instrText>
      </w:r>
      <w:r>
        <w:instrText xml:space="preserve">" </w:instrText>
      </w:r>
      <w:r>
        <w:fldChar w:fldCharType="separate"/>
      </w:r>
      <w:r w:rsidR="00DD13FE" w:rsidRPr="00DD13FE">
        <w:t>COM(2020) 234 final</w:t>
      </w:r>
      <w:r>
        <w:fldChar w:fldCharType="end"/>
      </w:r>
    </w:p>
    <w:p w:rsidR="00860D4C" w:rsidRDefault="00860D4C" w:rsidP="00860D4C">
      <w:pPr>
        <w:rPr>
          <w:noProof/>
        </w:rPr>
        <w:sectPr w:rsidR="00860D4C" w:rsidSect="00DD13FE">
          <w:headerReference w:type="even" r:id="rId8"/>
          <w:headerReference w:type="default" r:id="rId9"/>
          <w:footerReference w:type="even" r:id="rId10"/>
          <w:footerReference w:type="default" r:id="rId11"/>
          <w:headerReference w:type="first" r:id="rId12"/>
          <w:footerReference w:type="first" r:id="rId13"/>
          <w:pgSz w:w="11907" w:h="16839"/>
          <w:pgMar w:top="624" w:right="1134" w:bottom="1134" w:left="1134" w:header="567" w:footer="567" w:gutter="0"/>
          <w:pgNumType w:start="0"/>
          <w:cols w:space="720"/>
          <w:titlePg/>
          <w:docGrid w:linePitch="360"/>
        </w:sectPr>
      </w:pPr>
    </w:p>
    <w:p w:rsidR="005404B4" w:rsidRDefault="00DD13FE">
      <w:pPr>
        <w:pStyle w:val="Pagedecouverture"/>
        <w:rPr>
          <w:noProof/>
        </w:rPr>
      </w:pPr>
      <w:r>
        <w:rPr>
          <w:noProof/>
        </w:rPr>
        <w:lastRenderedPageBreak/>
        <w:pict>
          <v:shape id="_x0000_i1026" type="#_x0000_t75" alt="88CBF2BA-499C-43EF-89D8-B3E41D8AA222" style="width:450.25pt;height:351.9pt">
            <v:imagedata r:id="rId14" o:title=""/>
          </v:shape>
        </w:pict>
      </w:r>
    </w:p>
    <w:p w:rsidR="005404B4" w:rsidRDefault="005404B4">
      <w:pPr>
        <w:rPr>
          <w:noProof/>
        </w:rPr>
        <w:sectPr w:rsidR="005404B4">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pgNumType w:start="0"/>
          <w:cols w:space="720"/>
          <w:docGrid w:linePitch="360"/>
        </w:sectPr>
      </w:pPr>
    </w:p>
    <w:p w:rsidR="005404B4" w:rsidRDefault="00860D4C">
      <w:pPr>
        <w:pStyle w:val="Exposdesmotifstitre"/>
        <w:rPr>
          <w:noProof/>
        </w:rPr>
      </w:pPr>
      <w:r>
        <w:rPr>
          <w:noProof/>
        </w:rPr>
        <w:lastRenderedPageBreak/>
        <w:t>OBRAZLOŽITVENI MEMORANDUM</w:t>
      </w:r>
    </w:p>
    <w:p w:rsidR="005404B4" w:rsidRDefault="00860D4C">
      <w:pPr>
        <w:pStyle w:val="ManualHeading1"/>
        <w:rPr>
          <w:noProof/>
        </w:rPr>
      </w:pPr>
      <w:r>
        <w:rPr>
          <w:noProof/>
        </w:rPr>
        <w:t>1.</w:t>
      </w:r>
      <w:r>
        <w:rPr>
          <w:noProof/>
        </w:rPr>
        <w:tab/>
        <w:t>OZADJE PREDLOGA</w:t>
      </w:r>
    </w:p>
    <w:p w:rsidR="005404B4" w:rsidRDefault="00860D4C">
      <w:pPr>
        <w:pStyle w:val="ManualHeading2"/>
        <w:rPr>
          <w:rFonts w:eastAsia="Arial Unicode MS"/>
          <w:noProof/>
        </w:rPr>
      </w:pPr>
      <w:r>
        <w:rPr>
          <w:noProof/>
          <w:color w:val="000000"/>
          <w:u w:color="000000"/>
          <w:bdr w:val="nil"/>
        </w:rPr>
        <w:t>•</w:t>
      </w:r>
      <w:r>
        <w:rPr>
          <w:noProof/>
        </w:rPr>
        <w:tab/>
        <w:t>Razlogi za predlog in njegovi cilji</w:t>
      </w:r>
    </w:p>
    <w:p w:rsidR="005404B4" w:rsidRDefault="00860D4C">
      <w:pPr>
        <w:pBdr>
          <w:top w:val="nil"/>
          <w:left w:val="nil"/>
          <w:bottom w:val="nil"/>
          <w:right w:val="nil"/>
          <w:between w:val="nil"/>
          <w:bar w:val="nil"/>
        </w:pBdr>
        <w:spacing w:before="0" w:after="240"/>
        <w:rPr>
          <w:rFonts w:eastAsia="Arial Unicode MS"/>
          <w:noProof/>
        </w:rPr>
      </w:pPr>
      <w:r>
        <w:rPr>
          <w:noProof/>
        </w:rPr>
        <w:t>Predlog zadeva osnutek sklepa Sveta o drugem obroku finančnih prispevkov držav članic v 11. Evropski razvojni sklad (ERS) v letu 2020.</w:t>
      </w:r>
    </w:p>
    <w:p w:rsidR="005404B4" w:rsidRDefault="00860D4C">
      <w:pPr>
        <w:pBdr>
          <w:top w:val="nil"/>
          <w:left w:val="nil"/>
          <w:bottom w:val="nil"/>
          <w:right w:val="nil"/>
          <w:between w:val="nil"/>
          <w:bar w:val="nil"/>
        </w:pBdr>
        <w:spacing w:before="0" w:after="240"/>
        <w:rPr>
          <w:rFonts w:eastAsia="Arial Unicode MS"/>
          <w:noProof/>
        </w:rPr>
      </w:pPr>
      <w:r>
        <w:rPr>
          <w:noProof/>
        </w:rPr>
        <w:t xml:space="preserve">11. ERS in drugi še vedno odprti ERS (to so 8., 9. in 10. ERS) se upravljajo v skladu z naslednjimi pravili: </w:t>
      </w:r>
    </w:p>
    <w:p w:rsidR="005404B4" w:rsidRDefault="00860D4C">
      <w:pPr>
        <w:pBdr>
          <w:top w:val="nil"/>
          <w:left w:val="nil"/>
          <w:bottom w:val="nil"/>
          <w:right w:val="nil"/>
          <w:between w:val="nil"/>
          <w:bar w:val="nil"/>
        </w:pBdr>
        <w:spacing w:before="0" w:after="240"/>
        <w:rPr>
          <w:rFonts w:eastAsia="Arial Unicode MS"/>
          <w:noProof/>
        </w:rPr>
      </w:pPr>
      <w:r>
        <w:rPr>
          <w:noProof/>
        </w:rPr>
        <w:t>sedanjim Sporazumom o partnerstvu med članicami skupine afriških, karibskih in pacifiških držav (AKP) na eni strani ter Evropsko skupnostjo in njenimi državami članicami na drugi (v nadaljnjem besedilu: Sporazum o partnerstvu AKP-EU), kakor je bil nazadnje spremenjen</w:t>
      </w:r>
      <w:r>
        <w:rPr>
          <w:rStyle w:val="FootnoteReference"/>
          <w:rFonts w:eastAsia="Arial Unicode MS"/>
          <w:noProof/>
        </w:rPr>
        <w:footnoteReference w:id="1"/>
      </w:r>
      <w:r>
        <w:rPr>
          <w:noProof/>
        </w:rPr>
        <w:t>,</w:t>
      </w:r>
    </w:p>
    <w:p w:rsidR="005404B4" w:rsidRDefault="00860D4C">
      <w:pPr>
        <w:pBdr>
          <w:top w:val="nil"/>
          <w:left w:val="nil"/>
          <w:bottom w:val="nil"/>
          <w:right w:val="nil"/>
          <w:between w:val="nil"/>
          <w:bar w:val="nil"/>
        </w:pBdr>
        <w:spacing w:before="0" w:after="240"/>
        <w:rPr>
          <w:rFonts w:eastAsia="Arial Unicode MS"/>
          <w:noProof/>
        </w:rPr>
      </w:pPr>
      <w:r>
        <w:rPr>
          <w:noProof/>
        </w:rPr>
        <w:t>Notranjim sporazumom med predstavniki vlad držav članic Evropske unije, ki so se sestali v okviru Sveta, o financiranju pomoči Evropske unije v okviru večletnega finančnega okvira za obdobje 2014–2020 v skladu s Sporazumom o partnerstvu AKP-EU in o dodelitvi finančne pomoči čezmorskim državam in ozemljem, za katere se uporablja četrti del Pogodbe o delovanju Evropske unije</w:t>
      </w:r>
      <w:r>
        <w:rPr>
          <w:rStyle w:val="FootnoteReference"/>
          <w:rFonts w:eastAsia="Arial Unicode MS"/>
          <w:noProof/>
        </w:rPr>
        <w:footnoteReference w:id="2"/>
      </w:r>
      <w:r>
        <w:rPr>
          <w:noProof/>
        </w:rPr>
        <w:t xml:space="preserve"> (v nadaljnjem besedilu: Notranji sporazum za 11. ERS),</w:t>
      </w:r>
    </w:p>
    <w:p w:rsidR="005404B4" w:rsidRDefault="00860D4C">
      <w:pPr>
        <w:pBdr>
          <w:top w:val="nil"/>
          <w:left w:val="nil"/>
          <w:bottom w:val="nil"/>
          <w:right w:val="nil"/>
          <w:between w:val="nil"/>
          <w:bar w:val="nil"/>
        </w:pBdr>
        <w:spacing w:before="0" w:after="240"/>
        <w:rPr>
          <w:rFonts w:eastAsia="Arial Unicode MS"/>
          <w:noProof/>
        </w:rPr>
      </w:pPr>
      <w:r>
        <w:rPr>
          <w:noProof/>
        </w:rPr>
        <w:t>Uredbo Sveta (EU) 2018/1877 o finančni uredbi, ki se uporablja za 11. Evropski razvojni sklad</w:t>
      </w:r>
      <w:r>
        <w:rPr>
          <w:rStyle w:val="FootnoteReference"/>
          <w:rFonts w:eastAsia="Arial Unicode MS"/>
          <w:noProof/>
        </w:rPr>
        <w:footnoteReference w:id="3"/>
      </w:r>
      <w:r>
        <w:rPr>
          <w:noProof/>
        </w:rPr>
        <w:t xml:space="preserve"> (v nadaljnjem besedilu: finančna uredba za 11. ERS).</w:t>
      </w:r>
    </w:p>
    <w:p w:rsidR="005404B4" w:rsidRDefault="00860D4C">
      <w:pPr>
        <w:pBdr>
          <w:top w:val="nil"/>
          <w:left w:val="nil"/>
          <w:bottom w:val="nil"/>
          <w:right w:val="nil"/>
          <w:between w:val="nil"/>
          <w:bar w:val="nil"/>
        </w:pBdr>
        <w:spacing w:before="0" w:after="240"/>
        <w:rPr>
          <w:rFonts w:eastAsia="Arial Unicode MS"/>
          <w:noProof/>
        </w:rPr>
      </w:pPr>
      <w:r>
        <w:rPr>
          <w:noProof/>
        </w:rPr>
        <w:t xml:space="preserve">Zgoraj navedeni dokumenti vsebujejo večletne obveznosti držav članic za finančno podporo zakladnici ERS. Finančna uredba za 11. ERS določa redne prispevke držav članic v zakladnico ERS glede na vnaprej določene finančne obveznosti. Redni prispevki se vpokličejo s tehničnimi sklepi Sveta, ki odražajo izvrševanje prej določenih finančnih obveznosti. </w:t>
      </w:r>
    </w:p>
    <w:p w:rsidR="005404B4" w:rsidRDefault="00860D4C">
      <w:pPr>
        <w:pBdr>
          <w:top w:val="nil"/>
          <w:left w:val="nil"/>
          <w:bottom w:val="nil"/>
          <w:right w:val="nil"/>
          <w:between w:val="nil"/>
          <w:bar w:val="nil"/>
        </w:pBdr>
        <w:spacing w:before="0" w:after="240"/>
        <w:rPr>
          <w:rFonts w:eastAsia="Arial Unicode MS"/>
          <w:noProof/>
        </w:rPr>
      </w:pPr>
      <w:r>
        <w:rPr>
          <w:noProof/>
        </w:rPr>
        <w:t>Nekateri naslovi obrazložitvenega memoranduma zato niso relevantni za redne zahtevke za prispevke, kot je ta.</w:t>
      </w:r>
    </w:p>
    <w:p w:rsidR="005404B4" w:rsidRDefault="00860D4C">
      <w:pPr>
        <w:pStyle w:val="ManualHeading1"/>
        <w:rPr>
          <w:noProof/>
        </w:rPr>
      </w:pPr>
      <w:r>
        <w:rPr>
          <w:noProof/>
        </w:rPr>
        <w:t>2.</w:t>
      </w:r>
      <w:r>
        <w:rPr>
          <w:noProof/>
        </w:rPr>
        <w:tab/>
        <w:t>PRAVNA PODLAGA, SUBSIDIARNOST IN SORAZMERNOST</w:t>
      </w:r>
    </w:p>
    <w:p w:rsidR="005404B4" w:rsidRDefault="00860D4C">
      <w:pPr>
        <w:pStyle w:val="ManualHeading2"/>
        <w:rPr>
          <w:rFonts w:eastAsia="Arial Unicode MS"/>
          <w:noProof/>
          <w:u w:color="000000"/>
          <w:bdr w:val="nil"/>
        </w:rPr>
      </w:pPr>
      <w:r>
        <w:rPr>
          <w:noProof/>
          <w:u w:color="000000"/>
          <w:bdr w:val="nil"/>
        </w:rPr>
        <w:t>•</w:t>
      </w:r>
      <w:r>
        <w:rPr>
          <w:noProof/>
        </w:rPr>
        <w:tab/>
      </w:r>
      <w:r>
        <w:rPr>
          <w:noProof/>
          <w:u w:color="000000"/>
          <w:bdr w:val="nil"/>
        </w:rPr>
        <w:t>Pravna podlaga</w:t>
      </w:r>
    </w:p>
    <w:p w:rsidR="005404B4" w:rsidRDefault="00860D4C">
      <w:pPr>
        <w:pBdr>
          <w:top w:val="nil"/>
          <w:left w:val="nil"/>
          <w:bottom w:val="nil"/>
          <w:right w:val="nil"/>
          <w:between w:val="nil"/>
          <w:bar w:val="nil"/>
        </w:pBdr>
        <w:spacing w:before="0" w:after="240"/>
        <w:rPr>
          <w:rFonts w:eastAsia="Arial Unicode MS"/>
          <w:noProof/>
        </w:rPr>
      </w:pPr>
      <w:r>
        <w:rPr>
          <w:noProof/>
        </w:rPr>
        <w:t>V skladu s členom 19(7) finančne uredbe za 11. ERS se znesek, ki ga upravlja Evropska komisija, in znesek, ki ga upravlja Evropska investicijska banka (EIB), določita ločeno.</w:t>
      </w:r>
    </w:p>
    <w:p w:rsidR="005404B4" w:rsidRDefault="00860D4C">
      <w:pPr>
        <w:pBdr>
          <w:top w:val="nil"/>
          <w:left w:val="nil"/>
          <w:bottom w:val="nil"/>
          <w:right w:val="nil"/>
          <w:between w:val="nil"/>
          <w:bar w:val="nil"/>
        </w:pBdr>
        <w:spacing w:before="0" w:after="240"/>
        <w:rPr>
          <w:rFonts w:eastAsia="Arial Unicode MS"/>
          <w:noProof/>
        </w:rPr>
      </w:pPr>
      <w:r>
        <w:rPr>
          <w:noProof/>
        </w:rPr>
        <w:t>V skladu s členom 46 finančne uredbe za 11. ERS je EIB Evropski komisiji sporočila posodobljene ocene obveznosti in plačil za instrumente, ki jih upravlja.</w:t>
      </w:r>
    </w:p>
    <w:p w:rsidR="005404B4" w:rsidRDefault="00860D4C">
      <w:pPr>
        <w:pBdr>
          <w:top w:val="nil"/>
          <w:left w:val="nil"/>
          <w:bottom w:val="nil"/>
          <w:right w:val="nil"/>
          <w:between w:val="nil"/>
          <w:bar w:val="nil"/>
        </w:pBdr>
        <w:spacing w:before="0" w:after="240"/>
        <w:rPr>
          <w:rFonts w:eastAsia="Arial Unicode MS"/>
          <w:noProof/>
        </w:rPr>
      </w:pPr>
      <w:r>
        <w:rPr>
          <w:noProof/>
        </w:rPr>
        <w:t>V skladu s členom 20(1) finančne uredbe za 11. ERS se pri zahtevkih za prispevke najprej porabijo zneski, ki so na razpolago iz prejšnjih ERS, in sicer eden za drugim. Zato zahtevki za prispevke v okviru tega predloga zadevajo zneske iz 10. ERS za EIB ter zneske iz 11. ERS za Evropsko komisijo.</w:t>
      </w:r>
    </w:p>
    <w:p w:rsidR="005404B4" w:rsidRDefault="00860D4C">
      <w:pPr>
        <w:pBdr>
          <w:top w:val="nil"/>
          <w:left w:val="nil"/>
          <w:bottom w:val="nil"/>
          <w:right w:val="nil"/>
          <w:between w:val="nil"/>
          <w:bar w:val="nil"/>
        </w:pBdr>
        <w:spacing w:before="0" w:after="240"/>
        <w:rPr>
          <w:rFonts w:eastAsia="Arial Unicode MS"/>
          <w:noProof/>
        </w:rPr>
      </w:pPr>
      <w:r>
        <w:rPr>
          <w:noProof/>
        </w:rPr>
        <w:lastRenderedPageBreak/>
        <w:t>V skladu s členom 19(3) finančne uredbe za 11. ERS mora Svet sprejeti sklep o tem predlogu najkasneje v 21 koledarskih dneh po predložitvi predloga s strani Evropske komisije, ki deluje v imenu Evropske unije.</w:t>
      </w:r>
    </w:p>
    <w:p w:rsidR="005404B4" w:rsidRDefault="00860D4C">
      <w:pPr>
        <w:pBdr>
          <w:top w:val="nil"/>
          <w:left w:val="nil"/>
          <w:bottom w:val="nil"/>
          <w:right w:val="nil"/>
          <w:between w:val="nil"/>
          <w:bar w:val="nil"/>
        </w:pBdr>
        <w:spacing w:before="0" w:after="240"/>
        <w:rPr>
          <w:rFonts w:eastAsia="Arial Unicode MS"/>
          <w:noProof/>
        </w:rPr>
      </w:pPr>
      <w:r>
        <w:rPr>
          <w:noProof/>
        </w:rPr>
        <w:t>Člen 21(1) finančne uredbe za 11. ERS določa, da bo morala država članica, ki ni pravočasno plačala obroka prispevka, plačati obresti za neplačani znesek; način plačila obresti je urejen v istem členu.</w:t>
      </w:r>
    </w:p>
    <w:p w:rsidR="005404B4" w:rsidRDefault="005404B4">
      <w:pPr>
        <w:pBdr>
          <w:top w:val="nil"/>
          <w:left w:val="nil"/>
          <w:bottom w:val="nil"/>
          <w:right w:val="nil"/>
          <w:between w:val="nil"/>
          <w:bar w:val="nil"/>
        </w:pBdr>
        <w:spacing w:before="0" w:after="240"/>
        <w:rPr>
          <w:rFonts w:eastAsia="Arial Unicode MS"/>
          <w:noProof/>
        </w:rPr>
        <w:sectPr w:rsidR="005404B4">
          <w:footerReference w:type="default" r:id="rId21"/>
          <w:footerReference w:type="first" r:id="rId22"/>
          <w:pgSz w:w="11907" w:h="16839"/>
          <w:pgMar w:top="1134" w:right="1417" w:bottom="1134" w:left="1417" w:header="709" w:footer="709" w:gutter="0"/>
          <w:cols w:space="708"/>
          <w:docGrid w:linePitch="360"/>
        </w:sectPr>
      </w:pPr>
    </w:p>
    <w:p w:rsidR="005404B4" w:rsidRDefault="00860D4C">
      <w:pPr>
        <w:pStyle w:val="Rfrenceinterinstitutionnelle"/>
        <w:rPr>
          <w:noProof/>
        </w:rPr>
      </w:pPr>
      <w:r>
        <w:rPr>
          <w:noProof/>
        </w:rPr>
        <w:lastRenderedPageBreak/>
        <w:t>2020/0115 (NLE)</w:t>
      </w:r>
    </w:p>
    <w:p w:rsidR="005404B4" w:rsidRDefault="00860D4C">
      <w:pPr>
        <w:pStyle w:val="Statut"/>
        <w:rPr>
          <w:noProof/>
        </w:rPr>
      </w:pPr>
      <w:r>
        <w:rPr>
          <w:noProof/>
        </w:rPr>
        <w:t>Predlog</w:t>
      </w:r>
    </w:p>
    <w:p w:rsidR="005404B4" w:rsidRDefault="00860D4C">
      <w:pPr>
        <w:pStyle w:val="Typedudocument"/>
        <w:rPr>
          <w:noProof/>
        </w:rPr>
      </w:pPr>
      <w:r>
        <w:rPr>
          <w:noProof/>
        </w:rPr>
        <w:t>SKLEP SVETA</w:t>
      </w:r>
    </w:p>
    <w:p w:rsidR="005404B4" w:rsidRDefault="00860D4C">
      <w:pPr>
        <w:pStyle w:val="Titreobjet"/>
        <w:rPr>
          <w:noProof/>
        </w:rPr>
      </w:pPr>
      <w:r>
        <w:rPr>
          <w:noProof/>
        </w:rPr>
        <w:t>o finančnih prispevkih držav članic za financiranje Evropskega razvojnega sklada, vključno z drugim obrokom za leto 2020</w:t>
      </w:r>
    </w:p>
    <w:p w:rsidR="005404B4" w:rsidRDefault="00860D4C">
      <w:pPr>
        <w:pStyle w:val="Institutionquiagit"/>
        <w:rPr>
          <w:noProof/>
        </w:rPr>
      </w:pPr>
      <w:r>
        <w:rPr>
          <w:noProof/>
        </w:rPr>
        <w:t>SVET EVROPSKE UNIJE JE –</w:t>
      </w:r>
    </w:p>
    <w:p w:rsidR="005404B4" w:rsidRDefault="00860D4C">
      <w:pPr>
        <w:rPr>
          <w:noProof/>
        </w:rPr>
      </w:pPr>
      <w:r>
        <w:rPr>
          <w:noProof/>
        </w:rPr>
        <w:t>ob upoštevanju Pogodbe o Evropski uniji in Pogodbe o delovanju Evropske unije,</w:t>
      </w:r>
    </w:p>
    <w:p w:rsidR="005404B4" w:rsidRDefault="00860D4C">
      <w:pPr>
        <w:rPr>
          <w:noProof/>
        </w:rPr>
      </w:pPr>
      <w:r>
        <w:rPr>
          <w:noProof/>
        </w:rPr>
        <w:t>ob upoštevanju Notranjega sporazuma med predstavniki vlad držav članic Evropske unije, ki so se sestali v okviru Sveta, o financiranju pomoči Evropske unije v okviru večletnega finančnega okvira za obdobje 2014–2020 v skladu s Sporazumom o partnerstvu AKP-EU in o dodelitvi finančne pomoči čezmorskim državam in ozemljem, za katere se uporablja četrti del Pogodbe o delovanju Evropske unije</w:t>
      </w:r>
      <w:r>
        <w:rPr>
          <w:rStyle w:val="FootnoteReference"/>
          <w:noProof/>
        </w:rPr>
        <w:footnoteReference w:id="4"/>
      </w:r>
      <w:r>
        <w:rPr>
          <w:noProof/>
        </w:rPr>
        <w:t xml:space="preserve"> (v nadaljnjem besedilu: Notranji sporazum), ter zlasti člena 7 Notranjega sporazuma,</w:t>
      </w:r>
    </w:p>
    <w:p w:rsidR="005404B4" w:rsidRDefault="00860D4C">
      <w:pPr>
        <w:rPr>
          <w:noProof/>
        </w:rPr>
      </w:pPr>
      <w:r>
        <w:rPr>
          <w:noProof/>
        </w:rPr>
        <w:t>ob upoštevanju Uredbe Sveta (EU) 2018/1877 z dne 26. novembra 2018 o finančni uredbi, ki se uporablja za 11. Evropski razvojni sklad (ERS) (v nadaljnjem besedilu: finančna uredba za 11. ERS)</w:t>
      </w:r>
      <w:r>
        <w:rPr>
          <w:rStyle w:val="FootnoteReference"/>
          <w:noProof/>
        </w:rPr>
        <w:footnoteReference w:id="5"/>
      </w:r>
      <w:r>
        <w:rPr>
          <w:noProof/>
        </w:rPr>
        <w:t>, zlasti člena 19(3) in (4) Uredbe,</w:t>
      </w:r>
    </w:p>
    <w:p w:rsidR="005404B4" w:rsidRDefault="00860D4C">
      <w:pPr>
        <w:rPr>
          <w:noProof/>
        </w:rPr>
      </w:pPr>
      <w:r>
        <w:rPr>
          <w:noProof/>
        </w:rPr>
        <w:t>ob upoštevanju predloga Evropske komisije,</w:t>
      </w:r>
    </w:p>
    <w:p w:rsidR="005404B4" w:rsidRDefault="00860D4C">
      <w:pPr>
        <w:rPr>
          <w:noProof/>
        </w:rPr>
      </w:pPr>
      <w:r>
        <w:rPr>
          <w:noProof/>
        </w:rPr>
        <w:t>ob upoštevanju naslednjega:</w:t>
      </w:r>
    </w:p>
    <w:p w:rsidR="005404B4" w:rsidRDefault="00860D4C">
      <w:pPr>
        <w:pStyle w:val="ManualConsidrant"/>
        <w:rPr>
          <w:noProof/>
        </w:rPr>
      </w:pPr>
      <w:r>
        <w:t>(1)</w:t>
      </w:r>
      <w:r>
        <w:tab/>
      </w:r>
      <w:r>
        <w:rPr>
          <w:noProof/>
        </w:rPr>
        <w:t>V skladu s postopkom iz členov 19 do 22 finančne uredbe za 11. ERS mora Evropska komisija do 15. junija 2020 predstaviti predlog, v katerem določi (a) znesek drugega obroka prispevka za leto 2020 in (b) spremenjeni letni znesek prispevka za leto 2020, v primerih, ko letni znesek odstopa od dejanskih potreb.</w:t>
      </w:r>
    </w:p>
    <w:p w:rsidR="005404B4" w:rsidRDefault="00860D4C">
      <w:pPr>
        <w:pStyle w:val="ManualConsidrant"/>
        <w:rPr>
          <w:noProof/>
        </w:rPr>
      </w:pPr>
      <w:r>
        <w:t>(2)</w:t>
      </w:r>
      <w:r>
        <w:tab/>
      </w:r>
      <w:r>
        <w:rPr>
          <w:noProof/>
        </w:rPr>
        <w:t>V skladu s členom 46 finančne uredbe za 11. ERS je Evropska investicijska banka (EIB) Evropski komisiji 8. aprila 2020 sporočila posodobljene ocene obveznosti in plačil za instrumente, ki jih upravlja.</w:t>
      </w:r>
    </w:p>
    <w:p w:rsidR="005404B4" w:rsidRDefault="00860D4C">
      <w:pPr>
        <w:pStyle w:val="ManualConsidrant"/>
        <w:rPr>
          <w:noProof/>
        </w:rPr>
      </w:pPr>
      <w:r>
        <w:t>(3)</w:t>
      </w:r>
      <w:r>
        <w:tab/>
      </w:r>
      <w:r>
        <w:rPr>
          <w:noProof/>
        </w:rPr>
        <w:t>Člen 20(1) finančne uredbe za 11. ERS določa, da se pri zahtevkih za prispevke najprej porabijo zneski, določeni v prejšnjih ERS. Zato bi bilo treba pozvati k vplačilu sredstev v sklopu 10. ERS za EIB ter 11. ERS za Komisijo.</w:t>
      </w:r>
    </w:p>
    <w:p w:rsidR="005404B4" w:rsidRDefault="00860D4C">
      <w:pPr>
        <w:pStyle w:val="ManualConsidrant"/>
        <w:rPr>
          <w:noProof/>
        </w:rPr>
      </w:pPr>
      <w:r>
        <w:t>(4)</w:t>
      </w:r>
      <w:r>
        <w:tab/>
      </w:r>
      <w:r>
        <w:rPr>
          <w:noProof/>
        </w:rPr>
        <w:t>Člen 55 finančne uredbe za 11. ERS določa, da se prispevki držav članic, navedeni v točki (a) člena 1(2) Notranjega sporazuma, zmanjšajo za zneske iz projektov v okviru 10. ERS ali iz drugih prejšnjih ERS, za katere v skladu s členom 1(3) Notranjega sporazuma niso bile prevzete obveznosti ali ki so se sprostili v skladu s členom 1(4) Notranjega sporazuma, razen če Svet soglasno odloči drugače.</w:t>
      </w:r>
    </w:p>
    <w:p w:rsidR="005404B4" w:rsidRDefault="00860D4C">
      <w:pPr>
        <w:pStyle w:val="ManualConsidrant"/>
        <w:rPr>
          <w:rStyle w:val="CommentReference"/>
          <w:noProof/>
          <w:sz w:val="24"/>
          <w:szCs w:val="22"/>
        </w:rPr>
      </w:pPr>
      <w:r>
        <w:rPr>
          <w:rStyle w:val="CommentReference"/>
        </w:rPr>
        <w:t>(5)</w:t>
      </w:r>
      <w:r>
        <w:rPr>
          <w:rStyle w:val="CommentReference"/>
        </w:rPr>
        <w:tab/>
      </w:r>
      <w:r>
        <w:rPr>
          <w:noProof/>
        </w:rPr>
        <w:t>Svet je s Sklepom (EU) 2019/1800</w:t>
      </w:r>
      <w:r>
        <w:rPr>
          <w:rStyle w:val="FootnoteReference"/>
          <w:noProof/>
        </w:rPr>
        <w:footnoteReference w:id="6"/>
      </w:r>
      <w:r>
        <w:rPr>
          <w:noProof/>
        </w:rPr>
        <w:t xml:space="preserve"> dne 24. oktobra 2019 na podlagi predloga Evropske komisije sprejel sklep, ki določa letni znesek prispevkov držav članic v ERS </w:t>
      </w:r>
      <w:r>
        <w:rPr>
          <w:noProof/>
        </w:rPr>
        <w:lastRenderedPageBreak/>
        <w:t>za leto 2020, in sicer v višini 4 400 000 000 EUR za Evropsko komisijo in v višini 300 000 000 EUR za Evropsko investicijsko banko –</w:t>
      </w:r>
    </w:p>
    <w:p w:rsidR="005404B4" w:rsidRDefault="00860D4C">
      <w:pPr>
        <w:pStyle w:val="Formuledadoption"/>
        <w:rPr>
          <w:noProof/>
        </w:rPr>
      </w:pPr>
      <w:r>
        <w:rPr>
          <w:noProof/>
        </w:rPr>
        <w:t xml:space="preserve">SPREJEL NASLEDNJI SKLEP: </w:t>
      </w:r>
    </w:p>
    <w:p w:rsidR="005404B4" w:rsidRDefault="00860D4C">
      <w:pPr>
        <w:pStyle w:val="Titrearticle"/>
        <w:rPr>
          <w:noProof/>
        </w:rPr>
      </w:pPr>
      <w:r>
        <w:rPr>
          <w:noProof/>
        </w:rPr>
        <w:t>Člen 1</w:t>
      </w:r>
    </w:p>
    <w:p w:rsidR="005404B4" w:rsidRDefault="00860D4C">
      <w:pPr>
        <w:rPr>
          <w:noProof/>
        </w:rPr>
      </w:pPr>
      <w:r>
        <w:rPr>
          <w:noProof/>
        </w:rPr>
        <w:t>Posamezni prispevki v Evropski razvojni sklad, ki jih države članice plačajo Evropski komisiji in Evropski investicijski banki v okviru drugega obroka za leto 2020, so določeni v razpredelnici v Prilogi k temu sklepu.</w:t>
      </w:r>
    </w:p>
    <w:p w:rsidR="005404B4" w:rsidRDefault="00860D4C">
      <w:pPr>
        <w:pStyle w:val="Titrearticle"/>
        <w:keepNext w:val="0"/>
        <w:rPr>
          <w:noProof/>
        </w:rPr>
      </w:pPr>
      <w:r>
        <w:rPr>
          <w:noProof/>
        </w:rPr>
        <w:t>Člen 2</w:t>
      </w:r>
    </w:p>
    <w:p w:rsidR="005404B4" w:rsidRDefault="00860D4C">
      <w:pPr>
        <w:keepLines/>
        <w:rPr>
          <w:noProof/>
        </w:rPr>
      </w:pPr>
      <w:r>
        <w:rPr>
          <w:noProof/>
        </w:rPr>
        <w:t xml:space="preserve">Ta sklep začne veljati na dan objave v </w:t>
      </w:r>
      <w:r>
        <w:rPr>
          <w:i/>
          <w:iCs/>
          <w:noProof/>
        </w:rPr>
        <w:t>Uradnem listu Evropske unije</w:t>
      </w:r>
      <w:r>
        <w:rPr>
          <w:noProof/>
        </w:rPr>
        <w:t>.</w:t>
      </w:r>
    </w:p>
    <w:p w:rsidR="005404B4" w:rsidRDefault="00860D4C">
      <w:pPr>
        <w:pStyle w:val="Titrearticle"/>
        <w:rPr>
          <w:noProof/>
        </w:rPr>
      </w:pPr>
      <w:r>
        <w:rPr>
          <w:noProof/>
        </w:rPr>
        <w:t>Člen 3</w:t>
      </w:r>
    </w:p>
    <w:p w:rsidR="005404B4" w:rsidRDefault="00860D4C">
      <w:pPr>
        <w:rPr>
          <w:noProof/>
        </w:rPr>
      </w:pPr>
      <w:r>
        <w:rPr>
          <w:noProof/>
        </w:rPr>
        <w:t>Ta sklep je naslovljen na države članice.</w:t>
      </w:r>
    </w:p>
    <w:p w:rsidR="005404B4" w:rsidRDefault="00860D4C">
      <w:pPr>
        <w:pStyle w:val="Fait"/>
        <w:rPr>
          <w:noProof/>
        </w:rPr>
      </w:pPr>
      <w:r>
        <w:t>V Bruslju,</w:t>
      </w:r>
    </w:p>
    <w:p w:rsidR="005404B4" w:rsidRDefault="00860D4C">
      <w:pPr>
        <w:pStyle w:val="Institutionquisigne"/>
        <w:rPr>
          <w:noProof/>
        </w:rPr>
      </w:pPr>
      <w:r>
        <w:rPr>
          <w:noProof/>
        </w:rPr>
        <w:tab/>
        <w:t>Za Svet</w:t>
      </w:r>
    </w:p>
    <w:p w:rsidR="005404B4" w:rsidRDefault="00860D4C">
      <w:pPr>
        <w:pStyle w:val="Personnequisigne"/>
        <w:rPr>
          <w:noProof/>
        </w:rPr>
      </w:pPr>
      <w:r>
        <w:rPr>
          <w:noProof/>
        </w:rPr>
        <w:tab/>
        <w:t>Predsednik</w:t>
      </w:r>
    </w:p>
    <w:sectPr w:rsidR="005404B4">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4B4" w:rsidRDefault="00860D4C">
      <w:pPr>
        <w:spacing w:before="0" w:after="0"/>
      </w:pPr>
      <w:r>
        <w:separator/>
      </w:r>
    </w:p>
  </w:endnote>
  <w:endnote w:type="continuationSeparator" w:id="0">
    <w:p w:rsidR="005404B4" w:rsidRDefault="00860D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D4C" w:rsidRPr="00DD13FE" w:rsidRDefault="00860D4C" w:rsidP="00DD1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DD13FE" w:rsidRPr="00D94637" w:rsidTr="00DD13FE">
      <w:trPr>
        <w:jc w:val="center"/>
      </w:trPr>
      <w:tc>
        <w:tcPr>
          <w:tcW w:w="5000" w:type="pct"/>
          <w:gridSpan w:val="7"/>
          <w:shd w:val="clear" w:color="auto" w:fill="auto"/>
          <w:tcMar>
            <w:top w:w="57" w:type="dxa"/>
          </w:tcMar>
        </w:tcPr>
        <w:p w:rsidR="00DD13FE" w:rsidRPr="00D94637" w:rsidRDefault="00DD13FE" w:rsidP="00D94637">
          <w:pPr>
            <w:pStyle w:val="FooterText"/>
            <w:pBdr>
              <w:top w:val="single" w:sz="4" w:space="1" w:color="auto"/>
            </w:pBdr>
            <w:spacing w:before="200"/>
            <w:rPr>
              <w:sz w:val="2"/>
              <w:szCs w:val="2"/>
            </w:rPr>
          </w:pPr>
          <w:bookmarkStart w:id="2" w:name="FOOTER_STANDARD"/>
        </w:p>
      </w:tc>
    </w:tr>
    <w:tr w:rsidR="00DD13FE" w:rsidRPr="00B310DC" w:rsidTr="00DD13FE">
      <w:trPr>
        <w:jc w:val="center"/>
      </w:trPr>
      <w:tc>
        <w:tcPr>
          <w:tcW w:w="2500" w:type="pct"/>
          <w:gridSpan w:val="2"/>
          <w:shd w:val="clear" w:color="auto" w:fill="auto"/>
          <w:tcMar>
            <w:top w:w="0" w:type="dxa"/>
          </w:tcMar>
        </w:tcPr>
        <w:p w:rsidR="00DD13FE" w:rsidRPr="00AD7BF2" w:rsidRDefault="00DD13FE" w:rsidP="004F54B2">
          <w:pPr>
            <w:pStyle w:val="FooterText"/>
          </w:pPr>
          <w:r>
            <w:t>8833/20</w:t>
          </w:r>
          <w:r w:rsidRPr="002511D8">
            <w:t xml:space="preserve"> </w:t>
          </w:r>
        </w:p>
      </w:tc>
      <w:tc>
        <w:tcPr>
          <w:tcW w:w="625" w:type="pct"/>
          <w:shd w:val="clear" w:color="auto" w:fill="auto"/>
          <w:tcMar>
            <w:top w:w="0" w:type="dxa"/>
          </w:tcMar>
        </w:tcPr>
        <w:p w:rsidR="00DD13FE" w:rsidRPr="00AD7BF2" w:rsidRDefault="00DD13FE" w:rsidP="00D94637">
          <w:pPr>
            <w:pStyle w:val="FooterText"/>
            <w:jc w:val="center"/>
          </w:pPr>
        </w:p>
      </w:tc>
      <w:tc>
        <w:tcPr>
          <w:tcW w:w="1286" w:type="pct"/>
          <w:gridSpan w:val="3"/>
          <w:shd w:val="clear" w:color="auto" w:fill="auto"/>
          <w:tcMar>
            <w:top w:w="0" w:type="dxa"/>
          </w:tcMar>
        </w:tcPr>
        <w:p w:rsidR="00DD13FE" w:rsidRPr="002511D8" w:rsidRDefault="00DD13FE" w:rsidP="00D94637">
          <w:pPr>
            <w:pStyle w:val="FooterText"/>
            <w:jc w:val="center"/>
          </w:pPr>
          <w:r>
            <w:t>dk</w:t>
          </w:r>
        </w:p>
      </w:tc>
      <w:tc>
        <w:tcPr>
          <w:tcW w:w="589" w:type="pct"/>
          <w:shd w:val="clear" w:color="auto" w:fill="auto"/>
          <w:tcMar>
            <w:top w:w="0" w:type="dxa"/>
          </w:tcMar>
        </w:tcPr>
        <w:p w:rsidR="00DD13FE" w:rsidRPr="00B310DC" w:rsidRDefault="00DD13FE" w:rsidP="00DD13FE">
          <w:pPr>
            <w:pStyle w:val="FooterText"/>
            <w:jc w:val="right"/>
          </w:pPr>
          <w:r>
            <w:fldChar w:fldCharType="begin"/>
          </w:r>
          <w:r>
            <w:instrText xml:space="preserve"> PAGE  \* MERGEFORMAT </w:instrText>
          </w:r>
          <w:r>
            <w:fldChar w:fldCharType="separate"/>
          </w:r>
          <w:r>
            <w:rPr>
              <w:noProof/>
            </w:rPr>
            <w:t>0</w:t>
          </w:r>
          <w:r>
            <w:fldChar w:fldCharType="end"/>
          </w:r>
        </w:p>
      </w:tc>
    </w:tr>
    <w:tr w:rsidR="00DD13FE" w:rsidRPr="00D94637" w:rsidTr="00DD13FE">
      <w:trPr>
        <w:jc w:val="center"/>
      </w:trPr>
      <w:tc>
        <w:tcPr>
          <w:tcW w:w="1774" w:type="pct"/>
          <w:shd w:val="clear" w:color="auto" w:fill="auto"/>
        </w:tcPr>
        <w:p w:rsidR="00DD13FE" w:rsidRPr="00AD7BF2" w:rsidRDefault="00DD13FE" w:rsidP="00D94637">
          <w:pPr>
            <w:pStyle w:val="FooterText"/>
            <w:spacing w:before="40"/>
          </w:pPr>
        </w:p>
      </w:tc>
      <w:tc>
        <w:tcPr>
          <w:tcW w:w="1455" w:type="pct"/>
          <w:gridSpan w:val="3"/>
          <w:shd w:val="clear" w:color="auto" w:fill="auto"/>
        </w:tcPr>
        <w:p w:rsidR="00DD13FE" w:rsidRPr="00AD7BF2" w:rsidRDefault="00DD13FE" w:rsidP="00D204D6">
          <w:pPr>
            <w:pStyle w:val="FooterText"/>
            <w:spacing w:before="40"/>
            <w:jc w:val="center"/>
          </w:pPr>
          <w:r>
            <w:t>RELEX.1.B</w:t>
          </w:r>
        </w:p>
      </w:tc>
      <w:tc>
        <w:tcPr>
          <w:tcW w:w="742" w:type="pct"/>
          <w:shd w:val="clear" w:color="auto" w:fill="auto"/>
        </w:tcPr>
        <w:p w:rsidR="00DD13FE" w:rsidRPr="00D94637" w:rsidRDefault="00DD13FE" w:rsidP="002F0099">
          <w:pPr>
            <w:pStyle w:val="FooterText"/>
            <w:jc w:val="center"/>
            <w:rPr>
              <w:b/>
              <w:position w:val="-4"/>
              <w:sz w:val="36"/>
            </w:rPr>
          </w:pPr>
        </w:p>
      </w:tc>
      <w:tc>
        <w:tcPr>
          <w:tcW w:w="1029" w:type="pct"/>
          <w:gridSpan w:val="2"/>
          <w:shd w:val="clear" w:color="auto" w:fill="auto"/>
        </w:tcPr>
        <w:p w:rsidR="00DD13FE" w:rsidRPr="000310C2" w:rsidRDefault="00DD13FE" w:rsidP="00D94637">
          <w:pPr>
            <w:pStyle w:val="FooterText"/>
            <w:jc w:val="right"/>
            <w:rPr>
              <w:spacing w:val="-20"/>
              <w:sz w:val="16"/>
            </w:rPr>
          </w:pPr>
          <w:r>
            <w:rPr>
              <w:b/>
              <w:spacing w:val="-20"/>
              <w:position w:val="-4"/>
              <w:sz w:val="36"/>
            </w:rPr>
            <w:t>SL</w:t>
          </w:r>
        </w:p>
      </w:tc>
    </w:tr>
    <w:bookmarkEnd w:id="2"/>
  </w:tbl>
  <w:p w:rsidR="005404B4" w:rsidRPr="00DD13FE" w:rsidRDefault="005404B4" w:rsidP="00DD13FE">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DD13FE" w:rsidRPr="00D94637" w:rsidTr="00DD13FE">
      <w:trPr>
        <w:jc w:val="center"/>
      </w:trPr>
      <w:tc>
        <w:tcPr>
          <w:tcW w:w="5000" w:type="pct"/>
          <w:gridSpan w:val="7"/>
          <w:shd w:val="clear" w:color="auto" w:fill="auto"/>
          <w:tcMar>
            <w:top w:w="57" w:type="dxa"/>
          </w:tcMar>
        </w:tcPr>
        <w:p w:rsidR="00DD13FE" w:rsidRPr="00D94637" w:rsidRDefault="00DD13FE" w:rsidP="00D94637">
          <w:pPr>
            <w:pStyle w:val="FooterText"/>
            <w:pBdr>
              <w:top w:val="single" w:sz="4" w:space="1" w:color="auto"/>
            </w:pBdr>
            <w:spacing w:before="200"/>
            <w:rPr>
              <w:sz w:val="2"/>
              <w:szCs w:val="2"/>
            </w:rPr>
          </w:pPr>
        </w:p>
      </w:tc>
    </w:tr>
    <w:tr w:rsidR="00DD13FE" w:rsidRPr="00B310DC" w:rsidTr="00DD13FE">
      <w:trPr>
        <w:jc w:val="center"/>
      </w:trPr>
      <w:tc>
        <w:tcPr>
          <w:tcW w:w="2500" w:type="pct"/>
          <w:gridSpan w:val="2"/>
          <w:shd w:val="clear" w:color="auto" w:fill="auto"/>
          <w:tcMar>
            <w:top w:w="0" w:type="dxa"/>
          </w:tcMar>
        </w:tcPr>
        <w:p w:rsidR="00DD13FE" w:rsidRPr="00AD7BF2" w:rsidRDefault="00DD13FE" w:rsidP="004F54B2">
          <w:pPr>
            <w:pStyle w:val="FooterText"/>
          </w:pPr>
          <w:r>
            <w:t>8833/20</w:t>
          </w:r>
          <w:r w:rsidRPr="002511D8">
            <w:t xml:space="preserve"> </w:t>
          </w:r>
        </w:p>
      </w:tc>
      <w:tc>
        <w:tcPr>
          <w:tcW w:w="625" w:type="pct"/>
          <w:shd w:val="clear" w:color="auto" w:fill="auto"/>
          <w:tcMar>
            <w:top w:w="0" w:type="dxa"/>
          </w:tcMar>
        </w:tcPr>
        <w:p w:rsidR="00DD13FE" w:rsidRPr="00AD7BF2" w:rsidRDefault="00DD13FE" w:rsidP="00D94637">
          <w:pPr>
            <w:pStyle w:val="FooterText"/>
            <w:jc w:val="center"/>
          </w:pPr>
        </w:p>
      </w:tc>
      <w:tc>
        <w:tcPr>
          <w:tcW w:w="1286" w:type="pct"/>
          <w:gridSpan w:val="3"/>
          <w:shd w:val="clear" w:color="auto" w:fill="auto"/>
          <w:tcMar>
            <w:top w:w="0" w:type="dxa"/>
          </w:tcMar>
        </w:tcPr>
        <w:p w:rsidR="00DD13FE" w:rsidRPr="002511D8" w:rsidRDefault="00DD13FE" w:rsidP="00D94637">
          <w:pPr>
            <w:pStyle w:val="FooterText"/>
            <w:jc w:val="center"/>
          </w:pPr>
          <w:r>
            <w:t>dk</w:t>
          </w:r>
        </w:p>
      </w:tc>
      <w:tc>
        <w:tcPr>
          <w:tcW w:w="589" w:type="pct"/>
          <w:shd w:val="clear" w:color="auto" w:fill="auto"/>
          <w:tcMar>
            <w:top w:w="0" w:type="dxa"/>
          </w:tcMar>
        </w:tcPr>
        <w:p w:rsidR="00DD13FE" w:rsidRPr="00B310DC" w:rsidRDefault="00DD13FE" w:rsidP="00D94637">
          <w:pPr>
            <w:pStyle w:val="FooterText"/>
            <w:jc w:val="right"/>
          </w:pPr>
        </w:p>
      </w:tc>
    </w:tr>
    <w:tr w:rsidR="00DD13FE" w:rsidRPr="00D94637" w:rsidTr="00DD13FE">
      <w:trPr>
        <w:jc w:val="center"/>
      </w:trPr>
      <w:tc>
        <w:tcPr>
          <w:tcW w:w="1774" w:type="pct"/>
          <w:shd w:val="clear" w:color="auto" w:fill="auto"/>
        </w:tcPr>
        <w:p w:rsidR="00DD13FE" w:rsidRPr="00AD7BF2" w:rsidRDefault="00DD13FE" w:rsidP="00D94637">
          <w:pPr>
            <w:pStyle w:val="FooterText"/>
            <w:spacing w:before="40"/>
          </w:pPr>
        </w:p>
      </w:tc>
      <w:tc>
        <w:tcPr>
          <w:tcW w:w="1455" w:type="pct"/>
          <w:gridSpan w:val="3"/>
          <w:shd w:val="clear" w:color="auto" w:fill="auto"/>
        </w:tcPr>
        <w:p w:rsidR="00DD13FE" w:rsidRPr="00AD7BF2" w:rsidRDefault="00DD13FE" w:rsidP="00D204D6">
          <w:pPr>
            <w:pStyle w:val="FooterText"/>
            <w:spacing w:before="40"/>
            <w:jc w:val="center"/>
          </w:pPr>
          <w:r>
            <w:t>RELEX.1.B</w:t>
          </w:r>
        </w:p>
      </w:tc>
      <w:tc>
        <w:tcPr>
          <w:tcW w:w="742" w:type="pct"/>
          <w:shd w:val="clear" w:color="auto" w:fill="auto"/>
        </w:tcPr>
        <w:p w:rsidR="00DD13FE" w:rsidRPr="00D94637" w:rsidRDefault="00DD13FE" w:rsidP="002F0099">
          <w:pPr>
            <w:pStyle w:val="FooterText"/>
            <w:jc w:val="center"/>
            <w:rPr>
              <w:b/>
              <w:position w:val="-4"/>
              <w:sz w:val="36"/>
            </w:rPr>
          </w:pPr>
        </w:p>
      </w:tc>
      <w:tc>
        <w:tcPr>
          <w:tcW w:w="1029" w:type="pct"/>
          <w:gridSpan w:val="2"/>
          <w:shd w:val="clear" w:color="auto" w:fill="auto"/>
        </w:tcPr>
        <w:p w:rsidR="00DD13FE" w:rsidRPr="000310C2" w:rsidRDefault="00DD13FE" w:rsidP="00D94637">
          <w:pPr>
            <w:pStyle w:val="FooterText"/>
            <w:jc w:val="right"/>
            <w:rPr>
              <w:spacing w:val="-20"/>
              <w:sz w:val="16"/>
            </w:rPr>
          </w:pPr>
          <w:r>
            <w:rPr>
              <w:b/>
              <w:spacing w:val="-20"/>
              <w:position w:val="-4"/>
              <w:sz w:val="36"/>
            </w:rPr>
            <w:t>SL</w:t>
          </w:r>
        </w:p>
      </w:tc>
    </w:tr>
  </w:tbl>
  <w:p w:rsidR="00860D4C" w:rsidRPr="00DD13FE" w:rsidRDefault="00860D4C" w:rsidP="00DD13FE">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D4C" w:rsidRDefault="00860D4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D4C" w:rsidRDefault="00860D4C">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D4C" w:rsidRDefault="00860D4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4B4" w:rsidRDefault="00860D4C">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DD13FE">
      <w:rPr>
        <w:noProof/>
      </w:rPr>
      <w:t>4</w:t>
    </w:r>
    <w:r>
      <w:fldChar w:fldCharType="end"/>
    </w:r>
    <w:r>
      <w:tab/>
    </w:r>
    <w:r>
      <w:tab/>
    </w:r>
    <w:r>
      <w:rPr>
        <w:rFonts w:ascii="Arial" w:hAnsi="Arial" w:cs="Arial"/>
        <w:b/>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4B4" w:rsidRDefault="00540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4B4" w:rsidRDefault="00860D4C">
      <w:pPr>
        <w:spacing w:before="0" w:after="0"/>
      </w:pPr>
      <w:r>
        <w:separator/>
      </w:r>
    </w:p>
  </w:footnote>
  <w:footnote w:type="continuationSeparator" w:id="0">
    <w:p w:rsidR="005404B4" w:rsidRDefault="00860D4C">
      <w:pPr>
        <w:spacing w:before="0" w:after="0"/>
      </w:pPr>
      <w:r>
        <w:continuationSeparator/>
      </w:r>
    </w:p>
  </w:footnote>
  <w:footnote w:id="1">
    <w:p w:rsidR="005404B4" w:rsidRDefault="00860D4C">
      <w:pPr>
        <w:pStyle w:val="FootnoteText"/>
      </w:pPr>
      <w:r>
        <w:rPr>
          <w:rStyle w:val="FootnoteReference"/>
        </w:rPr>
        <w:footnoteRef/>
      </w:r>
      <w:r>
        <w:tab/>
        <w:t>UL L 317, 15.12.2000, str. 3.</w:t>
      </w:r>
    </w:p>
  </w:footnote>
  <w:footnote w:id="2">
    <w:p w:rsidR="005404B4" w:rsidRDefault="00860D4C">
      <w:pPr>
        <w:pStyle w:val="FootnoteText"/>
      </w:pPr>
      <w:r>
        <w:rPr>
          <w:rStyle w:val="FootnoteReference"/>
        </w:rPr>
        <w:footnoteRef/>
      </w:r>
      <w:r>
        <w:tab/>
        <w:t>UL L 210, 6.8.2013, str. 1.</w:t>
      </w:r>
    </w:p>
  </w:footnote>
  <w:footnote w:id="3">
    <w:p w:rsidR="005404B4" w:rsidRDefault="00860D4C">
      <w:pPr>
        <w:pStyle w:val="FootnoteText"/>
      </w:pPr>
      <w:r>
        <w:rPr>
          <w:rStyle w:val="FootnoteReference"/>
        </w:rPr>
        <w:footnoteRef/>
      </w:r>
      <w:r>
        <w:tab/>
        <w:t>UL L 307, 3.12.2018, str. 1.</w:t>
      </w:r>
    </w:p>
  </w:footnote>
  <w:footnote w:id="4">
    <w:p w:rsidR="005404B4" w:rsidRDefault="00860D4C">
      <w:pPr>
        <w:pStyle w:val="FootnoteText"/>
      </w:pPr>
      <w:r>
        <w:rPr>
          <w:rStyle w:val="FootnoteReference"/>
        </w:rPr>
        <w:footnoteRef/>
      </w:r>
      <w:r>
        <w:tab/>
        <w:t>UL L 210, 6.8.2013, str. 1.</w:t>
      </w:r>
    </w:p>
  </w:footnote>
  <w:footnote w:id="5">
    <w:p w:rsidR="005404B4" w:rsidRDefault="00860D4C">
      <w:pPr>
        <w:pStyle w:val="FootnoteText"/>
      </w:pPr>
      <w:r>
        <w:rPr>
          <w:rStyle w:val="FootnoteReference"/>
        </w:rPr>
        <w:footnoteRef/>
      </w:r>
      <w:r>
        <w:tab/>
        <w:t>UL L 307, 3.12.2018, str. 7.</w:t>
      </w:r>
    </w:p>
  </w:footnote>
  <w:footnote w:id="6">
    <w:p w:rsidR="005404B4" w:rsidRDefault="00860D4C">
      <w:pPr>
        <w:pStyle w:val="FootnoteText"/>
      </w:pPr>
      <w:r>
        <w:rPr>
          <w:rStyle w:val="FootnoteReference"/>
        </w:rPr>
        <w:footnoteRef/>
      </w:r>
      <w:r>
        <w:tab/>
        <w:t>Sklep Sveta (EU) 2019/1800 z dne 24. oktobra 2019 o finančnih prispevkih držav članic za financiranje Evropskega razvojnega sklada, vključno s prvim obrokom za leto 2020 in letnim zneskom za leto 2020 (UL L 274, 24.10.2019, str.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D4C" w:rsidRPr="00DD13FE" w:rsidRDefault="00860D4C" w:rsidP="00DD1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D4C" w:rsidRPr="00DD13FE" w:rsidRDefault="00DD13FE" w:rsidP="00DD13FE">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D4C" w:rsidRPr="00DD13FE" w:rsidRDefault="00DD13FE" w:rsidP="00DD13FE">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D4C" w:rsidRDefault="00860D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D4C" w:rsidRDefault="00860D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D4C" w:rsidRDefault="00860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1B2A82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7CFA020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E676E964"/>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D46606F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080C1356"/>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2DE3EB6"/>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5A4806A8"/>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DA16F97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isplayBackgroundShape/>
  <w:hideSpellingErrors/>
  <w:hideGrammaticalErrors/>
  <w:attachedTemplate r:id="rId1"/>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CR_RefLast" w:val="0"/>
    <w:docVar w:name="DocuWriteMetaData" w:val="&lt;metadataset docuwriteversion=&quot;4.3.12&quot; technicalblockguid=&quot;4925395989418664969&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20-06-15&lt;/text&gt;_x000d__x000a_  &lt;/metadata&gt;_x000d__x000a_  &lt;metadata key=&quot;md_Prefix&quot;&gt;_x000d__x000a_    &lt;text&gt;&lt;/text&gt;_x000d__x000a_  &lt;/metadata&gt;_x000d__x000a_  &lt;metadata key=&quot;md_DocumentNumber&quot;&gt;_x000d__x000a_    &lt;text&gt;8833&lt;/text&gt;_x000d__x000a_  &lt;/metadata&gt;_x000d__x000a_  &lt;metadata key=&quot;md_YearDocumentNumber&quot;&gt;_x000d__x000a_    &lt;text&gt;2020&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ACP 49&lt;/text&gt;_x000d__x000a_      &lt;text&gt;FIN 363&lt;/text&gt;_x000d__x000a_      &lt;text&gt;PTOM 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0/0115 (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za generalno sekretarko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20-06-15&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0) 234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edlog SKLEPA SVETA o finan&amp;#269;nih prispevkih dr&amp;#382;av &amp;#269;lanic za financiranje Evropskega razvojnega sklada, vklju&amp;#269;no z drugim obrokom za leto 2020&quot;&gt;&amp;lt;FlowDocument FontFamily=&quot;Segoe UI&quot; FontSize=&quot;12&quot; LineHeight=&quot;6&quot; PageWidth=&quot;329&quot; PagePadding=&quot;2,2,2,2&quot; AllowDrop=&quot;False&quot; xmlns=&quot;http://schemas.microsoft.com/winfx/2006/xaml/presentation&quot;&amp;gt;&amp;lt;Paragraph&amp;gt;Predlog SKLEP&amp;lt;Run xml:lang=&quot;sl-si&quot;&amp;gt;A&amp;lt;/Run&amp;gt; SVETA o finan&amp;#269;nih prispevkih dr&amp;#382;av &amp;#269;lanic za financiranje Evropskega razvojnega sklada, vklju&amp;#269;no z drugim obrokom za leto 2020&amp;lt;/Paragraph&amp;gt;&amp;lt;/FlowDocument&amp;gt;&lt;/xaml&gt;_x000d__x000a_  &lt;/metadata&gt;_x000d__x000a_  &lt;metadata key=&quot;md_SubjectFootnote&quot; /&gt;_x000d__x000a_  &lt;metadata key=&quot;md_DG&quot;&gt;_x000d__x000a_    &lt;text&gt;RELEX.1.B&lt;/text&gt;_x000d__x000a_  &lt;/metadata&gt;_x000d__x000a_  &lt;metadata key=&quot;md_Initials&quot;&gt;_x000d__x000a_    &lt;text&gt;d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0&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0&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SKLEP SVETA&lt;/text&gt;_x000d__x000a_  &lt;/metadata&gt;_x000d__x000a_  &lt;metadata key=&quot;md_SourceDocTitle&quot;&gt;_x000d__x000a_    &lt;text&gt;o finan&amp;#269;nih prispevkih dr&amp;#382;av &amp;#269;lanic za financiranje Evropskega razvojnega sklada, vklju&amp;#269;no z drugim obrokom za leto 2020&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QCDateTime" w:val="2020-06-05 10:38:2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8CBF2BA-499C-43EF-89D8-B3E41D8AA222"/>
    <w:docVar w:name="LW_COVERPAGE_TYPE" w:val="1"/>
    <w:docVar w:name="LW_CROSSREFERENCE" w:val="&lt;UNUSED&gt;"/>
    <w:docVar w:name="LW_DocType" w:val="COM"/>
    <w:docVar w:name="LW_EMISSION" w:val="12.6.2020"/>
    <w:docVar w:name="LW_EMISSION_ISODATE" w:val="2020-06-12"/>
    <w:docVar w:name="LW_EMISSION_LOCATION" w:val="BRX"/>
    <w:docVar w:name="LW_EMISSION_PREFIX" w:val="Bruselj,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115"/>
    <w:docVar w:name="LW_REF.II.NEW.CP_YEAR" w:val="2020"/>
    <w:docVar w:name="LW_REF.INST.NEW" w:val="COM"/>
    <w:docVar w:name="LW_REF.INST.NEW_ADOPTED" w:val="final"/>
    <w:docVar w:name="LW_REF.INST.NEW_TEXT" w:val="(2020) 2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finan\u269?nih prispevkih dr\u382?av \u269?lanic za financiranje Evropskega razvojnega sklada, vklju\u269?no z drugim obrokom za leto 2020"/>
    <w:docVar w:name="LW_TYPE.DOC.CP" w:val="SKLEP SVETA"/>
  </w:docVars>
  <w:rsids>
    <w:rsidRoot w:val="005404B4"/>
    <w:rsid w:val="005404B4"/>
    <w:rsid w:val="00690B29"/>
    <w:rsid w:val="00860D4C"/>
    <w:rsid w:val="00DD13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1DD4319A-B79B-4347-8C84-082476FA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unhideWhenUsed/>
    <w:rPr>
      <w:sz w:val="16"/>
      <w:szCs w:val="16"/>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860D4C"/>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860D4C"/>
    <w:pPr>
      <w:spacing w:before="0" w:after="240"/>
      <w:jc w:val="center"/>
    </w:pPr>
  </w:style>
  <w:style w:type="character" w:customStyle="1" w:styleId="TechnicalBlockChar">
    <w:name w:val="Technical Block Char"/>
    <w:basedOn w:val="DefaultParagraphFont"/>
    <w:link w:val="TechnicalBlock"/>
    <w:rsid w:val="00860D4C"/>
    <w:rPr>
      <w:rFonts w:ascii="Times New Roman" w:hAnsi="Times New Roman" w:cs="Times New Roman"/>
      <w:sz w:val="24"/>
      <w:lang w:val="sl-SI"/>
    </w:rPr>
  </w:style>
  <w:style w:type="paragraph" w:customStyle="1" w:styleId="EntText">
    <w:name w:val="EntText"/>
    <w:basedOn w:val="Normal"/>
    <w:rsid w:val="00860D4C"/>
    <w:pPr>
      <w:spacing w:line="360" w:lineRule="auto"/>
      <w:jc w:val="left"/>
    </w:pPr>
  </w:style>
  <w:style w:type="paragraph" w:customStyle="1" w:styleId="Lignefinal">
    <w:name w:val="Ligne final"/>
    <w:basedOn w:val="Normal"/>
    <w:next w:val="Normal"/>
    <w:rsid w:val="00860D4C"/>
    <w:pPr>
      <w:pBdr>
        <w:bottom w:val="single" w:sz="4" w:space="0" w:color="000000"/>
      </w:pBdr>
      <w:spacing w:before="360" w:line="360" w:lineRule="auto"/>
      <w:ind w:left="3400" w:right="3400"/>
      <w:jc w:val="center"/>
    </w:pPr>
    <w:rPr>
      <w:b/>
    </w:rPr>
  </w:style>
  <w:style w:type="paragraph" w:customStyle="1" w:styleId="pj">
    <w:name w:val="p.j."/>
    <w:basedOn w:val="TechnicalBlock"/>
    <w:link w:val="pjChar"/>
    <w:rsid w:val="00860D4C"/>
    <w:pPr>
      <w:spacing w:before="1200" w:after="120"/>
      <w:ind w:left="1440" w:hanging="1440"/>
      <w:jc w:val="left"/>
    </w:pPr>
  </w:style>
  <w:style w:type="character" w:customStyle="1" w:styleId="pjChar">
    <w:name w:val="p.j. Char"/>
    <w:basedOn w:val="TechnicalBlockChar"/>
    <w:link w:val="pj"/>
    <w:rsid w:val="00860D4C"/>
    <w:rPr>
      <w:rFonts w:ascii="Times New Roman" w:hAnsi="Times New Roman" w:cs="Times New Roman"/>
      <w:sz w:val="24"/>
      <w:lang w:val="sl-SI"/>
    </w:rPr>
  </w:style>
  <w:style w:type="paragraph" w:customStyle="1" w:styleId="nbbordered">
    <w:name w:val="nb bordered"/>
    <w:basedOn w:val="TechnicalBlock"/>
    <w:link w:val="nbborderedChar"/>
    <w:rsid w:val="00860D4C"/>
    <w:pPr>
      <w:pBdr>
        <w:top w:val="single" w:sz="4" w:space="1" w:color="auto"/>
        <w:left w:val="single" w:sz="4" w:space="4" w:color="auto"/>
        <w:bottom w:val="single" w:sz="4" w:space="1" w:color="auto"/>
        <w:right w:val="single" w:sz="4" w:space="4" w:color="auto"/>
        <w:between w:val="single" w:sz="4" w:space="0" w:color="auto"/>
      </w:pBdr>
      <w:spacing w:before="120" w:after="160"/>
      <w:ind w:left="480" w:hanging="480"/>
      <w:jc w:val="both"/>
    </w:pPr>
    <w:rPr>
      <w:b/>
    </w:rPr>
  </w:style>
  <w:style w:type="character" w:customStyle="1" w:styleId="nbborderedChar">
    <w:name w:val="nb bordered Char"/>
    <w:basedOn w:val="TechnicalBlockChar"/>
    <w:link w:val="nbbordered"/>
    <w:rsid w:val="00860D4C"/>
    <w:rPr>
      <w:rFonts w:ascii="Times New Roman" w:hAnsi="Times New Roman" w:cs="Times New Roman"/>
      <w:b/>
      <w:sz w:val="24"/>
      <w:lang w:val="sl-SI"/>
    </w:rPr>
  </w:style>
  <w:style w:type="paragraph" w:customStyle="1" w:styleId="HeaderCouncil">
    <w:name w:val="Header Council"/>
    <w:basedOn w:val="Normal"/>
    <w:link w:val="HeaderCouncilChar"/>
    <w:rsid w:val="00860D4C"/>
    <w:pPr>
      <w:spacing w:before="0" w:after="0"/>
    </w:pPr>
    <w:rPr>
      <w:noProof/>
      <w:sz w:val="2"/>
    </w:rPr>
  </w:style>
  <w:style w:type="character" w:customStyle="1" w:styleId="HeaderCouncilChar">
    <w:name w:val="Header Council Char"/>
    <w:basedOn w:val="DefaultParagraphFont"/>
    <w:link w:val="HeaderCouncil"/>
    <w:rsid w:val="00860D4C"/>
    <w:rPr>
      <w:rFonts w:ascii="Times New Roman" w:hAnsi="Times New Roman" w:cs="Times New Roman"/>
      <w:noProof/>
      <w:sz w:val="2"/>
      <w:lang w:val="sl-SI"/>
    </w:rPr>
  </w:style>
  <w:style w:type="paragraph" w:customStyle="1" w:styleId="HeaderCouncilLarge">
    <w:name w:val="Header Council Large"/>
    <w:basedOn w:val="Normal"/>
    <w:link w:val="HeaderCouncilLargeChar"/>
    <w:rsid w:val="00860D4C"/>
    <w:pPr>
      <w:spacing w:before="0" w:after="440"/>
    </w:pPr>
    <w:rPr>
      <w:noProof/>
      <w:sz w:val="2"/>
    </w:rPr>
  </w:style>
  <w:style w:type="character" w:customStyle="1" w:styleId="HeaderCouncilLargeChar">
    <w:name w:val="Header Council Large Char"/>
    <w:basedOn w:val="DefaultParagraphFont"/>
    <w:link w:val="HeaderCouncilLarge"/>
    <w:rsid w:val="00860D4C"/>
    <w:rPr>
      <w:rFonts w:ascii="Times New Roman" w:hAnsi="Times New Roman" w:cs="Times New Roman"/>
      <w:noProof/>
      <w:sz w:val="2"/>
      <w:lang w:val="sl-SI"/>
    </w:rPr>
  </w:style>
  <w:style w:type="paragraph" w:customStyle="1" w:styleId="FooterCouncil">
    <w:name w:val="Footer Council"/>
    <w:basedOn w:val="Normal"/>
    <w:link w:val="FooterCouncilChar"/>
    <w:rsid w:val="00860D4C"/>
    <w:pPr>
      <w:spacing w:before="0" w:after="0"/>
    </w:pPr>
    <w:rPr>
      <w:noProof/>
      <w:sz w:val="2"/>
    </w:rPr>
  </w:style>
  <w:style w:type="character" w:customStyle="1" w:styleId="FooterCouncilChar">
    <w:name w:val="Footer Council Char"/>
    <w:basedOn w:val="DefaultParagraphFont"/>
    <w:link w:val="FooterCouncil"/>
    <w:rsid w:val="00860D4C"/>
    <w:rPr>
      <w:rFonts w:ascii="Times New Roman" w:hAnsi="Times New Roman" w:cs="Times New Roman"/>
      <w:noProof/>
      <w:sz w:val="2"/>
      <w:lang w:val="sl-SI"/>
    </w:rPr>
  </w:style>
  <w:style w:type="paragraph" w:customStyle="1" w:styleId="FooterText">
    <w:name w:val="Footer Text"/>
    <w:basedOn w:val="Normal"/>
    <w:rsid w:val="00860D4C"/>
    <w:pPr>
      <w:spacing w:before="0" w:after="0"/>
      <w:jc w:val="left"/>
    </w:pPr>
    <w:rPr>
      <w:rFonts w:eastAsia="Times New Roman"/>
      <w:szCs w:val="24"/>
      <w:lang w:val="en-GB"/>
    </w:rPr>
  </w:style>
  <w:style w:type="character" w:styleId="PlaceholderText">
    <w:name w:val="Placeholder Text"/>
    <w:basedOn w:val="DefaultParagraphFont"/>
    <w:uiPriority w:val="99"/>
    <w:semiHidden/>
    <w:rsid w:val="00860D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Template>
  <TotalTime>1</TotalTime>
  <Pages>6</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KOVACIC Domen</dc:creator>
  <cp:keywords/>
  <dc:description/>
  <cp:lastModifiedBy>KOVACIC Domen</cp:lastModifiedBy>
  <cp:revision>4</cp:revision>
  <dcterms:created xsi:type="dcterms:W3CDTF">2020-06-15T10:32:00Z</dcterms:created>
  <dcterms:modified xsi:type="dcterms:W3CDTF">2020-06-15T10:33:00Z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DocuWrite 4.3.12, Build 20200224</vt:lpwstr>
  </property>
  <property fmtid="{D5CDD505-2E9C-101B-9397-08002B2CF9AE}" pid="5" name="Created using">
    <vt:lpwstr>DocuWrite 4.3.12, Build 20200224</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